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6638" w14:textId="77777777" w:rsidR="000A61D2" w:rsidRDefault="000A61D2" w:rsidP="000A61D2">
      <w:r>
        <w:t>The Perils of Poor Digital Communication: The 2020 Twitter Hack</w:t>
      </w:r>
    </w:p>
    <w:p w14:paraId="5B295938" w14:textId="77777777" w:rsidR="000A61D2" w:rsidRDefault="000A61D2" w:rsidP="000A61D2"/>
    <w:p w14:paraId="5C50A251" w14:textId="77777777" w:rsidR="000A61D2" w:rsidRDefault="000A61D2" w:rsidP="000A61D2">
      <w:r>
        <w:t>In July 2020, hackers exploited Twitter's vulnerabilities to hijack high-profile accounts, including those of Elon Musk, Barack Obama, and Joe Biden. They posted identical Bitcoin scam tweets promising to double users' cryptocurrency investments if sent to a specific wallet. This "poor digital communication" stemmed from inadequate internal alerts and delayed public response—Twitter's initial notifications were vague and buried in status updates, causing widespread confusion. Over $120,000 in Bitcoin was stolen before accounts were locked, eroding user trust and damaging the platform's reputation.</w:t>
      </w:r>
    </w:p>
    <w:p w14:paraId="1C6FE9A0" w14:textId="77777777" w:rsidR="000A61D2" w:rsidRDefault="000A61D2" w:rsidP="000A61D2"/>
    <w:p w14:paraId="15182EA9" w14:textId="0C625DB2" w:rsidR="00755A34" w:rsidRDefault="000A61D2" w:rsidP="000A61D2">
      <w:r>
        <w:t>This could have been mitigated with clearer, proactive messaging: immediate, pinned announcements specifying the breach scope, affected accounts, and safety steps (e.g., "Do not send crypto—scam confirmed"). Real-time video updates from executives and transparent incident logs would have built credibility faster.</w:t>
      </w:r>
    </w:p>
    <w:sectPr w:rsidR="0075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D2"/>
    <w:rsid w:val="000A61D2"/>
    <w:rsid w:val="00755A34"/>
    <w:rsid w:val="00B51E37"/>
    <w:rsid w:val="00F0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E80D"/>
  <w15:chartTrackingRefBased/>
  <w15:docId w15:val="{0AD1FAC9-DC8E-45A2-B17E-3FB75C84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Soni</dc:creator>
  <cp:keywords/>
  <dc:description/>
  <cp:lastModifiedBy>Keshav Soni</cp:lastModifiedBy>
  <cp:revision>1</cp:revision>
  <dcterms:created xsi:type="dcterms:W3CDTF">2026-03-26T09:38:00Z</dcterms:created>
  <dcterms:modified xsi:type="dcterms:W3CDTF">2026-03-26T09:39:00Z</dcterms:modified>
</cp:coreProperties>
</file>