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32"/>
        </w:rPr>
        <w:t>CCA - 1 Project Report</w:t>
      </w:r>
    </w:p>
    <w:p>
      <w:pPr>
        <w:spacing w:after="40"/>
        <w:jc w:val="center"/>
      </w:pPr>
      <w:r>
        <w:rPr>
          <w:i/>
          <w:sz w:val="24"/>
        </w:rPr>
        <w:t>On</w:t>
      </w:r>
    </w:p>
    <w:p>
      <w:pPr>
        <w:spacing w:after="280"/>
        <w:jc w:val="center"/>
      </w:pPr>
      <w:r>
        <w:rPr>
          <w:b/>
          <w:color w:val="2563EB"/>
          <w:sz w:val="30"/>
        </w:rPr>
        <w:t>NLP-Based Semantic and Behavioral Impact Analysis of API Changes</w:t>
      </w:r>
    </w:p>
    <w:p>
      <w:pPr>
        <w:spacing w:after="80"/>
        <w:jc w:val="center"/>
      </w:pPr>
      <w:r>
        <w:rPr>
          <w:b/>
          <w:sz w:val="22"/>
        </w:rPr>
        <w:t>Submitted to: Dr. Suja Panicker</w:t>
      </w:r>
    </w:p>
    <w:p>
      <w:pPr>
        <w:spacing w:after="320"/>
        <w:jc w:val="center"/>
      </w:pPr>
      <w:r>
        <w:rPr>
          <w:b/>
          <w:color w:val="334155"/>
          <w:sz w:val="21"/>
        </w:rPr>
        <w:t>Submitted By:</w:t>
        <w:br/>
        <w:t>Tanmay Saxena - 1032233295</w:t>
        <w:br/>
        <w:t>Saatvik Madan - 103223398</w:t>
        <w:br/>
        <w:t>KS Arjun - 1032232286</w:t>
      </w:r>
    </w:p>
    <w:p>
      <w:pPr>
        <w:spacing w:before="280" w:after="120"/>
      </w:pPr>
      <w:r>
        <w:rPr>
          <w:b/>
          <w:color w:val="0F172A"/>
          <w:sz w:val="26"/>
        </w:rPr>
        <w:t>ABSTRACT</w:t>
      </w:r>
    </w:p>
    <w:p>
      <w:pPr>
        <w:spacing w:after="120"/>
        <w:jc w:val="both"/>
      </w:pPr>
      <w:r>
        <w:t>Modern software architectures heavily depend on Web Application Programming Interfaces (APIs), predominantly governed by OpenAPI 3.x and Swagger specifications. As software libraries and cloud services evolve, API specifications undergo frequent modifications. However, traditional Abstract Syntax Tree (AST) structural diffing tools (such as Swagger Diff and OpenAPI Comparator) suffer from severe blind spots: they only inspect explicit schema key-value changes and route deletions, completely missing subtle behavioral contract shifts, tightened preconditions, rate limits, asynchronous execution transitions, and semantic scope narrowing communicated purely through natural language descriptions. This research presents an academic-grade, full-stack NLP-enhanced API evolution analysis platform combining deterministic AST diffing, dense Sentence Transformers semantic embeddings (all-MiniLM-L6-v2), and spaCy linguistic deontic contract extraction. To ensure modular academic independence and rigorous evaluation, the research is divided into three interconnected specialist components: Tanmay Saxena focuses on structural change parsing and AST mutation classification; Saatvik Madan focuses on fine-tuning bi-encoder sentence transformers for natural language documentation drift and semantic scope narrowing; and KS Arjun focuses on linguistic deontic contract extraction (obligations, prohibitions, permissions), consumer risk score synthesis, and multi-language actionable code migration generation. The platform is grounded in the published APIstic OpenAPI evolution dataset (ACM MSR 2024 / Zenodo 20525072, 1.2M+ specifications) and cross-validated against the Java API Evolution Data Corpus (251 benchmark cases). Empirical evaluation proves that while pure structural diffing achieves only 16.7% recall on real-world behavioral contract breaks, the proposed NLP-enhanced system achieves 100.0% recall with 100.0% precision, eliminating developer downtime and silent client failures.</w:t>
      </w:r>
    </w:p>
    <w:p>
      <w:pPr>
        <w:spacing w:before="280" w:after="120"/>
      </w:pPr>
      <w:r>
        <w:rPr>
          <w:b/>
          <w:color w:val="0F172A"/>
          <w:sz w:val="26"/>
        </w:rPr>
        <w:t>1 INTRODUCTION</w:t>
      </w:r>
    </w:p>
    <w:p>
      <w:pPr>
        <w:spacing w:after="120"/>
        <w:jc w:val="both"/>
      </w:pPr>
      <w:r>
        <w:t>Application Programming Interfaces (APIs) form the backbone of modern distributed systems, cloud computing, and microservice architectures. Service providers continuously evolve their APIs to introduce new capabilities, refine security postures, and optimize performance. However, API evolution introduces significant friction when changes break downstream consumers. In industry practice, API modifications are divided into two distinct dimensions: (1) Structural alterations, where schema fields, parameter data types, or endpoint routes are explicitly added, modified, or deleted; and (2) Behavioral and semantic alterations, where the execution semantics, caller obligations, access limits, or data validity filters shift without any corresponding structural change in the schema keys.</w:t>
      </w:r>
    </w:p>
    <w:p>
      <w:pPr>
        <w:spacing w:after="120"/>
        <w:jc w:val="both"/>
      </w:pPr>
      <w:r>
        <w:t>Existing automated diffing tools inspect only the structural Abstract Syntax Tree (AST) of OpenAPI/Swagger documents. When an API developer changes an endpoint's behavior—for example, converting an instantaneous synchronous credit card settlement into an asynchronous background worker queue returning HTTP 202, or restricting a catalog query from returning 'all products' to 'active verified products only'—the structural schema remains syntactically identical. Structural diffing tools report zero breaking changes. Consequently, client applications experience silent runtime failures, network timeouts, unhandled HTTP 429 throttling exceptions, and severe data inconsistencies.</w:t>
      </w:r>
    </w:p>
    <w:p>
      <w:pPr>
        <w:spacing w:after="120"/>
        <w:jc w:val="both"/>
      </w:pPr>
      <w:r>
        <w:t>To address this critical gap, this project develops a multi-tiered, NLP-enhanced API change impact analysis platform. The research is partitioned into three specialized, mutually supportive tracks: structural AST mutation classification (Tanmay), semantic documentation similarity and drift modeling (Saatvik), and behavioral deontic contract extraction with client migration guide generation (Arjun).</w:t>
      </w:r>
    </w:p>
    <w:p>
      <w:pPr>
        <w:spacing w:before="200" w:after="80"/>
      </w:pPr>
      <w:r>
        <w:rPr>
          <w:b/>
          <w:color w:val="1E3A8A"/>
          <w:sz w:val="23"/>
        </w:rPr>
        <w:t>2.1 Research Question</w:t>
      </w:r>
    </w:p>
    <w:p>
      <w:pPr>
        <w:spacing w:before="160" w:after="40"/>
      </w:pPr>
      <w:r>
        <w:rPr>
          <w:b/>
          <w:color w:val="1D4ED8"/>
          <w:sz w:val="22"/>
        </w:rPr>
        <w:t>Tanmay Saxena - 1032233295</w:t>
      </w:r>
    </w:p>
    <w:p>
      <w:pPr>
        <w:spacing w:after="120"/>
        <w:jc w:val="both"/>
      </w:pPr>
      <w:r>
        <w:t>Can deterministic OpenAPI/Swagger specification AST parsing combined with a neural character/word TF-IDF Multi-Layer Perceptron (MLP) classifier accurately categorize complex structural mutations (endpoint lifecycles, optional-to-required parameter conversions, default value shifts, and schema data type incompatibilities) and predict structural breaking severity across real-world API commit histories?</w:t>
      </w:r>
    </w:p>
    <w:p>
      <w:pPr>
        <w:spacing w:before="160" w:after="40"/>
      </w:pPr>
      <w:r>
        <w:rPr>
          <w:b/>
          <w:color w:val="1D4ED8"/>
          <w:sz w:val="22"/>
        </w:rPr>
        <w:t>Saatvik Madan - 103223398</w:t>
      </w:r>
    </w:p>
    <w:p>
      <w:pPr>
        <w:spacing w:after="120"/>
        <w:jc w:val="both"/>
      </w:pPr>
      <w:r>
        <w:t>Is it possible for a domain-adapted dense Bi-Encoder Sentence Transformer (all-MiniLM-L6-v2) fine-tuned with CosineSimilarityLoss on API documentation diffs to detect subtle semantic drift and scope narrowing in natural language descriptions where structural schemas remain completely unchanged, and what is the optimal cosine decision threshold for flagging backward-incompatible semantic shifts?</w:t>
      </w:r>
    </w:p>
    <w:p>
      <w:pPr>
        <w:spacing w:before="160" w:after="40"/>
      </w:pPr>
      <w:r>
        <w:rPr>
          <w:b/>
          <w:color w:val="1D4ED8"/>
          <w:sz w:val="22"/>
        </w:rPr>
        <w:t>KS Arjun - 1032232286</w:t>
      </w:r>
    </w:p>
    <w:p>
      <w:pPr>
        <w:spacing w:after="120"/>
        <w:jc w:val="both"/>
      </w:pPr>
      <w:r>
        <w:t>How can linguistic dependency parsing and deontic modality extraction (obligations, prohibitions, permissions, preconditions) be formalized into a multi-task risk synthesis engine to quantify consumer breakage (0–100 API Breaking Risk Score), and can this semantic understanding be translated into syntactically valid, multi-language client remediation code snippets across cURL, Python Requests, and TypeScript Axios?</w:t>
      </w:r>
    </w:p>
    <w:p>
      <w:pPr>
        <w:spacing w:before="200" w:after="80"/>
      </w:pPr>
      <w:r>
        <w:rPr>
          <w:b/>
          <w:color w:val="1E3A8A"/>
          <w:sz w:val="23"/>
        </w:rPr>
        <w:t>2.2 Research Contribution</w:t>
      </w:r>
    </w:p>
    <w:p>
      <w:pPr>
        <w:spacing w:before="160" w:after="40"/>
      </w:pPr>
      <w:r>
        <w:rPr>
          <w:b/>
          <w:color w:val="1D4ED8"/>
          <w:sz w:val="22"/>
        </w:rPr>
        <w:t>Tanmay Saxena - 1032233295</w:t>
      </w:r>
    </w:p>
    <w:p>
      <w:pPr>
        <w:spacing w:after="120"/>
        <w:jc w:val="both"/>
      </w:pPr>
      <w:r>
        <w:t>This research delivers a robust, multi-version OpenAPI 3.x and Swagger 2.0 specification parser with full recursive local $ref resolution, parameter normalization, and schema AST diffing. Tanmay contributes a trained neural AST mutation classifier (TF-IDF + MLP 64x32) evaluated on the APIstic structural mutation corpus, providing deterministic change records with component JSON pointers, severity flags, and preliminary breaking classifications.</w:t>
      </w:r>
    </w:p>
    <w:p>
      <w:pPr>
        <w:spacing w:before="160" w:after="40"/>
      </w:pPr>
      <w:r>
        <w:rPr>
          <w:b/>
          <w:color w:val="1D4ED8"/>
          <w:sz w:val="22"/>
        </w:rPr>
        <w:t>Saatvik Madan - 103223398</w:t>
      </w:r>
    </w:p>
    <w:p>
      <w:pPr>
        <w:spacing w:after="120"/>
        <w:jc w:val="both"/>
      </w:pPr>
      <w:r>
        <w:t>This research introduces a domain-specific semantic similarity and drift analysis pipeline utilizing a fine-tuned bi-encoder sentence transformer. Saatvik constructs the APIstic Semantic STS Corpus, establishes a rigorous fine-tuning regimen achieving a 32.2% validation MSE loss reduction over pretrained base models, and proves through parametric threshold sweeps that a cosine cutoff of 0.75 reliably differentiates breaking semantic scope contractions from benign wording elaborations.</w:t>
      </w:r>
    </w:p>
    <w:p>
      <w:pPr>
        <w:spacing w:before="160" w:after="40"/>
      </w:pPr>
      <w:r>
        <w:rPr>
          <w:b/>
          <w:color w:val="1D4ED8"/>
          <w:sz w:val="22"/>
        </w:rPr>
        <w:t>KS Arjun - 1032232286</w:t>
      </w:r>
    </w:p>
    <w:p>
      <w:pPr>
        <w:spacing w:after="120"/>
        <w:jc w:val="both"/>
      </w:pPr>
      <w:r>
        <w:t>This research formulates a deontic modal grammar framework using spaCy linguistic dependency matching and dual-head multi-task neural classification. Arjun implements the holistic API Breaking Risk Score (0–100), cross-validates the breaking taxonomy against the empirical Java API Evolution benchmark (251 cases), and authors the automated client migration recommender generating remediation guides in cURL, Python, and TypeScript Axios.</w:t>
      </w:r>
    </w:p>
    <w:p>
      <w:pPr>
        <w:spacing w:before="200" w:after="80"/>
      </w:pPr>
      <w:r>
        <w:rPr>
          <w:b/>
          <w:color w:val="1E3A8A"/>
          <w:sz w:val="23"/>
        </w:rPr>
        <w:t>2.3 Methodology</w:t>
      </w:r>
    </w:p>
    <w:p>
      <w:pPr>
        <w:spacing w:before="160" w:after="40"/>
      </w:pPr>
      <w:r>
        <w:rPr>
          <w:b/>
          <w:color w:val="1D4ED8"/>
          <w:sz w:val="22"/>
        </w:rPr>
        <w:t>Tanmay Saxena - 1032233295</w:t>
      </w:r>
    </w:p>
    <w:p>
      <w:pPr>
        <w:spacing w:after="120"/>
        <w:jc w:val="both"/>
      </w:pPr>
      <w:r>
        <w:t>The structural analysis workflow begins by ingesting two arbitrary OpenAPI/Swagger specifications (v1 and v2) formatted in YAML or JSON. The specification parser resolves recursive JSON pointer references ($ref), unpacks nested schema definitions, and extracts normalized data structures representing path items, operations, query/header/path parameters, request bodies, and response codes. A deterministic tree-diff engine traverses corresponding AST nodes and generates canonical ChangeRecords. To classify ambiguous text diffs, a neural pipeline combining character (3-5 grams) and word (1-3 grams) TF-IDF vectorization with a Multi-Layer Perceptron (64x32 hidden layers, ReLU activation, Adam optimizer) categorizes mutations into six canonical classes and evaluates binary breaking severity.</w:t>
      </w:r>
    </w:p>
    <w:p>
      <w:pPr>
        <w:spacing w:before="160" w:after="40"/>
      </w:pPr>
      <w:r>
        <w:rPr>
          <w:b/>
          <w:color w:val="1D4ED8"/>
          <w:sz w:val="22"/>
        </w:rPr>
        <w:t>Saatvik Madan - 103223398</w:t>
      </w:r>
    </w:p>
    <w:p>
      <w:pPr>
        <w:spacing w:after="120"/>
        <w:jc w:val="both"/>
      </w:pPr>
      <w:r>
        <w:t>The semantic documentation analysis methodology processes natural language text pairs extracted from operation summaries, endpoint descriptions, and parameter documentation across consecutive API revisions. Description strings undergo normalization, contraction expansion, and punctuation standardization. Each text is projected into a 384-dimensional dense semantic vector space using the sentence-transformers/all-MiniLM-L6-v2 architecture. Cosine similarity is computed between v1 and v2 representations, deriving the semantic drift metric (1.0 - CosineSimilarity). To calibrate the model for technical API terminology, supervised fine-tuning is conducted on annotated APIstic sentence pairs using PyTorch AdamW and CosineSimilarityLoss across 4 training epochs.</w:t>
      </w:r>
    </w:p>
    <w:p>
      <w:pPr>
        <w:spacing w:before="160" w:after="40"/>
      </w:pPr>
      <w:r>
        <w:rPr>
          <w:b/>
          <w:color w:val="1D4ED8"/>
          <w:sz w:val="22"/>
        </w:rPr>
        <w:t>KS Arjun - 1032232286</w:t>
      </w:r>
    </w:p>
    <w:p>
      <w:pPr>
        <w:spacing w:after="120"/>
        <w:jc w:val="both"/>
      </w:pPr>
      <w:r>
        <w:t>The behavioral analysis methodology extracts linguistic contracts governing client-server interaction. Using the spaCy en_core_web_sm pipeline, text entries are parsed for modal verbs (must, shall, may, can, cannot, should) and grammatical dependencies (negation, clausal complements). A dual-head classifier assigns: (1) Deontic Modality (Obligation, Prohibition, Permission, Precondition, Postcondition, Rate Limit), and (2) Downstream Breaking Severity. The BehavioralComparator contrasts v1 and v2 contract clauses, detecting restrictive tightening (e.g., Permission -&gt; Obligation). Findings are synthesized into an API Risk Score (0–100), and a template-based migration engine generates syntactically valid client remediation code across three programming languages.</w:t>
      </w:r>
    </w:p>
    <w:p>
      <w:pPr>
        <w:spacing w:before="200" w:after="80"/>
      </w:pPr>
      <w:r>
        <w:rPr>
          <w:b/>
          <w:color w:val="1E3A8A"/>
          <w:sz w:val="23"/>
        </w:rPr>
        <w:t>2.4 Description of Corpora</w:t>
      </w:r>
    </w:p>
    <w:p>
      <w:pPr>
        <w:spacing w:before="160" w:after="40"/>
      </w:pPr>
      <w:r>
        <w:rPr>
          <w:b/>
          <w:color w:val="1D4ED8"/>
          <w:sz w:val="22"/>
        </w:rPr>
        <w:t>Tanmay Saxena - 1032233295</w:t>
      </w:r>
    </w:p>
    <w:p>
      <w:pPr>
        <w:spacing w:after="120"/>
        <w:jc w:val="both"/>
      </w:pPr>
      <w:r>
        <w:t>Tanmay utilizes the API Structural AST &amp; Schema Mutation Corpus (backend/data/corpus/api_structural_corpus.json, N=126 samples, 90 train / 36 held-out test). The corpus is extracted from APIstic GitHub commit histories (Zenodo 20525072 / ACM MSR 2024), capturing schema field additions, required-to-optional transitions, parameter default mutations, schema type modifications, and HTTP response code replacements.</w:t>
      </w:r>
    </w:p>
    <w:p>
      <w:pPr>
        <w:spacing w:before="160" w:after="40"/>
      </w:pPr>
      <w:r>
        <w:rPr>
          <w:b/>
          <w:color w:val="1D4ED8"/>
          <w:sz w:val="22"/>
        </w:rPr>
        <w:t>Saatvik Madan - 103223398</w:t>
      </w:r>
    </w:p>
    <w:p>
      <w:pPr>
        <w:spacing w:after="120"/>
        <w:jc w:val="both"/>
      </w:pPr>
      <w:r>
        <w:t>Saatvik employs the API Documentation Semantic Textual Similarity (STS) &amp; Drift Corpus (backend/data/corpus/api_semantic_sts_corpus.json, N=36 pairs, 26 train / 10 held-out test). Mined from real OpenAPI commit pairs across prominent organizations (GitHub, Stripe, Kubernetes, Box), each pair is annotated with human gold-standard similarity scores [0.0 to 1.0], drift ratings, and semantic evolution categories (Scope Narrowing, Execution Timing, Paraphrase Equivalence, Business Contradiction).</w:t>
      </w:r>
    </w:p>
    <w:p>
      <w:pPr>
        <w:spacing w:before="160" w:after="40"/>
      </w:pPr>
      <w:r>
        <w:rPr>
          <w:b/>
          <w:color w:val="1D4ED8"/>
          <w:sz w:val="22"/>
        </w:rPr>
        <w:t>KS Arjun - 1032232286</w:t>
      </w:r>
    </w:p>
    <w:p>
      <w:pPr>
        <w:spacing w:after="120"/>
        <w:jc w:val="both"/>
      </w:pPr>
      <w:r>
        <w:t>Arjun utilizes two complementary corpora: (1) The API Behavioral Contracts &amp; Deontic Modalities Corpus (backend/data/corpus/api_behavioral_corpus.json, N=126 clauses, 90 train / 36 held-out test) annotated with linguistic modalities and downstream client breakage severities; and (2) The Java API Evolution Data Corpus (backend/data/corpus/java_evolution/, N=251 benchmark cases from University of Bordeaux / Kiv) providing empirical ground-truth for cross-validating our breaking change taxonomy.</w:t>
      </w:r>
    </w:p>
    <w:p>
      <w:pPr>
        <w:spacing w:after="120"/>
        <w:jc w:val="both"/>
      </w:pPr>
      <w:r>
        <w:t>Table 1 summarizes the properties, provenance, sample sizes, and experimental roles of the four corpora utilized in this research: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sz w:val="18"/>
              </w:rPr>
              <w:t>Corpus Property</w:t>
            </w:r>
          </w:p>
        </w:tc>
        <w:tc>
          <w:tcPr>
            <w:tcW w:type="dxa" w:w="1872"/>
            <w:shd w:fill="1E3A8A"/>
          </w:tcPr>
          <w:p>
            <w:r>
              <w:rPr>
                <w:b/>
                <w:color w:val="FFFFFF"/>
                <w:sz w:val="18"/>
              </w:rPr>
              <w:t>Corpus 1: Structural</w:t>
            </w:r>
          </w:p>
        </w:tc>
        <w:tc>
          <w:tcPr>
            <w:tcW w:type="dxa" w:w="1872"/>
            <w:shd w:fill="1E3A8A"/>
          </w:tcPr>
          <w:p>
            <w:r>
              <w:rPr>
                <w:b/>
                <w:color w:val="FFFFFF"/>
                <w:sz w:val="18"/>
              </w:rPr>
              <w:t>Corpus 2: Semantic STS</w:t>
            </w:r>
          </w:p>
        </w:tc>
        <w:tc>
          <w:tcPr>
            <w:tcW w:type="dxa" w:w="1872"/>
            <w:shd w:fill="1E3A8A"/>
          </w:tcPr>
          <w:p>
            <w:r>
              <w:rPr>
                <w:b/>
                <w:color w:val="FFFFFF"/>
                <w:sz w:val="18"/>
              </w:rPr>
              <w:t>Corpus 3: Behavioral</w:t>
            </w:r>
          </w:p>
        </w:tc>
        <w:tc>
          <w:tcPr>
            <w:tcW w:type="dxa" w:w="1872"/>
            <w:shd w:fill="1E3A8A"/>
          </w:tcPr>
          <w:p>
            <w:r>
              <w:rPr>
                <w:b/>
                <w:color w:val="FFFFFF"/>
                <w:sz w:val="18"/>
              </w:rPr>
              <w:t>Corpus 4: Java Benchmark</w:t>
            </w:r>
          </w:p>
        </w:tc>
      </w:tr>
      <w:tr>
        <w:tc>
          <w:tcPr>
            <w:tcW w:type="dxa" w:w="1872"/>
          </w:tcPr>
          <w:p>
            <w:r>
              <w:rPr>
                <w:sz w:val="17"/>
              </w:rPr>
              <w:t>Corpus Name</w:t>
            </w:r>
          </w:p>
        </w:tc>
        <w:tc>
          <w:tcPr>
            <w:tcW w:type="dxa" w:w="1872"/>
          </w:tcPr>
          <w:p>
            <w:r>
              <w:rPr>
                <w:sz w:val="17"/>
              </w:rPr>
              <w:t>APIstic Structural AST</w:t>
            </w:r>
          </w:p>
        </w:tc>
        <w:tc>
          <w:tcPr>
            <w:tcW w:type="dxa" w:w="1872"/>
          </w:tcPr>
          <w:p>
            <w:r>
              <w:rPr>
                <w:sz w:val="17"/>
              </w:rPr>
              <w:t>APIstic Semantic STS</w:t>
            </w:r>
          </w:p>
        </w:tc>
        <w:tc>
          <w:tcPr>
            <w:tcW w:type="dxa" w:w="1872"/>
          </w:tcPr>
          <w:p>
            <w:r>
              <w:rPr>
                <w:sz w:val="17"/>
              </w:rPr>
              <w:t>APIstic Deontic Contracts</w:t>
            </w:r>
          </w:p>
        </w:tc>
        <w:tc>
          <w:tcPr>
            <w:tcW w:type="dxa" w:w="1872"/>
          </w:tcPr>
          <w:p>
            <w:r>
              <w:rPr>
                <w:sz w:val="17"/>
              </w:rPr>
              <w:t>Java API Evolution Corpus</w:t>
            </w:r>
          </w:p>
        </w:tc>
      </w:tr>
      <w:tr>
        <w:tc>
          <w:tcPr>
            <w:tcW w:type="dxa" w:w="1872"/>
            <w:shd w:fill="F1F5F9"/>
          </w:tcPr>
          <w:p>
            <w:r>
              <w:rPr>
                <w:sz w:val="17"/>
              </w:rPr>
              <w:t>Source &amp; Origin</w:t>
            </w:r>
          </w:p>
        </w:tc>
        <w:tc>
          <w:tcPr>
            <w:tcW w:type="dxa" w:w="1872"/>
            <w:shd w:fill="F1F5F9"/>
          </w:tcPr>
          <w:p>
            <w:r>
              <w:rPr>
                <w:sz w:val="17"/>
              </w:rPr>
              <w:t>APIstic (ACM MSR 2024 / USI)</w:t>
            </w:r>
          </w:p>
        </w:tc>
        <w:tc>
          <w:tcPr>
            <w:tcW w:type="dxa" w:w="1872"/>
            <w:shd w:fill="F1F5F9"/>
          </w:tcPr>
          <w:p>
            <w:r>
              <w:rPr>
                <w:sz w:val="17"/>
              </w:rPr>
              <w:t>APIstic GitHub Commits</w:t>
            </w:r>
          </w:p>
        </w:tc>
        <w:tc>
          <w:tcPr>
            <w:tcW w:type="dxa" w:w="1872"/>
            <w:shd w:fill="F1F5F9"/>
          </w:tcPr>
          <w:p>
            <w:r>
              <w:rPr>
                <w:sz w:val="17"/>
              </w:rPr>
              <w:t>APIstic Commit Slices</w:t>
            </w:r>
          </w:p>
        </w:tc>
        <w:tc>
          <w:tcPr>
            <w:tcW w:type="dxa" w:w="1872"/>
            <w:shd w:fill="F1F5F9"/>
          </w:tcPr>
          <w:p>
            <w:r>
              <w:rPr>
                <w:sz w:val="17"/>
              </w:rPr>
              <w:t>LaBRI CNRS &amp; Univ. of West Bohemia</w:t>
            </w:r>
          </w:p>
        </w:tc>
      </w:tr>
      <w:tr>
        <w:tc>
          <w:tcPr>
            <w:tcW w:type="dxa" w:w="1872"/>
          </w:tcPr>
          <w:p>
            <w:r>
              <w:rPr>
                <w:sz w:val="17"/>
              </w:rPr>
              <w:t>Total Slices / Cases</w:t>
            </w:r>
          </w:p>
        </w:tc>
        <w:tc>
          <w:tcPr>
            <w:tcW w:type="dxa" w:w="1872"/>
          </w:tcPr>
          <w:p>
            <w:r>
              <w:rPr>
                <w:sz w:val="17"/>
              </w:rPr>
              <w:t>126 annotated samples</w:t>
              <w:br/>
              <w:t>(90 train / 36 test)</w:t>
            </w:r>
          </w:p>
        </w:tc>
        <w:tc>
          <w:tcPr>
            <w:tcW w:type="dxa" w:w="1872"/>
          </w:tcPr>
          <w:p>
            <w:r>
              <w:rPr>
                <w:sz w:val="17"/>
              </w:rPr>
              <w:t>36 sentence pairs</w:t>
              <w:br/>
              <w:t>(26 train / 10 test)</w:t>
            </w:r>
          </w:p>
        </w:tc>
        <w:tc>
          <w:tcPr>
            <w:tcW w:type="dxa" w:w="1872"/>
          </w:tcPr>
          <w:p>
            <w:r>
              <w:rPr>
                <w:sz w:val="17"/>
              </w:rPr>
              <w:t>126 contract clauses</w:t>
              <w:br/>
              <w:t>(90 train / 36 test)</w:t>
            </w:r>
          </w:p>
        </w:tc>
        <w:tc>
          <w:tcPr>
            <w:tcW w:type="dxa" w:w="1872"/>
          </w:tcPr>
          <w:p>
            <w:r>
              <w:rPr>
                <w:sz w:val="17"/>
              </w:rPr>
              <w:t>251 library evolution cases</w:t>
              <w:br/>
              <w:t>(174 breaking / 77 non-breaking)</w:t>
            </w:r>
          </w:p>
        </w:tc>
      </w:tr>
      <w:tr>
        <w:tc>
          <w:tcPr>
            <w:tcW w:type="dxa" w:w="1872"/>
            <w:shd w:fill="F1F5F9"/>
          </w:tcPr>
          <w:p>
            <w:r>
              <w:rPr>
                <w:sz w:val="17"/>
              </w:rPr>
              <w:t>Primary Annotation</w:t>
            </w:r>
          </w:p>
        </w:tc>
        <w:tc>
          <w:tcPr>
            <w:tcW w:type="dxa" w:w="1872"/>
            <w:shd w:fill="F1F5F9"/>
          </w:tcPr>
          <w:p>
            <w:r>
              <w:rPr>
                <w:sz w:val="17"/>
              </w:rPr>
              <w:t>6 AST mutation classes</w:t>
            </w:r>
          </w:p>
        </w:tc>
        <w:tc>
          <w:tcPr>
            <w:tcW w:type="dxa" w:w="1872"/>
            <w:shd w:fill="F1F5F9"/>
          </w:tcPr>
          <w:p>
            <w:r>
              <w:rPr>
                <w:sz w:val="17"/>
              </w:rPr>
              <w:t>Cosine similarity [0.0-1.0]</w:t>
            </w:r>
          </w:p>
        </w:tc>
        <w:tc>
          <w:tcPr>
            <w:tcW w:type="dxa" w:w="1872"/>
            <w:shd w:fill="F1F5F9"/>
          </w:tcPr>
          <w:p>
            <w:r>
              <w:rPr>
                <w:sz w:val="17"/>
              </w:rPr>
              <w:t>6 modalities + 5 severities</w:t>
            </w:r>
          </w:p>
        </w:tc>
        <w:tc>
          <w:tcPr>
            <w:tcW w:type="dxa" w:w="1872"/>
            <w:shd w:fill="F1F5F9"/>
          </w:tcPr>
          <w:p>
            <w:r>
              <w:rPr>
                <w:sz w:val="17"/>
              </w:rPr>
              <w:t>174 breaking / 77 non-breaking</w:t>
            </w:r>
          </w:p>
        </w:tc>
      </w:tr>
      <w:tr>
        <w:tc>
          <w:tcPr>
            <w:tcW w:type="dxa" w:w="1872"/>
          </w:tcPr>
          <w:p>
            <w:r>
              <w:rPr>
                <w:sz w:val="17"/>
              </w:rPr>
              <w:t>Assigned Member</w:t>
            </w:r>
          </w:p>
        </w:tc>
        <w:tc>
          <w:tcPr>
            <w:tcW w:type="dxa" w:w="1872"/>
          </w:tcPr>
          <w:p>
            <w:r>
              <w:rPr>
                <w:sz w:val="17"/>
              </w:rPr>
              <w:t>Tanmay Saxena</w:t>
            </w:r>
          </w:p>
        </w:tc>
        <w:tc>
          <w:tcPr>
            <w:tcW w:type="dxa" w:w="1872"/>
          </w:tcPr>
          <w:p>
            <w:r>
              <w:rPr>
                <w:sz w:val="17"/>
              </w:rPr>
              <w:t>Saatvik Madan</w:t>
            </w:r>
          </w:p>
        </w:tc>
        <w:tc>
          <w:tcPr>
            <w:tcW w:type="dxa" w:w="1872"/>
          </w:tcPr>
          <w:p>
            <w:r>
              <w:rPr>
                <w:sz w:val="17"/>
              </w:rPr>
              <w:t>KS Arjun</w:t>
            </w:r>
          </w:p>
        </w:tc>
        <w:tc>
          <w:tcPr>
            <w:tcW w:type="dxa" w:w="1872"/>
          </w:tcPr>
          <w:p>
            <w:r>
              <w:rPr>
                <w:sz w:val="17"/>
              </w:rPr>
              <w:t>KS Arjun (Cross-Validation)</w:t>
            </w:r>
          </w:p>
        </w:tc>
      </w:tr>
    </w:tbl>
    <w:p>
      <w:pPr>
        <w:spacing w:before="200" w:after="80"/>
      </w:pPr>
      <w:r>
        <w:rPr>
          <w:b/>
          <w:color w:val="1E3A8A"/>
          <w:sz w:val="23"/>
        </w:rPr>
        <w:t>2.4.1 Corpus Exploration</w:t>
      </w:r>
    </w:p>
    <w:p>
      <w:pPr>
        <w:spacing w:before="160" w:after="40"/>
      </w:pPr>
      <w:r>
        <w:rPr>
          <w:b/>
          <w:color w:val="1D4ED8"/>
          <w:sz w:val="22"/>
        </w:rPr>
        <w:t>Tanmay Saxena - 1032233295 (Corpus 1 Exploration)</w:t>
      </w:r>
    </w:p>
    <w:p>
      <w:pPr>
        <w:spacing w:after="120"/>
        <w:jc w:val="both"/>
      </w:pPr>
      <w:r>
        <w:t>The APIstic Structural Corpus was analyzed to assess the distribution of mutation classes, token length frequencies, and target entity co-occurrences:</w:t>
      </w:r>
    </w:p>
    <w:p>
      <w:pPr>
        <w:spacing w:before="120" w:after="40"/>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corpus_1_structural_class_distribution.png"/>
                    <pic:cNvPicPr/>
                  </pic:nvPicPr>
                  <pic:blipFill>
                    <a:blip r:embed="rId9"/>
                    <a:stretch>
                      <a:fillRect/>
                    </a:stretch>
                  </pic:blipFill>
                  <pic:spPr>
                    <a:xfrm>
                      <a:off x="0" y="0"/>
                      <a:ext cx="5303520" cy="2946400"/>
                    </a:xfrm>
                    <a:prstGeom prst="rect"/>
                  </pic:spPr>
                </pic:pic>
              </a:graphicData>
            </a:graphic>
          </wp:inline>
        </w:drawing>
      </w:r>
    </w:p>
    <w:p>
      <w:pPr>
        <w:spacing w:after="200"/>
        <w:jc w:val="center"/>
      </w:pPr>
      <w:r>
        <w:rPr>
          <w:i/>
          <w:color w:val="475569"/>
          <w:sz w:val="19"/>
        </w:rPr>
        <w:t>Figure 1: APIstic Structural Corpus: AST Mutation Class Distribution across Breaking (red) and Non-Breaking (green) samples (N=126).</w:t>
      </w:r>
    </w:p>
    <w:p>
      <w:pPr>
        <w:spacing w:before="120" w:after="40"/>
        <w:jc w:val="center"/>
      </w:pPr>
      <w:r>
        <w:drawing>
          <wp:inline xmlns:a="http://schemas.openxmlformats.org/drawingml/2006/main" xmlns:pic="http://schemas.openxmlformats.org/drawingml/2006/picture">
            <wp:extent cx="5303520" cy="2386584"/>
            <wp:docPr id="2" name="Picture 2"/>
            <wp:cNvGraphicFramePr>
              <a:graphicFrameLocks noChangeAspect="1"/>
            </wp:cNvGraphicFramePr>
            <a:graphic>
              <a:graphicData uri="http://schemas.openxmlformats.org/drawingml/2006/picture">
                <pic:pic>
                  <pic:nvPicPr>
                    <pic:cNvPr id="0" name="corpus_1_structural_token_length_kde.png"/>
                    <pic:cNvPicPr/>
                  </pic:nvPicPr>
                  <pic:blipFill>
                    <a:blip r:embed="rId10"/>
                    <a:stretch>
                      <a:fillRect/>
                    </a:stretch>
                  </pic:blipFill>
                  <pic:spPr>
                    <a:xfrm>
                      <a:off x="0" y="0"/>
                      <a:ext cx="5303520" cy="2386584"/>
                    </a:xfrm>
                    <a:prstGeom prst="rect"/>
                  </pic:spPr>
                </pic:pic>
              </a:graphicData>
            </a:graphic>
          </wp:inline>
        </w:drawing>
      </w:r>
    </w:p>
    <w:p>
      <w:pPr>
        <w:spacing w:after="200"/>
        <w:jc w:val="center"/>
      </w:pPr>
      <w:r>
        <w:rPr>
          <w:i/>
          <w:color w:val="475569"/>
          <w:sz w:val="19"/>
        </w:rPr>
        <w:t>Figure 2: Kernel density estimation of word token counts (mean: 9.2 words) and character length box plot for structural mutation clauses.</w:t>
      </w:r>
    </w:p>
    <w:p>
      <w:pPr>
        <w:spacing w:before="120" w:after="4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corpus_1_structural_mutation_cooccurrence_heatmap.png"/>
                    <pic:cNvPicPr/>
                  </pic:nvPicPr>
                  <pic:blipFill>
                    <a:blip r:embed="rId11"/>
                    <a:stretch>
                      <a:fillRect/>
                    </a:stretch>
                  </pic:blipFill>
                  <pic:spPr>
                    <a:xfrm>
                      <a:off x="0" y="0"/>
                      <a:ext cx="5303520" cy="3535680"/>
                    </a:xfrm>
                    <a:prstGeom prst="rect"/>
                  </pic:spPr>
                </pic:pic>
              </a:graphicData>
            </a:graphic>
          </wp:inline>
        </w:drawing>
      </w:r>
    </w:p>
    <w:p>
      <w:pPr>
        <w:spacing w:after="200"/>
        <w:jc w:val="center"/>
      </w:pPr>
      <w:r>
        <w:rPr>
          <w:i/>
          <w:color w:val="475569"/>
          <w:sz w:val="19"/>
        </w:rPr>
        <w:t>Figure 3: Heatmap cross-tabulating target OpenAPI entities against mutation action types across the annotated structural corpus.</w:t>
      </w:r>
    </w:p>
    <w:p>
      <w:pPr>
        <w:spacing w:before="160" w:after="40"/>
      </w:pPr>
      <w:r>
        <w:rPr>
          <w:b/>
          <w:color w:val="1D4ED8"/>
          <w:sz w:val="22"/>
        </w:rPr>
        <w:t>Saatvik Madan - 103223398 (Corpus 2 Exploration)</w:t>
      </w:r>
    </w:p>
    <w:p>
      <w:pPr>
        <w:spacing w:after="120"/>
        <w:jc w:val="both"/>
      </w:pPr>
      <w:r>
        <w:t>The APIstic Semantic STS Corpus was explored to evaluate cosine similarity distributions, semantic drift boundaries, and category separations:</w:t>
      </w:r>
    </w:p>
    <w:p>
      <w:pPr>
        <w:spacing w:before="120" w:after="40"/>
        <w:jc w:val="center"/>
      </w:pPr>
      <w:r>
        <w:drawing>
          <wp:inline xmlns:a="http://schemas.openxmlformats.org/drawingml/2006/main" xmlns:pic="http://schemas.openxmlformats.org/drawingml/2006/picture">
            <wp:extent cx="5303520" cy="3431689"/>
            <wp:docPr id="4" name="Picture 4"/>
            <wp:cNvGraphicFramePr>
              <a:graphicFrameLocks noChangeAspect="1"/>
            </wp:cNvGraphicFramePr>
            <a:graphic>
              <a:graphicData uri="http://schemas.openxmlformats.org/drawingml/2006/picture">
                <pic:pic>
                  <pic:nvPicPr>
                    <pic:cNvPr id="0" name="corpus_2_semantic_similarity_vs_drift_scatter.png"/>
                    <pic:cNvPicPr/>
                  </pic:nvPicPr>
                  <pic:blipFill>
                    <a:blip r:embed="rId12"/>
                    <a:stretch>
                      <a:fillRect/>
                    </a:stretch>
                  </pic:blipFill>
                  <pic:spPr>
                    <a:xfrm>
                      <a:off x="0" y="0"/>
                      <a:ext cx="5303520" cy="3431689"/>
                    </a:xfrm>
                    <a:prstGeom prst="rect"/>
                  </pic:spPr>
                </pic:pic>
              </a:graphicData>
            </a:graphic>
          </wp:inline>
        </w:drawing>
      </w:r>
    </w:p>
    <w:p>
      <w:pPr>
        <w:spacing w:after="200"/>
        <w:jc w:val="center"/>
      </w:pPr>
      <w:r>
        <w:rPr>
          <w:i/>
          <w:color w:val="475569"/>
          <w:sz w:val="19"/>
        </w:rPr>
        <w:t>Figure 4: Scatter plot of cosine semantic similarity vs. calculated semantic drift across 36 documentation sentence pairs with 0.75 drift boundary.</w:t>
      </w:r>
    </w:p>
    <w:p>
      <w:pPr>
        <w:spacing w:before="120" w:after="4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corpus_2_semantic_drift_density_distribution.png"/>
                    <pic:cNvPicPr/>
                  </pic:nvPicPr>
                  <pic:blipFill>
                    <a:blip r:embed="rId13"/>
                    <a:stretch>
                      <a:fillRect/>
                    </a:stretch>
                  </pic:blipFill>
                  <pic:spPr>
                    <a:xfrm>
                      <a:off x="0" y="0"/>
                      <a:ext cx="5303520" cy="3182112"/>
                    </a:xfrm>
                    <a:prstGeom prst="rect"/>
                  </pic:spPr>
                </pic:pic>
              </a:graphicData>
            </a:graphic>
          </wp:inline>
        </w:drawing>
      </w:r>
    </w:p>
    <w:p>
      <w:pPr>
        <w:spacing w:after="200"/>
        <w:jc w:val="center"/>
      </w:pPr>
      <w:r>
        <w:rPr>
          <w:i/>
          <w:color w:val="475569"/>
          <w:sz w:val="19"/>
        </w:rPr>
        <w:t>Figure 5: Bimodal kernel density estimation distinguishing true contract breaks (mode at ~0.48) from benign clarifications (mode at ~0.91).</w:t>
      </w:r>
    </w:p>
    <w:p>
      <w:pPr>
        <w:spacing w:before="120" w:after="40"/>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corpus_2_semantic_category_drift_breakdown.png"/>
                    <pic:cNvPicPr/>
                  </pic:nvPicPr>
                  <pic:blipFill>
                    <a:blip r:embed="rId14"/>
                    <a:stretch>
                      <a:fillRect/>
                    </a:stretch>
                  </pic:blipFill>
                  <pic:spPr>
                    <a:xfrm>
                      <a:off x="0" y="0"/>
                      <a:ext cx="5303520" cy="2651760"/>
                    </a:xfrm>
                    <a:prstGeom prst="rect"/>
                  </pic:spPr>
                </pic:pic>
              </a:graphicData>
            </a:graphic>
          </wp:inline>
        </w:drawing>
      </w:r>
    </w:p>
    <w:p>
      <w:pPr>
        <w:spacing w:after="200"/>
        <w:jc w:val="center"/>
      </w:pPr>
      <w:r>
        <w:rPr>
          <w:i/>
          <w:color w:val="475569"/>
          <w:sz w:val="19"/>
        </w:rPr>
        <w:t>Figure 6: Ranked mean cosine similarity by semantic evolution category with standard deviation error margins.</w:t>
      </w:r>
    </w:p>
    <w:p>
      <w:pPr>
        <w:spacing w:before="160" w:after="40"/>
      </w:pPr>
      <w:r>
        <w:rPr>
          <w:b/>
          <w:color w:val="1D4ED8"/>
          <w:sz w:val="22"/>
        </w:rPr>
        <w:t>KS Arjun - 1032232286 (Corpus 3 &amp; 4 Exploration)</w:t>
      </w:r>
    </w:p>
    <w:p>
      <w:pPr>
        <w:spacing w:after="120"/>
        <w:jc w:val="both"/>
      </w:pPr>
      <w:r>
        <w:t>The API Behavioral Contracts Corpus and the secondary Java Evolution Benchmark were examined for modality representation, severity mapping, and empirical breakage rates:</w:t>
      </w:r>
    </w:p>
    <w:p>
      <w:pPr>
        <w:spacing w:before="120" w:after="40"/>
        <w:jc w:val="center"/>
      </w:pPr>
      <w:r>
        <w:drawing>
          <wp:inline xmlns:a="http://schemas.openxmlformats.org/drawingml/2006/main" xmlns:pic="http://schemas.openxmlformats.org/drawingml/2006/picture">
            <wp:extent cx="5303520" cy="4167051"/>
            <wp:docPr id="7" name="Picture 7"/>
            <wp:cNvGraphicFramePr>
              <a:graphicFrameLocks noChangeAspect="1"/>
            </wp:cNvGraphicFramePr>
            <a:graphic>
              <a:graphicData uri="http://schemas.openxmlformats.org/drawingml/2006/picture">
                <pic:pic>
                  <pic:nvPicPr>
                    <pic:cNvPr id="0" name="corpus_3_behavioral_deontic_modality_distribution.png"/>
                    <pic:cNvPicPr/>
                  </pic:nvPicPr>
                  <pic:blipFill>
                    <a:blip r:embed="rId15"/>
                    <a:stretch>
                      <a:fillRect/>
                    </a:stretch>
                  </pic:blipFill>
                  <pic:spPr>
                    <a:xfrm>
                      <a:off x="0" y="0"/>
                      <a:ext cx="5303520" cy="4167051"/>
                    </a:xfrm>
                    <a:prstGeom prst="rect"/>
                  </pic:spPr>
                </pic:pic>
              </a:graphicData>
            </a:graphic>
          </wp:inline>
        </w:drawing>
      </w:r>
    </w:p>
    <w:p>
      <w:pPr>
        <w:spacing w:after="200"/>
        <w:jc w:val="center"/>
      </w:pPr>
      <w:r>
        <w:rPr>
          <w:i/>
          <w:color w:val="475569"/>
          <w:sz w:val="19"/>
        </w:rPr>
        <w:t>Figure 7: Deontic modalities distribution across annotated contract clauses in APIstic Behavioral Corpus (N=126).</w:t>
      </w:r>
    </w:p>
    <w:p>
      <w:pPr>
        <w:spacing w:before="12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corpus_3_behavioral_modality_vs_severity_heatmap.png"/>
                    <pic:cNvPicPr/>
                  </pic:nvPicPr>
                  <pic:blipFill>
                    <a:blip r:embed="rId16"/>
                    <a:stretch>
                      <a:fillRect/>
                    </a:stretch>
                  </pic:blipFill>
                  <pic:spPr>
                    <a:xfrm>
                      <a:off x="0" y="0"/>
                      <a:ext cx="5303520" cy="3314700"/>
                    </a:xfrm>
                    <a:prstGeom prst="rect"/>
                  </pic:spPr>
                </pic:pic>
              </a:graphicData>
            </a:graphic>
          </wp:inline>
        </w:drawing>
      </w:r>
    </w:p>
    <w:p>
      <w:pPr>
        <w:spacing w:after="200"/>
        <w:jc w:val="center"/>
      </w:pPr>
      <w:r>
        <w:rPr>
          <w:i/>
          <w:color w:val="475569"/>
          <w:sz w:val="19"/>
        </w:rPr>
        <w:t>Figure 8: Matrix heatmap correlating linguistic deontic modalities against assigned downstream client severity levels.</w:t>
      </w:r>
    </w:p>
    <w:p>
      <w:pPr>
        <w:spacing w:before="120" w:after="4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corpus_3_behavioral_breaking_probability_by_modality.png"/>
                    <pic:cNvPicPr/>
                  </pic:nvPicPr>
                  <pic:blipFill>
                    <a:blip r:embed="rId17"/>
                    <a:stretch>
                      <a:fillRect/>
                    </a:stretch>
                  </pic:blipFill>
                  <pic:spPr>
                    <a:xfrm>
                      <a:off x="0" y="0"/>
                      <a:ext cx="5303520" cy="2983230"/>
                    </a:xfrm>
                    <a:prstGeom prst="rect"/>
                  </pic:spPr>
                </pic:pic>
              </a:graphicData>
            </a:graphic>
          </wp:inline>
        </w:drawing>
      </w:r>
    </w:p>
    <w:p>
      <w:pPr>
        <w:spacing w:after="200"/>
        <w:jc w:val="center"/>
      </w:pPr>
      <w:r>
        <w:rPr>
          <w:i/>
          <w:color w:val="475569"/>
          <w:sz w:val="19"/>
        </w:rPr>
        <w:t>Figure 9: Empirical breaking probability by deontic modality: Prohibitions (100%), Obligations (100%), Preconditions (100%) vs. Permissions (0%).</w:t>
      </w:r>
    </w:p>
    <w:p>
      <w:pPr>
        <w:spacing w:before="120" w:after="40"/>
        <w:jc w:val="center"/>
      </w:pPr>
      <w:r>
        <w:drawing>
          <wp:inline xmlns:a="http://schemas.openxmlformats.org/drawingml/2006/main" xmlns:pic="http://schemas.openxmlformats.org/drawingml/2006/picture">
            <wp:extent cx="5303520" cy="2828544"/>
            <wp:docPr id="10" name="Picture 10"/>
            <wp:cNvGraphicFramePr>
              <a:graphicFrameLocks noChangeAspect="1"/>
            </wp:cNvGraphicFramePr>
            <a:graphic>
              <a:graphicData uri="http://schemas.openxmlformats.org/drawingml/2006/picture">
                <pic:pic>
                  <pic:nvPicPr>
                    <pic:cNvPr id="0" name="corpus_4_java_evolution_framework_distribution.png"/>
                    <pic:cNvPicPr/>
                  </pic:nvPicPr>
                  <pic:blipFill>
                    <a:blip r:embed="rId18"/>
                    <a:stretch>
                      <a:fillRect/>
                    </a:stretch>
                  </pic:blipFill>
                  <pic:spPr>
                    <a:xfrm>
                      <a:off x="0" y="0"/>
                      <a:ext cx="5303520" cy="2828544"/>
                    </a:xfrm>
                    <a:prstGeom prst="rect"/>
                  </pic:spPr>
                </pic:pic>
              </a:graphicData>
            </a:graphic>
          </wp:inline>
        </w:drawing>
      </w:r>
    </w:p>
    <w:p>
      <w:pPr>
        <w:spacing w:after="200"/>
        <w:jc w:val="center"/>
      </w:pPr>
      <w:r>
        <w:rPr>
          <w:i/>
          <w:color w:val="475569"/>
          <w:sz w:val="19"/>
        </w:rPr>
        <w:t>Figure 10: Java API Evolution Benchmark ground-truth cases: 174 breaking vs. 77 non-breaking changes across 5 production frameworks (N=251).</w:t>
      </w:r>
    </w:p>
    <w:p>
      <w:pPr>
        <w:spacing w:before="120" w:after="40"/>
        <w:jc w:val="center"/>
      </w:pPr>
      <w:r>
        <w:drawing>
          <wp:inline xmlns:a="http://schemas.openxmlformats.org/drawingml/2006/main" xmlns:pic="http://schemas.openxmlformats.org/drawingml/2006/picture">
            <wp:extent cx="5303520" cy="2757830"/>
            <wp:docPr id="11" name="Picture 11"/>
            <wp:cNvGraphicFramePr>
              <a:graphicFrameLocks noChangeAspect="1"/>
            </wp:cNvGraphicFramePr>
            <a:graphic>
              <a:graphicData uri="http://schemas.openxmlformats.org/drawingml/2006/picture">
                <pic:pic>
                  <pic:nvPicPr>
                    <pic:cNvPr id="0" name="corpus_4_java_to_rest_taxonomy_mapping.png"/>
                    <pic:cNvPicPr/>
                  </pic:nvPicPr>
                  <pic:blipFill>
                    <a:blip r:embed="rId19"/>
                    <a:stretch>
                      <a:fillRect/>
                    </a:stretch>
                  </pic:blipFill>
                  <pic:spPr>
                    <a:xfrm>
                      <a:off x="0" y="0"/>
                      <a:ext cx="5303520" cy="2757830"/>
                    </a:xfrm>
                    <a:prstGeom prst="rect"/>
                  </pic:spPr>
                </pic:pic>
              </a:graphicData>
            </a:graphic>
          </wp:inline>
        </w:drawing>
      </w:r>
    </w:p>
    <w:p>
      <w:pPr>
        <w:spacing w:after="200"/>
        <w:jc w:val="center"/>
      </w:pPr>
      <w:r>
        <w:rPr>
          <w:i/>
          <w:color w:val="475569"/>
          <w:sz w:val="19"/>
        </w:rPr>
        <w:t>Figure 11: Cross-validation taxonomy mapping 8 Java library mutation categories to REST OpenAPI counterparts on our 0-100 risk score scale.</w:t>
      </w:r>
    </w:p>
    <w:p>
      <w:pPr>
        <w:spacing w:before="200" w:after="80"/>
      </w:pPr>
      <w:r>
        <w:rPr>
          <w:b/>
          <w:color w:val="1E3A8A"/>
          <w:sz w:val="23"/>
        </w:rPr>
        <w:t>2.5 Implementation</w:t>
      </w:r>
    </w:p>
    <w:p>
      <w:pPr>
        <w:spacing w:before="160" w:after="40"/>
      </w:pPr>
      <w:r>
        <w:rPr>
          <w:b/>
          <w:color w:val="1D4ED8"/>
          <w:sz w:val="22"/>
        </w:rPr>
        <w:t>Tanmay Saxena - 1032233295</w:t>
      </w:r>
    </w:p>
    <w:p>
      <w:pPr>
        <w:spacing w:after="120"/>
        <w:jc w:val="both"/>
      </w:pPr>
      <w:r>
        <w:t>Tanmay's implementation is realized in Python using PyYAML and DeepDiff for specification parsing and hierarchical tree comparison. The normalization pipeline resolves recursive JSON pointer references ($ref) and converts Swagger 2.0 schemas into canonical OpenAPI 3.0 representations. Structural AST mutations are tokenized using Scikit-Learn's TfidfVectorizer (word 1-3 grams, char 3-5 grams, max_features=1000) and classified using an MLPClassifier with two hidden layers (64, 32), ReLU activation, and L2 regularization (alpha=1e-4). The engine is exposed via POST /api/analyses/structural and integrated into the React/Vite dashboard.</w:t>
      </w:r>
    </w:p>
    <w:p>
      <w:pPr>
        <w:spacing w:before="160" w:after="40"/>
      </w:pPr>
      <w:r>
        <w:rPr>
          <w:b/>
          <w:color w:val="1D4ED8"/>
          <w:sz w:val="22"/>
        </w:rPr>
        <w:t>Saatvik Madan - 103223398</w:t>
      </w:r>
    </w:p>
    <w:p>
      <w:pPr>
        <w:spacing w:after="120"/>
        <w:jc w:val="both"/>
      </w:pPr>
      <w:r>
        <w:t>Saatvik's semantic analysis engine utilizes PyTorch and Hugging Face Sentence-Transformers. The core embedding model employs sentence-transformers/all-MiniLM-L6-v2, which projects input text into 384-dimensional dense vectors. Fine-tuning is executed using SentenceTransformers' CosineSimilarityLoss with an AdamW optimizer (learning rate = 2e-5, warmup steps = 10, batch size = 8) over 4 epochs. Similarity scores are computed via dot product between normalized vectors. The engine is encapsulated in SemanticAnalyzer, exposed via POST /api/semantic-test, and features an interactive sandbox in the frontend.</w:t>
      </w:r>
    </w:p>
    <w:p>
      <w:pPr>
        <w:spacing w:before="160" w:after="40"/>
      </w:pPr>
      <w:r>
        <w:rPr>
          <w:b/>
          <w:color w:val="1D4ED8"/>
          <w:sz w:val="22"/>
        </w:rPr>
        <w:t>KS Arjun - 1032232286</w:t>
      </w:r>
    </w:p>
    <w:p>
      <w:pPr>
        <w:spacing w:after="120"/>
        <w:jc w:val="both"/>
      </w:pPr>
      <w:r>
        <w:t>Arjun's behavioral impact engine is built using spaCy (en_core_web_sm) with custom Matcher patterns extracting deontic auxiliary verbs (must, shall, may, can), negation particles (not, never, forbidden), and condition markers (if, unless, prior to). A dual-head classifier predicts modality and downstream severity. The synthesis engine aggregates structural breaks, semantic drift, and modal shifts into a 0–100 API Breaking Risk Score. The migration recommender uses Jinja2 templates to generate remediation code in cURL, Python Requests, and TypeScript Axios. The system is served via FastAPI with SQLite persistence and an interactive React dashboard.</w:t>
      </w:r>
    </w:p>
    <w:p>
      <w:pPr>
        <w:spacing w:before="200" w:after="80"/>
      </w:pPr>
      <w:r>
        <w:rPr>
          <w:b/>
          <w:color w:val="1E3A8A"/>
          <w:sz w:val="23"/>
        </w:rPr>
        <w:t>2.5.1 Implementation Flow</w:t>
      </w:r>
    </w:p>
    <w:p>
      <w:pPr>
        <w:spacing w:after="120"/>
        <w:jc w:val="both"/>
      </w:pPr>
      <w:r>
        <w:t>To integrate the specialist subsystems developed across the three research tracks into a cohesive, high-throughput analytical platform, an end-to-end multi-tiered implementation pipeline was engineered. Figure 12 delineates the complete implementation flow of the system, tracing data movement from raw OpenAPI/Swagger specification ingestion to actionable multi-language migration recommendation and interactive developer dashboard rendering.</w:t>
      </w:r>
    </w:p>
    <w:p>
      <w:pPr>
        <w:spacing w:before="120" w:after="40"/>
        <w:jc w:val="center"/>
      </w:pPr>
      <w:r>
        <w:drawing>
          <wp:inline xmlns:a="http://schemas.openxmlformats.org/drawingml/2006/main" xmlns:pic="http://schemas.openxmlformats.org/drawingml/2006/picture">
            <wp:extent cx="3474720" cy="6732270"/>
            <wp:docPr id="12" name="Picture 12"/>
            <wp:cNvGraphicFramePr>
              <a:graphicFrameLocks noChangeAspect="1"/>
            </wp:cNvGraphicFramePr>
            <a:graphic>
              <a:graphicData uri="http://schemas.openxmlformats.org/drawingml/2006/picture">
                <pic:pic>
                  <pic:nvPicPr>
                    <pic:cNvPr id="0" name="implementation_flowchart.png"/>
                    <pic:cNvPicPr/>
                  </pic:nvPicPr>
                  <pic:blipFill>
                    <a:blip r:embed="rId20"/>
                    <a:stretch>
                      <a:fillRect/>
                    </a:stretch>
                  </pic:blipFill>
                  <pic:spPr>
                    <a:xfrm>
                      <a:off x="0" y="0"/>
                      <a:ext cx="3474720" cy="6732270"/>
                    </a:xfrm>
                    <a:prstGeom prst="rect"/>
                  </pic:spPr>
                </pic:pic>
              </a:graphicData>
            </a:graphic>
          </wp:inline>
        </w:drawing>
      </w:r>
    </w:p>
    <w:p>
      <w:pPr>
        <w:spacing w:after="200"/>
        <w:jc w:val="center"/>
      </w:pPr>
      <w:r>
        <w:rPr>
          <w:i/>
          <w:color w:val="475569"/>
          <w:sz w:val="19"/>
        </w:rPr>
        <w:t>Figure 12: Implementation Flow Diagram: End-to-end API evolution impact analysis pipeline.</w:t>
      </w:r>
    </w:p>
    <w:p>
      <w:pPr>
        <w:spacing w:after="120"/>
        <w:jc w:val="both"/>
      </w:pPr>
      <w:r>
        <w:t>As illustrated in the implementation flow diagram (Figure 12), the operational lifecycle executes across the following key stages:</w:t>
      </w:r>
    </w:p>
    <w:p>
      <w:pPr>
        <w:spacing w:after="120"/>
        <w:jc w:val="both"/>
      </w:pPr>
      <w:r>
        <w:t>1. Specification Ingestion &amp; Canonical Normalization Pipeline: The workflow ingests baseline (V1) and evolved (V2) OpenAPI 3.x or Swagger 2.0 specifications in JSON or YAML format. A preprocessing normalization pipeline dereferences circular definitions, resolves local and external JSON pointer ($ref) references, unpacks nested component schemas, and translates legacy Swagger structures into canonical OpenAPI 3.0 representations. Aligned data artifacts are partitioned into structural AST nodes (endpoints, parameters, schemas) and natural language docstring pairs.</w:t>
      </w:r>
    </w:p>
    <w:p>
      <w:pPr>
        <w:spacing w:after="120"/>
        <w:jc w:val="both"/>
      </w:pPr>
      <w:r>
        <w:t>2. Parallel Tri-Tier Analytical Processing: The normalized specification artifacts are simultaneously routed to three specialist analytical tiers: (a) Tier 1 (Tanmay Saxena) executes deterministic AST tree traversal using DeepDiff to identify schema additions, type mutations, enum constraints, and required flag toggles. Ambiguous diffs are converted into character (3–5 grams) and word (1–3 grams) TF-IDF representations and categorized by a trained two-layer Multi-Layer Perceptron (64x32 hidden units, ReLU, Adam optimizer) into 6 canonical mutation classes (91.7% accuracy); (b) Tier 2 (Saatvik Madan) normalizes natural language docstrings and projects them into a 384-dimensional dense semantic vector space via a domain-adapted Bi-Encoder Sentence Transformer (all-MiniLM-L6-v2 fine-tuned with CosineSimilarityLoss). Cosine similarity and semantic drift (1.0 - CosineSimilarity) are computed, applying a calibrated cutoff threshold (tau = 0.75) to detect subtle scope contractions and execution timing changes; and (c) Tier 3 (KS Arjun) parses technical descriptions through spaCy's linguistic dependency engine (en_core_web_sm) with custom token matchers to isolate modal auxiliaries (must, shall, may, cannot), negation particles, and condition markers. A dual-head classifier predicts 6 deontic modalities (94.4% accuracy) and downstream severity, feeding a Behavioral Comparator that detects restrictive contract tightening.</w:t>
      </w:r>
    </w:p>
    <w:p>
      <w:pPr>
        <w:spacing w:after="120"/>
        <w:jc w:val="both"/>
      </w:pPr>
      <w:r>
        <w:t>3. Multi-Source Impact Synthesis &amp; Risk Scoring Engine: The synthesis engine aggregates evidence vectors from all three tiers—structural AST change records, dense semantic drift ratings, and deontic contract shifts. It computes a calibrated, composite API Breaking Risk Score (0–100) and assigns an overarching taxonomic categorization: STRUCTURAL_BREAKING, BEHAVIORAL_BREAKING, DUAL_BREAKING, or NON_BREAKING. This multi-source evidence fusion elevates breaking change detection recall from 28.6% (traditional AST baseline) to 71.4% with 95.2% precision (F1 = 81.6%).</w:t>
      </w:r>
    </w:p>
    <w:p>
      <w:pPr>
        <w:spacing w:after="120"/>
        <w:jc w:val="both"/>
      </w:pPr>
      <w:r>
        <w:t>4. Automated Remediation &amp; Full-Stack Deployment: For detected breaking mutations, an automated client migration recommender utilizes Jinja2 templates to synthesize syntactically valid before/after remediation snippets across three client runtimes: cURL, Python (Requests), and TypeScript (Axios). The entire pipeline is exposed through a high-performance FastAPI REST API (/api/analyses, /api/semantic-test, /api/evaluation, /api/exports), backed by local SQLite relational persistence, and presented through an interactive React 19 / TypeScript / Vite developer dashboard featuring Recharts visual analytics and multi-format reporting.</w:t>
      </w:r>
    </w:p>
    <w:p>
      <w:pPr>
        <w:spacing w:before="200" w:after="80"/>
      </w:pPr>
      <w:r>
        <w:rPr>
          <w:b/>
          <w:color w:val="1E3A8A"/>
          <w:sz w:val="23"/>
        </w:rPr>
        <w:t>2.6 Results</w:t>
      </w:r>
    </w:p>
    <w:p>
      <w:pPr>
        <w:spacing w:after="120"/>
        <w:jc w:val="both"/>
      </w:pPr>
      <w:r>
        <w:t>Table 2 provides a consolidated summary of the empirical evaluation metrics (Accuracy, Precision, Recall, and F1-Score / Loss) across each individual specialist NLP model and contrasts the holistic system benchmark against the traditional structural AST baseline: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Pr>
          <w:p>
            <w:r>
              <w:rPr>
                <w:b/>
                <w:color w:val="FFFFFF"/>
                <w:sz w:val="17"/>
              </w:rPr>
              <w:t>Model / Subsystem</w:t>
            </w:r>
          </w:p>
        </w:tc>
        <w:tc>
          <w:tcPr>
            <w:tcW w:type="dxa" w:w="1337"/>
            <w:shd w:fill="1E3A8A"/>
          </w:tcPr>
          <w:p>
            <w:r>
              <w:rPr>
                <w:b/>
                <w:color w:val="FFFFFF"/>
                <w:sz w:val="17"/>
              </w:rPr>
              <w:t>Member</w:t>
            </w:r>
          </w:p>
        </w:tc>
        <w:tc>
          <w:tcPr>
            <w:tcW w:type="dxa" w:w="1337"/>
            <w:shd w:fill="1E3A8A"/>
          </w:tcPr>
          <w:p>
            <w:r>
              <w:rPr>
                <w:b/>
                <w:color w:val="FFFFFF"/>
                <w:sz w:val="17"/>
              </w:rPr>
              <w:t>Architecture / NLP Task</w:t>
            </w:r>
          </w:p>
        </w:tc>
        <w:tc>
          <w:tcPr>
            <w:tcW w:type="dxa" w:w="1337"/>
            <w:shd w:fill="1E3A8A"/>
          </w:tcPr>
          <w:p>
            <w:r>
              <w:rPr>
                <w:b/>
                <w:color w:val="FFFFFF"/>
                <w:sz w:val="17"/>
              </w:rPr>
              <w:t>Accuracy</w:t>
            </w:r>
          </w:p>
        </w:tc>
        <w:tc>
          <w:tcPr>
            <w:tcW w:type="dxa" w:w="1337"/>
            <w:shd w:fill="1E3A8A"/>
          </w:tcPr>
          <w:p>
            <w:r>
              <w:rPr>
                <w:b/>
                <w:color w:val="FFFFFF"/>
                <w:sz w:val="17"/>
              </w:rPr>
              <w:t>Precision</w:t>
            </w:r>
          </w:p>
        </w:tc>
        <w:tc>
          <w:tcPr>
            <w:tcW w:type="dxa" w:w="1337"/>
            <w:shd w:fill="1E3A8A"/>
          </w:tcPr>
          <w:p>
            <w:r>
              <w:rPr>
                <w:b/>
                <w:color w:val="FFFFFF"/>
                <w:sz w:val="17"/>
              </w:rPr>
              <w:t>Recall</w:t>
            </w:r>
          </w:p>
        </w:tc>
        <w:tc>
          <w:tcPr>
            <w:tcW w:type="dxa" w:w="1337"/>
            <w:shd w:fill="1E3A8A"/>
          </w:tcPr>
          <w:p>
            <w:r>
              <w:rPr>
                <w:b/>
                <w:color w:val="FFFFFF"/>
                <w:sz w:val="17"/>
              </w:rPr>
              <w:t>F1 / Metric</w:t>
            </w:r>
          </w:p>
        </w:tc>
      </w:tr>
      <w:tr>
        <w:tc>
          <w:tcPr>
            <w:tcW w:type="dxa" w:w="1337"/>
          </w:tcPr>
          <w:p>
            <w:r>
              <w:rPr>
                <w:sz w:val="16"/>
              </w:rPr>
              <w:t>Student 1: Structural AST</w:t>
            </w:r>
          </w:p>
        </w:tc>
        <w:tc>
          <w:tcPr>
            <w:tcW w:type="dxa" w:w="1337"/>
          </w:tcPr>
          <w:p>
            <w:r>
              <w:rPr>
                <w:sz w:val="16"/>
              </w:rPr>
              <w:t>Tanmay</w:t>
            </w:r>
          </w:p>
        </w:tc>
        <w:tc>
          <w:tcPr>
            <w:tcW w:type="dxa" w:w="1337"/>
          </w:tcPr>
          <w:p>
            <w:r>
              <w:rPr>
                <w:sz w:val="16"/>
              </w:rPr>
              <w:t>TF-IDF + MLP (64x32)</w:t>
              <w:br/>
              <w:t>6 Mutation Classes (N=36 test)</w:t>
            </w:r>
          </w:p>
        </w:tc>
        <w:tc>
          <w:tcPr>
            <w:tcW w:type="dxa" w:w="1337"/>
          </w:tcPr>
          <w:p>
            <w:r>
              <w:rPr>
                <w:sz w:val="16"/>
              </w:rPr>
              <w:t>91.7%</w:t>
            </w:r>
          </w:p>
        </w:tc>
        <w:tc>
          <w:tcPr>
            <w:tcW w:type="dxa" w:w="1337"/>
          </w:tcPr>
          <w:p>
            <w:r>
              <w:rPr>
                <w:sz w:val="16"/>
              </w:rPr>
              <w:t>93.5%</w:t>
            </w:r>
          </w:p>
        </w:tc>
        <w:tc>
          <w:tcPr>
            <w:tcW w:type="dxa" w:w="1337"/>
          </w:tcPr>
          <w:p>
            <w:r>
              <w:rPr>
                <w:sz w:val="16"/>
              </w:rPr>
              <w:t>91.7%</w:t>
            </w:r>
          </w:p>
        </w:tc>
        <w:tc>
          <w:tcPr>
            <w:tcW w:type="dxa" w:w="1337"/>
          </w:tcPr>
          <w:p>
            <w:r>
              <w:rPr>
                <w:sz w:val="16"/>
              </w:rPr>
              <w:t>91.8% F1</w:t>
            </w:r>
          </w:p>
        </w:tc>
      </w:tr>
      <w:tr>
        <w:tc>
          <w:tcPr>
            <w:tcW w:type="dxa" w:w="1337"/>
            <w:shd w:fill="F1F5F9"/>
          </w:tcPr>
          <w:p>
            <w:r>
              <w:rPr>
                <w:sz w:val="16"/>
              </w:rPr>
              <w:t>Student 2: Semantic Bi-Encoder</w:t>
            </w:r>
          </w:p>
        </w:tc>
        <w:tc>
          <w:tcPr>
            <w:tcW w:type="dxa" w:w="1337"/>
            <w:shd w:fill="F1F5F9"/>
          </w:tcPr>
          <w:p>
            <w:r>
              <w:rPr>
                <w:sz w:val="16"/>
              </w:rPr>
              <w:t>Saatvik</w:t>
            </w:r>
          </w:p>
        </w:tc>
        <w:tc>
          <w:tcPr>
            <w:tcW w:type="dxa" w:w="1337"/>
            <w:shd w:fill="F1F5F9"/>
          </w:tcPr>
          <w:p>
            <w:r>
              <w:rPr>
                <w:sz w:val="16"/>
              </w:rPr>
              <w:t>all-MiniLM-L6-v2</w:t>
              <w:br/>
              <w:t>STS &amp; Meaning Drift (N=10 test)</w:t>
            </w:r>
          </w:p>
        </w:tc>
        <w:tc>
          <w:tcPr>
            <w:tcW w:type="dxa" w:w="1337"/>
            <w:shd w:fill="F1F5F9"/>
          </w:tcPr>
          <w:p>
            <w:r>
              <w:rPr>
                <w:sz w:val="16"/>
              </w:rPr>
              <w:t>—</w:t>
            </w:r>
          </w:p>
        </w:tc>
        <w:tc>
          <w:tcPr>
            <w:tcW w:type="dxa" w:w="1337"/>
            <w:shd w:fill="F1F5F9"/>
          </w:tcPr>
          <w:p>
            <w:r>
              <w:rPr>
                <w:sz w:val="16"/>
              </w:rPr>
              <w:t>—</w:t>
            </w:r>
          </w:p>
        </w:tc>
        <w:tc>
          <w:tcPr>
            <w:tcW w:type="dxa" w:w="1337"/>
            <w:shd w:fill="F1F5F9"/>
          </w:tcPr>
          <w:p>
            <w:r>
              <w:rPr>
                <w:sz w:val="16"/>
              </w:rPr>
              <w:t>—</w:t>
            </w:r>
          </w:p>
        </w:tc>
        <w:tc>
          <w:tcPr>
            <w:tcW w:type="dxa" w:w="1337"/>
            <w:shd w:fill="F1F5F9"/>
          </w:tcPr>
          <w:p>
            <w:r>
              <w:rPr>
                <w:sz w:val="16"/>
              </w:rPr>
              <w:t>MSE: 0.0376</w:t>
              <w:br/>
              <w:t>(r = 0.368)</w:t>
            </w:r>
          </w:p>
        </w:tc>
      </w:tr>
      <w:tr>
        <w:tc>
          <w:tcPr>
            <w:tcW w:type="dxa" w:w="1337"/>
          </w:tcPr>
          <w:p>
            <w:r>
              <w:rPr>
                <w:sz w:val="16"/>
              </w:rPr>
              <w:t>Student 3: Deontic Modality (Head A)</w:t>
            </w:r>
          </w:p>
        </w:tc>
        <w:tc>
          <w:tcPr>
            <w:tcW w:type="dxa" w:w="1337"/>
          </w:tcPr>
          <w:p>
            <w:r>
              <w:rPr>
                <w:sz w:val="16"/>
              </w:rPr>
              <w:t>Arjun</w:t>
            </w:r>
          </w:p>
        </w:tc>
        <w:tc>
          <w:tcPr>
            <w:tcW w:type="dxa" w:w="1337"/>
          </w:tcPr>
          <w:p>
            <w:r>
              <w:rPr>
                <w:sz w:val="16"/>
              </w:rPr>
              <w:t>spaCy + Neural Classifier</w:t>
              <w:br/>
              <w:t>6 Modal Classes (N=36 test)</w:t>
            </w:r>
          </w:p>
        </w:tc>
        <w:tc>
          <w:tcPr>
            <w:tcW w:type="dxa" w:w="1337"/>
          </w:tcPr>
          <w:p>
            <w:r>
              <w:rPr>
                <w:sz w:val="16"/>
              </w:rPr>
              <w:t>94.4%</w:t>
            </w:r>
          </w:p>
        </w:tc>
        <w:tc>
          <w:tcPr>
            <w:tcW w:type="dxa" w:w="1337"/>
          </w:tcPr>
          <w:p>
            <w:r>
              <w:rPr>
                <w:sz w:val="16"/>
              </w:rPr>
              <w:t>94.8%</w:t>
            </w:r>
          </w:p>
        </w:tc>
        <w:tc>
          <w:tcPr>
            <w:tcW w:type="dxa" w:w="1337"/>
          </w:tcPr>
          <w:p>
            <w:r>
              <w:rPr>
                <w:sz w:val="16"/>
              </w:rPr>
              <w:t>94.4%</w:t>
            </w:r>
          </w:p>
        </w:tc>
        <w:tc>
          <w:tcPr>
            <w:tcW w:type="dxa" w:w="1337"/>
          </w:tcPr>
          <w:p>
            <w:r>
              <w:rPr>
                <w:sz w:val="16"/>
              </w:rPr>
              <w:t>94.1% F1</w:t>
            </w:r>
          </w:p>
        </w:tc>
      </w:tr>
      <w:tr>
        <w:tc>
          <w:tcPr>
            <w:tcW w:type="dxa" w:w="1337"/>
            <w:shd w:fill="F1F5F9"/>
          </w:tcPr>
          <w:p>
            <w:r>
              <w:rPr>
                <w:sz w:val="16"/>
              </w:rPr>
              <w:t>Student 3: Breaking Severity (Head B)</w:t>
            </w:r>
          </w:p>
        </w:tc>
        <w:tc>
          <w:tcPr>
            <w:tcW w:type="dxa" w:w="1337"/>
            <w:shd w:fill="F1F5F9"/>
          </w:tcPr>
          <w:p>
            <w:r>
              <w:rPr>
                <w:sz w:val="16"/>
              </w:rPr>
              <w:t>Arjun</w:t>
            </w:r>
          </w:p>
        </w:tc>
        <w:tc>
          <w:tcPr>
            <w:tcW w:type="dxa" w:w="1337"/>
            <w:shd w:fill="F1F5F9"/>
          </w:tcPr>
          <w:p>
            <w:r>
              <w:rPr>
                <w:sz w:val="16"/>
              </w:rPr>
              <w:t>Logistic Regression (C=2.0)</w:t>
              <w:br/>
              <w:t>5 Severity Classes (N=36 test)</w:t>
            </w:r>
          </w:p>
        </w:tc>
        <w:tc>
          <w:tcPr>
            <w:tcW w:type="dxa" w:w="1337"/>
            <w:shd w:fill="F1F5F9"/>
          </w:tcPr>
          <w:p>
            <w:r>
              <w:rPr>
                <w:sz w:val="16"/>
              </w:rPr>
              <w:t>55.6%</w:t>
            </w:r>
          </w:p>
        </w:tc>
        <w:tc>
          <w:tcPr>
            <w:tcW w:type="dxa" w:w="1337"/>
            <w:shd w:fill="F1F5F9"/>
          </w:tcPr>
          <w:p>
            <w:r>
              <w:rPr>
                <w:sz w:val="16"/>
              </w:rPr>
              <w:t>57.4%</w:t>
            </w:r>
          </w:p>
        </w:tc>
        <w:tc>
          <w:tcPr>
            <w:tcW w:type="dxa" w:w="1337"/>
            <w:shd w:fill="F1F5F9"/>
          </w:tcPr>
          <w:p>
            <w:r>
              <w:rPr>
                <w:sz w:val="16"/>
              </w:rPr>
              <w:t>55.6%</w:t>
            </w:r>
          </w:p>
        </w:tc>
        <w:tc>
          <w:tcPr>
            <w:tcW w:type="dxa" w:w="1337"/>
            <w:shd w:fill="F1F5F9"/>
          </w:tcPr>
          <w:p>
            <w:r>
              <w:rPr>
                <w:sz w:val="16"/>
              </w:rPr>
              <w:t>51.2% F1</w:t>
            </w:r>
          </w:p>
        </w:tc>
      </w:tr>
      <w:tr>
        <w:tc>
          <w:tcPr>
            <w:tcW w:type="dxa" w:w="1337"/>
          </w:tcPr>
          <w:p>
            <w:r>
              <w:rPr>
                <w:sz w:val="16"/>
              </w:rPr>
              <w:t>Traditional AST Baseline</w:t>
            </w:r>
          </w:p>
        </w:tc>
        <w:tc>
          <w:tcPr>
            <w:tcW w:type="dxa" w:w="1337"/>
          </w:tcPr>
          <w:p>
            <w:r>
              <w:rPr>
                <w:sz w:val="16"/>
              </w:rPr>
              <w:t>Baseline Diff</w:t>
            </w:r>
          </w:p>
        </w:tc>
        <w:tc>
          <w:tcPr>
            <w:tcW w:type="dxa" w:w="1337"/>
          </w:tcPr>
          <w:p>
            <w:r>
              <w:rPr>
                <w:sz w:val="16"/>
              </w:rPr>
              <w:t>OpenAPI Key Traversal</w:t>
              <w:br/>
              <w:t>Structural Diffing (N=45 cases)</w:t>
            </w:r>
          </w:p>
        </w:tc>
        <w:tc>
          <w:tcPr>
            <w:tcW w:type="dxa" w:w="1337"/>
          </w:tcPr>
          <w:p>
            <w:r>
              <w:rPr>
                <w:sz w:val="16"/>
              </w:rPr>
              <w:t>55.6%</w:t>
            </w:r>
          </w:p>
        </w:tc>
        <w:tc>
          <w:tcPr>
            <w:tcW w:type="dxa" w:w="1337"/>
          </w:tcPr>
          <w:p>
            <w:r>
              <w:rPr>
                <w:sz w:val="16"/>
              </w:rPr>
              <w:t>100.0%</w:t>
            </w:r>
          </w:p>
        </w:tc>
        <w:tc>
          <w:tcPr>
            <w:tcW w:type="dxa" w:w="1337"/>
          </w:tcPr>
          <w:p>
            <w:r>
              <w:rPr>
                <w:sz w:val="16"/>
              </w:rPr>
              <w:t>28.6%</w:t>
            </w:r>
          </w:p>
        </w:tc>
        <w:tc>
          <w:tcPr>
            <w:tcW w:type="dxa" w:w="1337"/>
          </w:tcPr>
          <w:p>
            <w:r>
              <w:rPr>
                <w:sz w:val="16"/>
              </w:rPr>
              <w:t>44.4% F1</w:t>
            </w:r>
          </w:p>
        </w:tc>
      </w:tr>
      <w:tr>
        <w:tc>
          <w:tcPr>
            <w:tcW w:type="dxa" w:w="1337"/>
            <w:shd w:fill="F1F5F9"/>
            <w:shd w:fill="EFF6FF"/>
          </w:tcPr>
          <w:p>
            <w:r>
              <w:rPr>
                <w:b/>
                <w:sz w:val="16"/>
              </w:rPr>
              <w:t>Proposed Dual NLP Engine</w:t>
            </w:r>
          </w:p>
        </w:tc>
        <w:tc>
          <w:tcPr>
            <w:tcW w:type="dxa" w:w="1337"/>
            <w:shd w:fill="F1F5F9"/>
            <w:shd w:fill="EFF6FF"/>
          </w:tcPr>
          <w:p>
            <w:r>
              <w:rPr>
                <w:b/>
                <w:sz w:val="16"/>
              </w:rPr>
              <w:t>Team 4</w:t>
            </w:r>
          </w:p>
        </w:tc>
        <w:tc>
          <w:tcPr>
            <w:tcW w:type="dxa" w:w="1337"/>
            <w:shd w:fill="F1F5F9"/>
            <w:shd w:fill="EFF6FF"/>
          </w:tcPr>
          <w:p>
            <w:r>
              <w:rPr>
                <w:b/>
                <w:sz w:val="16"/>
              </w:rPr>
              <w:t>Structural + STS + Deontic</w:t>
              <w:br/>
              <w:t>Integrated System (N=45 cases)</w:t>
            </w:r>
          </w:p>
        </w:tc>
        <w:tc>
          <w:tcPr>
            <w:tcW w:type="dxa" w:w="1337"/>
            <w:shd w:fill="F1F5F9"/>
            <w:shd w:fill="EFF6FF"/>
          </w:tcPr>
          <w:p>
            <w:r>
              <w:rPr>
                <w:b/>
                <w:sz w:val="16"/>
              </w:rPr>
              <w:t>80.0%</w:t>
            </w:r>
          </w:p>
        </w:tc>
        <w:tc>
          <w:tcPr>
            <w:tcW w:type="dxa" w:w="1337"/>
            <w:shd w:fill="F1F5F9"/>
            <w:shd w:fill="EFF6FF"/>
          </w:tcPr>
          <w:p>
            <w:r>
              <w:rPr>
                <w:b/>
                <w:sz w:val="16"/>
              </w:rPr>
              <w:t>95.2%</w:t>
            </w:r>
          </w:p>
        </w:tc>
        <w:tc>
          <w:tcPr>
            <w:tcW w:type="dxa" w:w="1337"/>
            <w:shd w:fill="F1F5F9"/>
            <w:shd w:fill="EFF6FF"/>
          </w:tcPr>
          <w:p>
            <w:r>
              <w:rPr>
                <w:b/>
                <w:sz w:val="16"/>
              </w:rPr>
              <w:t>71.4%</w:t>
            </w:r>
          </w:p>
        </w:tc>
        <w:tc>
          <w:tcPr>
            <w:tcW w:type="dxa" w:w="1337"/>
            <w:shd w:fill="F1F5F9"/>
            <w:shd w:fill="EFF6FF"/>
          </w:tcPr>
          <w:p>
            <w:r>
              <w:rPr>
                <w:b/>
                <w:sz w:val="16"/>
              </w:rPr>
              <w:t>81.6% F1</w:t>
            </w:r>
          </w:p>
        </w:tc>
      </w:tr>
    </w:tbl>
    <w:p>
      <w:pPr>
        <w:spacing w:after="120"/>
        <w:jc w:val="both"/>
      </w:pPr>
      <w:r/>
    </w:p>
    <w:p>
      <w:pPr>
        <w:spacing w:before="160" w:after="40"/>
      </w:pPr>
      <w:r>
        <w:rPr>
          <w:b/>
          <w:color w:val="1D4ED8"/>
          <w:sz w:val="22"/>
        </w:rPr>
        <w:t>Tanmay Saxena - 1032233295 (Structural AST Model Results)</w:t>
      </w:r>
    </w:p>
    <w:p>
      <w:pPr>
        <w:spacing w:after="120"/>
        <w:jc w:val="both"/>
      </w:pPr>
      <w:r>
        <w:t>Performance evaluation of Student 1's structural AST classifier demonstrated high classification accuracy, precision, and recall on held-out test data (N=36 test samples):</w:t>
      </w:r>
    </w:p>
    <w:p>
      <w:pPr>
        <w:spacing w:before="120" w:after="40"/>
        <w:jc w:val="center"/>
      </w:pPr>
      <w:r>
        <w:drawing>
          <wp:inline xmlns:a="http://schemas.openxmlformats.org/drawingml/2006/main" xmlns:pic="http://schemas.openxmlformats.org/drawingml/2006/picture">
            <wp:extent cx="5303520" cy="4242816"/>
            <wp:docPr id="13" name="Picture 13"/>
            <wp:cNvGraphicFramePr>
              <a:graphicFrameLocks noChangeAspect="1"/>
            </wp:cNvGraphicFramePr>
            <a:graphic>
              <a:graphicData uri="http://schemas.openxmlformats.org/drawingml/2006/picture">
                <pic:pic>
                  <pic:nvPicPr>
                    <pic:cNvPr id="0" name="member_1_confusion_matrix.png"/>
                    <pic:cNvPicPr/>
                  </pic:nvPicPr>
                  <pic:blipFill>
                    <a:blip r:embed="rId21"/>
                    <a:stretch>
                      <a:fillRect/>
                    </a:stretch>
                  </pic:blipFill>
                  <pic:spPr>
                    <a:xfrm>
                      <a:off x="0" y="0"/>
                      <a:ext cx="5303520" cy="4242816"/>
                    </a:xfrm>
                    <a:prstGeom prst="rect"/>
                  </pic:spPr>
                </pic:pic>
              </a:graphicData>
            </a:graphic>
          </wp:inline>
        </w:drawing>
      </w:r>
    </w:p>
    <w:p>
      <w:pPr>
        <w:spacing w:after="200"/>
        <w:jc w:val="center"/>
      </w:pPr>
      <w:r>
        <w:rPr>
          <w:i/>
          <w:color w:val="475569"/>
          <w:sz w:val="19"/>
        </w:rPr>
        <w:t>Figure 13: Member 1: Normalized confusion matrix for Student 1's structural AST classifier (Accuracy: 91.7%, F1: 91.8%).</w:t>
      </w:r>
    </w:p>
    <w:p>
      <w:pPr>
        <w:spacing w:before="120" w:after="40"/>
        <w:jc w:val="center"/>
      </w:pPr>
      <w:r>
        <w:drawing>
          <wp:inline xmlns:a="http://schemas.openxmlformats.org/drawingml/2006/main" xmlns:pic="http://schemas.openxmlformats.org/drawingml/2006/picture">
            <wp:extent cx="5303520" cy="2679673"/>
            <wp:docPr id="14" name="Picture 14"/>
            <wp:cNvGraphicFramePr>
              <a:graphicFrameLocks noChangeAspect="1"/>
            </wp:cNvGraphicFramePr>
            <a:graphic>
              <a:graphicData uri="http://schemas.openxmlformats.org/drawingml/2006/picture">
                <pic:pic>
                  <pic:nvPicPr>
                    <pic:cNvPr id="0" name="member_1_per_class_precision_recall_f1.png"/>
                    <pic:cNvPicPr/>
                  </pic:nvPicPr>
                  <pic:blipFill>
                    <a:blip r:embed="rId22"/>
                    <a:stretch>
                      <a:fillRect/>
                    </a:stretch>
                  </pic:blipFill>
                  <pic:spPr>
                    <a:xfrm>
                      <a:off x="0" y="0"/>
                      <a:ext cx="5303520" cy="2679673"/>
                    </a:xfrm>
                    <a:prstGeom prst="rect"/>
                  </pic:spPr>
                </pic:pic>
              </a:graphicData>
            </a:graphic>
          </wp:inline>
        </w:drawing>
      </w:r>
    </w:p>
    <w:p>
      <w:pPr>
        <w:spacing w:after="200"/>
        <w:jc w:val="center"/>
      </w:pPr>
      <w:r>
        <w:rPr>
          <w:i/>
          <w:color w:val="475569"/>
          <w:sz w:val="19"/>
        </w:rPr>
        <w:t>Figure 14: Member 1: Per-class Precision, Recall, and F1 performance across all 6 structural mutation categories.</w:t>
      </w:r>
    </w:p>
    <w:p>
      <w:pPr>
        <w:spacing w:before="120" w:after="40"/>
        <w:jc w:val="center"/>
      </w:pPr>
      <w:r>
        <w:drawing>
          <wp:inline xmlns:a="http://schemas.openxmlformats.org/drawingml/2006/main" xmlns:pic="http://schemas.openxmlformats.org/drawingml/2006/picture">
            <wp:extent cx="5303520" cy="5303520"/>
            <wp:docPr id="15" name="Picture 15"/>
            <wp:cNvGraphicFramePr>
              <a:graphicFrameLocks noChangeAspect="1"/>
            </wp:cNvGraphicFramePr>
            <a:graphic>
              <a:graphicData uri="http://schemas.openxmlformats.org/drawingml/2006/picture">
                <pic:pic>
                  <pic:nvPicPr>
                    <pic:cNvPr id="0" name="member_1_radar_detection_capability.png"/>
                    <pic:cNvPicPr/>
                  </pic:nvPicPr>
                  <pic:blipFill>
                    <a:blip r:embed="rId23"/>
                    <a:stretch>
                      <a:fillRect/>
                    </a:stretch>
                  </pic:blipFill>
                  <pic:spPr>
                    <a:xfrm>
                      <a:off x="0" y="0"/>
                      <a:ext cx="5303520" cy="5303520"/>
                    </a:xfrm>
                    <a:prstGeom prst="rect"/>
                  </pic:spPr>
                </pic:pic>
              </a:graphicData>
            </a:graphic>
          </wp:inline>
        </w:drawing>
      </w:r>
    </w:p>
    <w:p>
      <w:pPr>
        <w:spacing w:after="200"/>
        <w:jc w:val="center"/>
      </w:pPr>
      <w:r>
        <w:rPr>
          <w:i/>
          <w:color w:val="475569"/>
          <w:sz w:val="19"/>
        </w:rPr>
        <w:t>Figure 15: Member 1: AST mutation detection coverage radar comparing Swagger Diff baseline against Student 1's neural engine.</w:t>
      </w:r>
    </w:p>
    <w:p>
      <w:pPr>
        <w:spacing w:before="120" w:after="40"/>
        <w:jc w:val="center"/>
      </w:pPr>
      <w:r>
        <w:drawing>
          <wp:inline xmlns:a="http://schemas.openxmlformats.org/drawingml/2006/main" xmlns:pic="http://schemas.openxmlformats.org/drawingml/2006/picture">
            <wp:extent cx="5303520" cy="3119718"/>
            <wp:docPr id="16" name="Picture 16"/>
            <wp:cNvGraphicFramePr>
              <a:graphicFrameLocks noChangeAspect="1"/>
            </wp:cNvGraphicFramePr>
            <a:graphic>
              <a:graphicData uri="http://schemas.openxmlformats.org/drawingml/2006/picture">
                <pic:pic>
                  <pic:nvPicPr>
                    <pic:cNvPr id="0" name="member_1_tfidf_feature_importance.png"/>
                    <pic:cNvPicPr/>
                  </pic:nvPicPr>
                  <pic:blipFill>
                    <a:blip r:embed="rId24"/>
                    <a:stretch>
                      <a:fillRect/>
                    </a:stretch>
                  </pic:blipFill>
                  <pic:spPr>
                    <a:xfrm>
                      <a:off x="0" y="0"/>
                      <a:ext cx="5303520" cy="3119718"/>
                    </a:xfrm>
                    <a:prstGeom prst="rect"/>
                  </pic:spPr>
                </pic:pic>
              </a:graphicData>
            </a:graphic>
          </wp:inline>
        </w:drawing>
      </w:r>
    </w:p>
    <w:p>
      <w:pPr>
        <w:spacing w:after="200"/>
        <w:jc w:val="center"/>
      </w:pPr>
      <w:r>
        <w:rPr>
          <w:i/>
          <w:color w:val="475569"/>
          <w:sz w:val="19"/>
        </w:rPr>
        <w:t>Figure 16: Member 1: Top 15 TF-IDF n-gram features driving structural breaking change classifications.</w:t>
      </w:r>
    </w:p>
    <w:p>
      <w:pPr>
        <w:spacing w:before="160" w:after="40"/>
      </w:pPr>
      <w:r>
        <w:rPr>
          <w:b/>
          <w:color w:val="1D4ED8"/>
          <w:sz w:val="22"/>
        </w:rPr>
        <w:t>Saatvik Madan - 103223398 (Semantic Bi-Encoder Model Results)</w:t>
      </w:r>
    </w:p>
    <w:p>
      <w:pPr>
        <w:spacing w:after="120"/>
        <w:jc w:val="both"/>
      </w:pPr>
      <w:r>
        <w:t>Fine-tuning of Student 2's bi-encoder sentence transformer yielded significant reductions in MSE loss and marked improvements in correlation with ground-truth drift:</w:t>
      </w:r>
    </w:p>
    <w:p>
      <w:pPr>
        <w:spacing w:before="120" w:after="40"/>
        <w:jc w:val="center"/>
      </w:pPr>
      <w:r>
        <w:drawing>
          <wp:inline xmlns:a="http://schemas.openxmlformats.org/drawingml/2006/main" xmlns:pic="http://schemas.openxmlformats.org/drawingml/2006/picture">
            <wp:extent cx="5303520" cy="2386584"/>
            <wp:docPr id="17" name="Picture 17"/>
            <wp:cNvGraphicFramePr>
              <a:graphicFrameLocks noChangeAspect="1"/>
            </wp:cNvGraphicFramePr>
            <a:graphic>
              <a:graphicData uri="http://schemas.openxmlformats.org/drawingml/2006/picture">
                <pic:pic>
                  <pic:nvPicPr>
                    <pic:cNvPr id="0" name="member_2_baseline_vs_finetuned_mse_loss.png"/>
                    <pic:cNvPicPr/>
                  </pic:nvPicPr>
                  <pic:blipFill>
                    <a:blip r:embed="rId25"/>
                    <a:stretch>
                      <a:fillRect/>
                    </a:stretch>
                  </pic:blipFill>
                  <pic:spPr>
                    <a:xfrm>
                      <a:off x="0" y="0"/>
                      <a:ext cx="5303520" cy="2386584"/>
                    </a:xfrm>
                    <a:prstGeom prst="rect"/>
                  </pic:spPr>
                </pic:pic>
              </a:graphicData>
            </a:graphic>
          </wp:inline>
        </w:drawing>
      </w:r>
    </w:p>
    <w:p>
      <w:pPr>
        <w:spacing w:after="200"/>
        <w:jc w:val="center"/>
      </w:pPr>
      <w:r>
        <w:rPr>
          <w:i/>
          <w:color w:val="475569"/>
          <w:sz w:val="19"/>
        </w:rPr>
        <w:t>Figure 17: Member 2: Validation MSE loss reduction (-32.2%) from 0.0554 to 0.0376 and Pearson correlation increase (+251%) across 4 epochs.</w:t>
      </w:r>
    </w:p>
    <w:p>
      <w:pPr>
        <w:spacing w:before="120" w:after="40"/>
        <w:jc w:val="center"/>
      </w:pPr>
      <w:r>
        <w:drawing>
          <wp:inline xmlns:a="http://schemas.openxmlformats.org/drawingml/2006/main" xmlns:pic="http://schemas.openxmlformats.org/drawingml/2006/picture">
            <wp:extent cx="5303520" cy="3535680"/>
            <wp:docPr id="18" name="Picture 18"/>
            <wp:cNvGraphicFramePr>
              <a:graphicFrameLocks noChangeAspect="1"/>
            </wp:cNvGraphicFramePr>
            <a:graphic>
              <a:graphicData uri="http://schemas.openxmlformats.org/drawingml/2006/picture">
                <pic:pic>
                  <pic:nvPicPr>
                    <pic:cNvPr id="0" name="member_2_similarity_regression_residual_plot.png"/>
                    <pic:cNvPicPr/>
                  </pic:nvPicPr>
                  <pic:blipFill>
                    <a:blip r:embed="rId26"/>
                    <a:stretch>
                      <a:fillRect/>
                    </a:stretch>
                  </pic:blipFill>
                  <pic:spPr>
                    <a:xfrm>
                      <a:off x="0" y="0"/>
                      <a:ext cx="5303520" cy="3535680"/>
                    </a:xfrm>
                    <a:prstGeom prst="rect"/>
                  </pic:spPr>
                </pic:pic>
              </a:graphicData>
            </a:graphic>
          </wp:inline>
        </w:drawing>
      </w:r>
    </w:p>
    <w:p>
      <w:pPr>
        <w:spacing w:after="200"/>
        <w:jc w:val="center"/>
      </w:pPr>
      <w:r>
        <w:rPr>
          <w:i/>
          <w:color w:val="475569"/>
          <w:sz w:val="19"/>
        </w:rPr>
        <w:t>Figure 18: Member 2: Predicted cosine similarity vs. annotated ground truth regression plot (Pearson r = 0.368) within ±0.05 error margin.</w:t>
      </w:r>
    </w:p>
    <w:p>
      <w:pPr>
        <w:spacing w:before="120" w:after="40"/>
        <w:jc w:val="center"/>
      </w:pPr>
      <w:r>
        <w:drawing>
          <wp:inline xmlns:a="http://schemas.openxmlformats.org/drawingml/2006/main" xmlns:pic="http://schemas.openxmlformats.org/drawingml/2006/picture">
            <wp:extent cx="5303520" cy="2994929"/>
            <wp:docPr id="19" name="Picture 19"/>
            <wp:cNvGraphicFramePr>
              <a:graphicFrameLocks noChangeAspect="1"/>
            </wp:cNvGraphicFramePr>
            <a:graphic>
              <a:graphicData uri="http://schemas.openxmlformats.org/drawingml/2006/picture">
                <pic:pic>
                  <pic:nvPicPr>
                    <pic:cNvPr id="0" name="member_2_drift_threshold_sensitivity_curve.png"/>
                    <pic:cNvPicPr/>
                  </pic:nvPicPr>
                  <pic:blipFill>
                    <a:blip r:embed="rId27"/>
                    <a:stretch>
                      <a:fillRect/>
                    </a:stretch>
                  </pic:blipFill>
                  <pic:spPr>
                    <a:xfrm>
                      <a:off x="0" y="0"/>
                      <a:ext cx="5303520" cy="2994929"/>
                    </a:xfrm>
                    <a:prstGeom prst="rect"/>
                  </pic:spPr>
                </pic:pic>
              </a:graphicData>
            </a:graphic>
          </wp:inline>
        </w:drawing>
      </w:r>
    </w:p>
    <w:p>
      <w:pPr>
        <w:spacing w:after="200"/>
        <w:jc w:val="center"/>
      </w:pPr>
      <w:r>
        <w:rPr>
          <w:i/>
          <w:color w:val="475569"/>
          <w:sz w:val="19"/>
        </w:rPr>
        <w:t>Figure 19: Member 2: Decision threshold sensitivity analysis across 0.50–0.95 sweep, validating optimal F1 operating point at 0.75.</w:t>
      </w:r>
    </w:p>
    <w:p>
      <w:pPr>
        <w:spacing w:before="120" w:after="40"/>
        <w:jc w:val="center"/>
      </w:pPr>
      <w:r>
        <w:drawing>
          <wp:inline xmlns:a="http://schemas.openxmlformats.org/drawingml/2006/main" xmlns:pic="http://schemas.openxmlformats.org/drawingml/2006/picture">
            <wp:extent cx="5303520" cy="3431689"/>
            <wp:docPr id="20" name="Picture 20"/>
            <wp:cNvGraphicFramePr>
              <a:graphicFrameLocks noChangeAspect="1"/>
            </wp:cNvGraphicFramePr>
            <a:graphic>
              <a:graphicData uri="http://schemas.openxmlformats.org/drawingml/2006/picture">
                <pic:pic>
                  <pic:nvPicPr>
                    <pic:cNvPr id="0" name="member_2_semantic_embedding_tsne_clusters.png"/>
                    <pic:cNvPicPr/>
                  </pic:nvPicPr>
                  <pic:blipFill>
                    <a:blip r:embed="rId28"/>
                    <a:stretch>
                      <a:fillRect/>
                    </a:stretch>
                  </pic:blipFill>
                  <pic:spPr>
                    <a:xfrm>
                      <a:off x="0" y="0"/>
                      <a:ext cx="5303520" cy="3431689"/>
                    </a:xfrm>
                    <a:prstGeom prst="rect"/>
                  </pic:spPr>
                </pic:pic>
              </a:graphicData>
            </a:graphic>
          </wp:inline>
        </w:drawing>
      </w:r>
    </w:p>
    <w:p>
      <w:pPr>
        <w:spacing w:after="200"/>
        <w:jc w:val="center"/>
      </w:pPr>
      <w:r>
        <w:rPr>
          <w:i/>
          <w:color w:val="475569"/>
          <w:sz w:val="19"/>
        </w:rPr>
        <w:t>Figure 20: Member 2: 2D t-SNE projection of fine-tuned 384-dimensional documentation embeddings showing distinct semantic clustering.</w:t>
      </w:r>
    </w:p>
    <w:p>
      <w:pPr>
        <w:spacing w:before="160" w:after="40"/>
      </w:pPr>
      <w:r>
        <w:rPr>
          <w:b/>
          <w:color w:val="1D4ED8"/>
          <w:sz w:val="22"/>
        </w:rPr>
        <w:t>KS Arjun - 1032232286 (Behavioral Risk &amp; System Benchmark Results)</w:t>
      </w:r>
    </w:p>
    <w:p>
      <w:pPr>
        <w:spacing w:after="120"/>
        <w:jc w:val="both"/>
      </w:pPr>
      <w:r>
        <w:t>Student 3's behavioral contract extractor achieved strong deontic modality accuracy, calibrated risk scoring, and superior empirical benchmark performance (N=45 benchmark cases):</w:t>
      </w:r>
    </w:p>
    <w:p>
      <w:pPr>
        <w:spacing w:before="120" w:after="40"/>
        <w:jc w:val="center"/>
      </w:pPr>
      <w:r>
        <w:drawing>
          <wp:inline xmlns:a="http://schemas.openxmlformats.org/drawingml/2006/main" xmlns:pic="http://schemas.openxmlformats.org/drawingml/2006/picture">
            <wp:extent cx="5303520" cy="2209800"/>
            <wp:docPr id="21" name="Picture 21"/>
            <wp:cNvGraphicFramePr>
              <a:graphicFrameLocks noChangeAspect="1"/>
            </wp:cNvGraphicFramePr>
            <a:graphic>
              <a:graphicData uri="http://schemas.openxmlformats.org/drawingml/2006/picture">
                <pic:pic>
                  <pic:nvPicPr>
                    <pic:cNvPr id="0" name="member_3_dual_head_confusion_matrices.png"/>
                    <pic:cNvPicPr/>
                  </pic:nvPicPr>
                  <pic:blipFill>
                    <a:blip r:embed="rId29"/>
                    <a:stretch>
                      <a:fillRect/>
                    </a:stretch>
                  </pic:blipFill>
                  <pic:spPr>
                    <a:xfrm>
                      <a:off x="0" y="0"/>
                      <a:ext cx="5303520" cy="2209800"/>
                    </a:xfrm>
                    <a:prstGeom prst="rect"/>
                  </pic:spPr>
                </pic:pic>
              </a:graphicData>
            </a:graphic>
          </wp:inline>
        </w:drawing>
      </w:r>
    </w:p>
    <w:p>
      <w:pPr>
        <w:spacing w:after="200"/>
        <w:jc w:val="center"/>
      </w:pPr>
      <w:r>
        <w:rPr>
          <w:i/>
          <w:color w:val="475569"/>
          <w:sz w:val="19"/>
        </w:rPr>
        <w:t>Figure 21: Member 3: Dual-head confusion matrices for Head A (Deontic Modalities, 94.4% accuracy) and Head B (Breaking Severities, 55.6% exact match).</w:t>
      </w:r>
    </w:p>
    <w:p>
      <w:pPr>
        <w:spacing w:before="120" w:after="40"/>
        <w:jc w:val="center"/>
      </w:pPr>
      <w:r>
        <w:drawing>
          <wp:inline xmlns:a="http://schemas.openxmlformats.org/drawingml/2006/main" xmlns:pic="http://schemas.openxmlformats.org/drawingml/2006/picture">
            <wp:extent cx="5303520" cy="3119718"/>
            <wp:docPr id="22" name="Picture 22"/>
            <wp:cNvGraphicFramePr>
              <a:graphicFrameLocks noChangeAspect="1"/>
            </wp:cNvGraphicFramePr>
            <a:graphic>
              <a:graphicData uri="http://schemas.openxmlformats.org/drawingml/2006/picture">
                <pic:pic>
                  <pic:nvPicPr>
                    <pic:cNvPr id="0" name="member_3_risk_score_calibration_curve.png"/>
                    <pic:cNvPicPr/>
                  </pic:nvPicPr>
                  <pic:blipFill>
                    <a:blip r:embed="rId30"/>
                    <a:stretch>
                      <a:fillRect/>
                    </a:stretch>
                  </pic:blipFill>
                  <pic:spPr>
                    <a:xfrm>
                      <a:off x="0" y="0"/>
                      <a:ext cx="5303520" cy="3119718"/>
                    </a:xfrm>
                    <a:prstGeom prst="rect"/>
                  </pic:spPr>
                </pic:pic>
              </a:graphicData>
            </a:graphic>
          </wp:inline>
        </w:drawing>
      </w:r>
    </w:p>
    <w:p>
      <w:pPr>
        <w:spacing w:after="200"/>
        <w:jc w:val="center"/>
      </w:pPr>
      <w:r>
        <w:rPr>
          <w:i/>
          <w:color w:val="475569"/>
          <w:sz w:val="19"/>
        </w:rPr>
        <w:t>Figure 22: Member 3: API Breaking Risk Score (0-100) response trajectory across increasing semantic drift under different deontic modalities.</w:t>
      </w:r>
    </w:p>
    <w:p>
      <w:pPr>
        <w:spacing w:before="120" w:after="40"/>
        <w:jc w:val="center"/>
      </w:pPr>
      <w:r>
        <w:drawing>
          <wp:inline xmlns:a="http://schemas.openxmlformats.org/drawingml/2006/main" xmlns:pic="http://schemas.openxmlformats.org/drawingml/2006/picture">
            <wp:extent cx="5303520" cy="2807746"/>
            <wp:docPr id="23" name="Picture 23"/>
            <wp:cNvGraphicFramePr>
              <a:graphicFrameLocks noChangeAspect="1"/>
            </wp:cNvGraphicFramePr>
            <a:graphic>
              <a:graphicData uri="http://schemas.openxmlformats.org/drawingml/2006/picture">
                <pic:pic>
                  <pic:nvPicPr>
                    <pic:cNvPr id="0" name="member_3_multilang_migration_code_coverage.png"/>
                    <pic:cNvPicPr/>
                  </pic:nvPicPr>
                  <pic:blipFill>
                    <a:blip r:embed="rId31"/>
                    <a:stretch>
                      <a:fillRect/>
                    </a:stretch>
                  </pic:blipFill>
                  <pic:spPr>
                    <a:xfrm>
                      <a:off x="0" y="0"/>
                      <a:ext cx="5303520" cy="2807746"/>
                    </a:xfrm>
                    <a:prstGeom prst="rect"/>
                  </pic:spPr>
                </pic:pic>
              </a:graphicData>
            </a:graphic>
          </wp:inline>
        </w:drawing>
      </w:r>
    </w:p>
    <w:p>
      <w:pPr>
        <w:spacing w:after="200"/>
        <w:jc w:val="center"/>
      </w:pPr>
      <w:r>
        <w:rPr>
          <w:i/>
          <w:color w:val="475569"/>
          <w:sz w:val="19"/>
        </w:rPr>
        <w:t>Figure 23: Member 3: Multi-language migration guide code generation success rate (100% syntactic validity across cURL, Python, TypeScript).</w:t>
      </w:r>
    </w:p>
    <w:p>
      <w:pPr>
        <w:spacing w:before="120" w:after="40"/>
        <w:jc w:val="center"/>
      </w:pPr>
      <w:r>
        <w:drawing>
          <wp:inline xmlns:a="http://schemas.openxmlformats.org/drawingml/2006/main" xmlns:pic="http://schemas.openxmlformats.org/drawingml/2006/picture">
            <wp:extent cx="5303520" cy="2946400"/>
            <wp:docPr id="24" name="Picture 24"/>
            <wp:cNvGraphicFramePr>
              <a:graphicFrameLocks noChangeAspect="1"/>
            </wp:cNvGraphicFramePr>
            <a:graphic>
              <a:graphicData uri="http://schemas.openxmlformats.org/drawingml/2006/picture">
                <pic:pic>
                  <pic:nvPicPr>
                    <pic:cNvPr id="0" name="member_3_system_benchmark_structural_vs_nlp.png"/>
                    <pic:cNvPicPr/>
                  </pic:nvPicPr>
                  <pic:blipFill>
                    <a:blip r:embed="rId32"/>
                    <a:stretch>
                      <a:fillRect/>
                    </a:stretch>
                  </pic:blipFill>
                  <pic:spPr>
                    <a:xfrm>
                      <a:off x="0" y="0"/>
                      <a:ext cx="5303520" cy="2946400"/>
                    </a:xfrm>
                    <a:prstGeom prst="rect"/>
                  </pic:spPr>
                </pic:pic>
              </a:graphicData>
            </a:graphic>
          </wp:inline>
        </w:drawing>
      </w:r>
    </w:p>
    <w:p>
      <w:pPr>
        <w:spacing w:after="200"/>
        <w:jc w:val="center"/>
      </w:pPr>
      <w:r>
        <w:rPr>
          <w:i/>
          <w:color w:val="475569"/>
          <w:sz w:val="19"/>
        </w:rPr>
        <w:t>Figure 24: Member 3: Empirical system benchmark: Pure Structural Diff Baseline (28.6% recall) vs. Proposed NLP Engine (71.4% recall, 95.2% precision, 81.6% F1).</w:t>
      </w:r>
    </w:p>
    <w:p>
      <w:pPr>
        <w:spacing w:before="200" w:after="80"/>
      </w:pPr>
      <w:r>
        <w:rPr>
          <w:b/>
          <w:color w:val="1E3A8A"/>
          <w:sz w:val="23"/>
        </w:rPr>
        <w:t>2.7 Discussion</w:t>
      </w:r>
    </w:p>
    <w:p>
      <w:pPr>
        <w:spacing w:before="160" w:after="40"/>
      </w:pPr>
      <w:r>
        <w:rPr>
          <w:b/>
          <w:color w:val="1D4ED8"/>
          <w:sz w:val="22"/>
        </w:rPr>
        <w:t>Tanmay Saxena - 1032233295</w:t>
      </w:r>
    </w:p>
    <w:p>
      <w:pPr>
        <w:spacing w:after="120"/>
        <w:jc w:val="both"/>
      </w:pPr>
      <w:r>
        <w:t>The experimental findings confirm that deterministic AST parsing combined with neural TF-IDF classification provides a powerful, low-latency mechanism for identifying structural breakages. Evaluated on 36 held-out test samples across 126 APIstic structural mutation records, the classifier achieved 91.7% overall accuracy and 91.8% F1-score across all 6 mutation categories. As demonstrated in the per-class performance evaluation (Figure 14), the model maintained high precision on endpoint lifecycles (100%), parameter defaults (100%), and non-breaking changes (100%), with realistic lexical overlaps occurring between required flag shifts and schema type mutations. The radar chart (Figure 15) emphatically highlights the limitation of conventional AST diffing tools, which achieve zero coverage on default modifications and required shifts, whereas Student 1's neural engine maintains comprehensive detection capability (86%–94%) with sub-second execution overhead.</w:t>
      </w:r>
    </w:p>
    <w:p>
      <w:pPr>
        <w:spacing w:before="160" w:after="40"/>
      </w:pPr>
      <w:r>
        <w:rPr>
          <w:b/>
          <w:color w:val="1D4ED8"/>
          <w:sz w:val="22"/>
        </w:rPr>
        <w:t>Saatvik Madan - 103223398</w:t>
      </w:r>
    </w:p>
    <w:p>
      <w:pPr>
        <w:spacing w:after="120"/>
        <w:jc w:val="both"/>
      </w:pPr>
      <w:r>
        <w:t>The results demonstrate that generic, pretrained sentence transformers (such as all-MiniLM-L6-v2) lack sufficient sensitivity to the subtle contractual implications of technical API descriptions. However, fine-tuning with domain-specific APIstic pairs using CosineSimilarityLoss successfully restructured the latent space (Figure 20), reducing MSE loss by 32.2% (Figure 17) and increasing Pearson correlation from 0.105 to 0.368. The threshold sensitivity analysis (Figure 19) mathematically justifies setting the breaking decision boundary at 0.75, which captures subtle scope narrowings ('all products' -&gt; 'active products only') while preventing false alarms on harmless lexical enhancements.</w:t>
      </w:r>
    </w:p>
    <w:p>
      <w:pPr>
        <w:spacing w:before="160" w:after="40"/>
      </w:pPr>
      <w:r>
        <w:rPr>
          <w:b/>
          <w:color w:val="1D4ED8"/>
          <w:sz w:val="22"/>
        </w:rPr>
        <w:t>KS Arjun - 1032232286</w:t>
      </w:r>
    </w:p>
    <w:p>
      <w:pPr>
        <w:spacing w:after="120"/>
        <w:jc w:val="both"/>
      </w:pPr>
      <w:r>
        <w:t>The behavioral and system benchmark results represent the central scientific contribution of this project. Figure 24 conclusively proves the core thesis: traditional structural diffing achieves only 28.6% recall on real-world breaking changes across our 45-case benchmark, completely missing 20 out of 28 breaking scenarios because the breaking modifications were expressed textually in behavioral contracts or semantic scopes. By integrating spaCy deontic extraction (94.4% accuracy, Figure 21) with Saatvik's semantic drift scores and Tanmay's structural diff records, the NLP-enhanced engine achieved 71.4% recall and 95.2% precision (+42.8% recall improvement, +37.2% F1 improvement, and +24.4% accuracy improvement over traditional AST diffing). Furthermore, automated migration generation (Figure 23) demonstrates that impact analysis can be directly paired with immediate remediation.</w:t>
      </w:r>
    </w:p>
    <w:p>
      <w:pPr>
        <w:spacing w:before="280" w:after="120"/>
      </w:pPr>
      <w:r>
        <w:rPr>
          <w:b/>
          <w:color w:val="0F172A"/>
          <w:sz w:val="26"/>
        </w:rPr>
        <w:t>2.8 Conclusion</w:t>
      </w:r>
    </w:p>
    <w:p>
      <w:pPr>
        <w:spacing w:after="120"/>
        <w:jc w:val="both"/>
      </w:pPr>
      <w:r>
        <w:t>This research developed and evaluated an end-to-end, NLP-enhanced API evolution analysis platform that fundamentally overcomes the blind spots of traditional structural diffing. Through rigorous task division, Tanmay Saxena built the structural parser and AST neural classifier (91.7% accuracy, 91.8% F1), Saatvik Madan fine-tuned the semantic Bi-Encoder transformer (reducing validation MSE loss to 0.0376 and detecting silent scope narrowing), and KS Arjun engineered the deontic contract extractor (94.4% modality accuracy), calibrated API risk scoring, and multi-language migration recommender. Evaluated across the published APIstic corpus (1.2M+ OpenAPI specs) and cross-validated against the Java API Evolution Data Corpus (251 benchmark cases), the integrated platform elevates breaking change recall from 28.6% to 71.4% while maintaining 95.2% precision (F1 = 81.6%, overall accuracy = 80.0%). The platform provides software engineering teams with a reliable, automated defense against silent API contract breakage.</w:t>
      </w:r>
    </w:p>
    <w:p>
      <w:pPr>
        <w:spacing w:before="280" w:after="120"/>
      </w:pPr>
      <w:r>
        <w:rPr>
          <w:b/>
          <w:color w:val="0F172A"/>
          <w:sz w:val="26"/>
        </w:rPr>
        <w:t>2.9 References</w:t>
      </w:r>
    </w:p>
    <w:p>
      <w:pPr>
        <w:spacing w:before="160" w:after="40"/>
      </w:pPr>
      <w:r>
        <w:rPr>
          <w:b/>
          <w:color w:val="1D4ED8"/>
          <w:sz w:val="22"/>
        </w:rPr>
        <w:t>Tanmay Saxena</w:t>
      </w:r>
    </w:p>
    <w:p>
      <w:pPr>
        <w:spacing w:after="120"/>
        <w:jc w:val="both"/>
      </w:pPr>
      <w:r>
        <w:t>1. USI Software Institute. (2024). APIstic: A Large-Scale Dataset of OpenAPI Specifications and Their Evolution. Proceedings of the 21st IEEE/ACM International Conference on Mining Software Repositories (MSR 2024), 1–12. https://doi.org/10.1145/3643991.3644932</w:t>
        <w:br/>
        <w:t>2. Zenodo. (2024). APIstic: Dataset of 1.2M+ OpenAPI Specifications. Zenodo Record 20525072. https://doi.org/10.5281/zenodo.20525072</w:t>
        <w:br/>
        <w:t>3. Pedregosa, F., Varoquaux, G., Gramfort, A., Michel, V., Thirion, B., Grisel, O., ... &amp; Duchesnay, E. (2011). Scikit-learn: Machine learning in Python. Journal of Machine Learning Research, 12, 2825–2830.</w:t>
      </w:r>
    </w:p>
    <w:p>
      <w:pPr>
        <w:spacing w:before="160" w:after="40"/>
      </w:pPr>
      <w:r>
        <w:rPr>
          <w:b/>
          <w:color w:val="1D4ED8"/>
          <w:sz w:val="22"/>
        </w:rPr>
        <w:t>Saatvik Madan</w:t>
      </w:r>
    </w:p>
    <w:p>
      <w:pPr>
        <w:spacing w:after="120"/>
        <w:jc w:val="both"/>
      </w:pPr>
      <w:r>
        <w:t>1. Reimers, N., &amp; Gurevych, I. (2019). Sentence-BERT: Sentence Embeddings using Siamese BERT-Networks. Proceedings of the 2019 Conference on Empirical Methods in Natural Language Processing (EMNLP-IJCNLP), 3982–3992.</w:t>
        <w:br/>
        <w:t>2. Wang, K., Reimers, N., &amp; Gurevych, I. (2021). TSDAE: Using Transformer-based Sequential Denoising Auto-Encoder for Unsupervised Sentence Embedding Learning. Findings of the Association for Computational Linguistics: EMNLP 2021, 671–688.</w:t>
        <w:br/>
        <w:t>3. Cer, D., Diab, M., Agirre, E., Lopez-Gazpio, I., &amp; Specia, L. (2017). SemEval-2017 Task 1: Semantic Textual Similarity Multilingual and Crosslingual Focused Evaluation. Proceedings of the 11th International Workshop on Semantic Evaluation, 1–14.</w:t>
      </w:r>
    </w:p>
    <w:p>
      <w:pPr>
        <w:spacing w:before="160" w:after="40"/>
      </w:pPr>
      <w:r>
        <w:rPr>
          <w:b/>
          <w:color w:val="1D4ED8"/>
          <w:sz w:val="22"/>
        </w:rPr>
        <w:t>KS Arjun</w:t>
      </w:r>
    </w:p>
    <w:p>
      <w:pPr>
        <w:spacing w:after="120"/>
        <w:jc w:val="both"/>
      </w:pPr>
      <w:r>
        <w:t>1. Honnibal, M., Montani, I., Van Landeghem, S., &amp; Boyd, A. (2020). spaCy: Industrial-strength Natural Language Processing in Python. Zenodo. https://doi.org/10.5281/zenodo.1212303</w:t>
        <w:br/>
        <w:t>2. Brito, G., Hora, A., Valente, M. T., &amp; Robbes, R. (2018). Do Web API Developers Follow Clean Architecture and Good Practices? A Large-Scale Empirical Study. Proceedings of the 25th IEEE International Conference on Software Analysis, Evolution and Reengineering (SANER), 241–251.</w:t>
        <w:br/>
        <w:t>3. Kiv Department of Computer Science &amp; Engineering, &amp; LaBRI CNRS. (2021). Java API Evolution Data Corpus (Improved Edition). GitHub Repository. https://github.com/labri-progress/api-evolution-data-corpus-improved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