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762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628650" y="1019025"/>
                          <a:ext cx="5848500" cy="5730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666666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762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VAIBHAV GUPTA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4"/>
          <w:szCs w:val="24"/>
          <w:rtl w:val="0"/>
        </w:rPr>
        <w:t xml:space="preserve">221 Baker Street, London, England</w:t>
        <w:br w:type="textWrapping"/>
        <w:t xml:space="preserve">Phone no: (123)-233-1234 | test@mail.com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18606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1076325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18606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18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self-driven manual tester with good analytical ability and communication skill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18606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1076325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18606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18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950"/>
        <w:tblGridChange w:id="0">
          <w:tblGrid>
            <w:gridCol w:w="4650"/>
            <w:gridCol w:w="49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reporting (JIRA/ Redmine)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exposure (Unix, Windows, Mac OS 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 knowledge of HTML, JavaScript &amp; CSS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scripting - MSSQL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Documentation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Cross-browser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Languages known - C++, Java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18606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1076325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18606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18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sz w:val="24"/>
          <w:szCs w:val="24"/>
          <w:rtl w:val="0"/>
        </w:rPr>
        <w:t xml:space="preserve">Intern | Apple Inc. Palo Alto, CA | January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Documented test cases from SRS document.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Defect tracking and retesting existing issues on JIRA.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feedback to client about testing progress and the sprint deliverables.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the application on leading browsers on Unix, Windows and Mac OSX environments.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i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sz w:val="24"/>
          <w:szCs w:val="24"/>
          <w:rtl w:val="0"/>
        </w:rPr>
        <w:t xml:space="preserve">B.E Project| XYZ college | January 2016 - 2017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 networking for intranet applications.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light-induced file transfer system.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the applicaiton both hardware and software.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framework to keep track of the different modules and perform root cause analysis of the defects, if any.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18606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1076325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18606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18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(Pune University) 2012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Electronics &amp; Telecommunication (67%)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Secondary (Kendriya Vidyalaya) 2008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Science (83%)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School (Kendriya Vidyalaya) 2006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- 93 %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18606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650" y="1076325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B7B7B7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18606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186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49200" cy="762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628650" y="1019025"/>
                          <a:ext cx="5848500" cy="5730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666666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49200" cy="762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92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737.0078740157481" w:top="737.0078740157481" w:left="1411.6535433070867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3.png"/><Relationship Id="rId9" Type="http://schemas.openxmlformats.org/officeDocument/2006/relationships/image" Target="media/image07.png"/><Relationship Id="rId5" Type="http://schemas.openxmlformats.org/officeDocument/2006/relationships/image" Target="media/image1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image" Target="media/image01.png"/></Relationships>
</file>