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560"/>
        <w:jc w:val="center"/>
      </w:pPr>
      <w:r>
        <w:rPr>
          <w:rFonts w:ascii="Aptos Display" w:hAnsi="Aptos Display"/>
          <w:b/>
          <w:color w:val="1F4E79"/>
          <w:sz w:val="32"/>
        </w:rPr>
        <w:t>Yuva Intern Week 3</w:t>
      </w:r>
    </w:p>
    <w:p>
      <w:pPr>
        <w:pStyle w:val="Title"/>
        <w:jc w:val="center"/>
      </w:pPr>
      <w:r>
        <w:t>Exploratory Data Analysis and Visualization Strategy</w:t>
      </w:r>
    </w:p>
    <w:p>
      <w:pPr>
        <w:jc w:val="center"/>
      </w:pPr>
      <w:r>
        <w:rPr>
          <w:b/>
          <w:sz w:val="30"/>
        </w:rPr>
        <w:t>Credit Card Default Risk Analysis</w:t>
      </w:r>
    </w:p>
    <w:p>
      <w:pPr>
        <w:spacing w:before="440"/>
        <w:jc w:val="center"/>
      </w:pPr>
      <w:r>
        <w:rPr>
          <w:i/>
        </w:rPr>
        <w:t>A practical analysis using Python, SQL and Excel</w:t>
      </w:r>
    </w:p>
    <w:p>
      <w:pPr>
        <w:spacing w:after="720"/>
      </w:pP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97"/>
        <w:gridCol w:w="4997"/>
      </w:tblGrid>
      <w:tr>
        <w:trPr>
          <w:tblHeader w:val="true"/>
        </w:trPr>
        <w:tc>
          <w:tcPr>
            <w:tcW w:type="dxa" w:w="3168"/>
            <w:shd w:fill="1F4E78"/>
            <w:vAlign w:val="center"/>
            <w:tcMar>
              <w:top w:w="70" w:type="dxa"/>
              <w:start w:w="90" w:type="dxa"/>
              <w:bottom w:w="70" w:type="dxa"/>
              <w:end w:w="90" w:type="dxa"/>
            </w:tcMar>
          </w:tcPr>
          <w:p>
            <w:pPr>
              <w:jc w:val="center"/>
            </w:pPr>
            <w:r>
              <w:rPr>
                <w:b/>
                <w:color w:val="FFFFFF"/>
                <w:sz w:val="18"/>
              </w:rPr>
              <w:t>Student details</w:t>
            </w:r>
          </w:p>
        </w:tc>
        <w:tc>
          <w:tcPr>
            <w:tcW w:type="dxa" w:w="6192"/>
            <w:shd w:fill="1F4E78"/>
            <w:vAlign w:val="center"/>
            <w:tcMar>
              <w:top w:w="70" w:type="dxa"/>
              <w:start w:w="90" w:type="dxa"/>
              <w:bottom w:w="70" w:type="dxa"/>
              <w:end w:w="90" w:type="dxa"/>
            </w:tcMar>
          </w:tcPr>
          <w:p>
            <w:pPr>
              <w:jc w:val="center"/>
            </w:pPr>
            <w:r>
              <w:rPr>
                <w:b/>
                <w:color w:val="FFFFFF"/>
                <w:sz w:val="18"/>
              </w:rPr>
              <w:t>Information</w:t>
            </w:r>
          </w:p>
        </w:tc>
      </w:tr>
      <w:tr>
        <w:tc>
          <w:tcPr>
            <w:tcW w:type="dxa" w:w="3168"/>
            <w:vAlign w:val="center"/>
            <w:tcMar>
              <w:top w:w="70" w:type="dxa"/>
              <w:start w:w="90" w:type="dxa"/>
              <w:bottom w:w="70" w:type="dxa"/>
              <w:end w:w="90" w:type="dxa"/>
            </w:tcMar>
          </w:tcPr>
          <w:p>
            <w:pPr>
              <w:jc w:val="left"/>
            </w:pPr>
            <w:r>
              <w:rPr>
                <w:sz w:val="17"/>
              </w:rPr>
              <w:t>Name</w:t>
            </w:r>
          </w:p>
        </w:tc>
        <w:tc>
          <w:tcPr>
            <w:tcW w:type="dxa" w:w="6192"/>
            <w:vAlign w:val="center"/>
            <w:tcMar>
              <w:top w:w="70" w:type="dxa"/>
              <w:start w:w="90" w:type="dxa"/>
              <w:bottom w:w="70" w:type="dxa"/>
              <w:end w:w="90" w:type="dxa"/>
            </w:tcMar>
          </w:tcPr>
          <w:p>
            <w:pPr>
              <w:jc w:val="center"/>
            </w:pPr>
            <w:r>
              <w:rPr>
                <w:sz w:val="17"/>
              </w:rPr>
              <w:t>Tanmay Pandey</w:t>
            </w:r>
          </w:p>
        </w:tc>
      </w:tr>
      <w:tr>
        <w:tc>
          <w:tcPr>
            <w:tcW w:type="dxa" w:w="3168"/>
            <w:vAlign w:val="center"/>
            <w:shd w:fill="EAF2F8"/>
            <w:tcMar>
              <w:top w:w="70" w:type="dxa"/>
              <w:start w:w="90" w:type="dxa"/>
              <w:bottom w:w="70" w:type="dxa"/>
              <w:end w:w="90" w:type="dxa"/>
            </w:tcMar>
          </w:tcPr>
          <w:p>
            <w:pPr>
              <w:jc w:val="left"/>
            </w:pPr>
            <w:r>
              <w:rPr>
                <w:sz w:val="17"/>
              </w:rPr>
              <w:t>College</w:t>
            </w:r>
          </w:p>
        </w:tc>
        <w:tc>
          <w:tcPr>
            <w:tcW w:type="dxa" w:w="6192"/>
            <w:vAlign w:val="center"/>
            <w:shd w:fill="EAF2F8"/>
            <w:tcMar>
              <w:top w:w="70" w:type="dxa"/>
              <w:start w:w="90" w:type="dxa"/>
              <w:bottom w:w="70" w:type="dxa"/>
              <w:end w:w="90" w:type="dxa"/>
            </w:tcMar>
          </w:tcPr>
          <w:p>
            <w:pPr>
              <w:jc w:val="center"/>
            </w:pPr>
            <w:r>
              <w:rPr>
                <w:sz w:val="17"/>
              </w:rPr>
              <w:t>Allenhouse Institute of Technology</w:t>
            </w:r>
          </w:p>
        </w:tc>
      </w:tr>
      <w:tr>
        <w:tc>
          <w:tcPr>
            <w:tcW w:type="dxa" w:w="3168"/>
            <w:vAlign w:val="center"/>
            <w:tcMar>
              <w:top w:w="70" w:type="dxa"/>
              <w:start w:w="90" w:type="dxa"/>
              <w:bottom w:w="70" w:type="dxa"/>
              <w:end w:w="90" w:type="dxa"/>
            </w:tcMar>
          </w:tcPr>
          <w:p>
            <w:pPr>
              <w:jc w:val="left"/>
            </w:pPr>
            <w:r>
              <w:rPr>
                <w:sz w:val="17"/>
              </w:rPr>
              <w:t>Course</w:t>
            </w:r>
          </w:p>
        </w:tc>
        <w:tc>
          <w:tcPr>
            <w:tcW w:type="dxa" w:w="6192"/>
            <w:vAlign w:val="center"/>
            <w:tcMar>
              <w:top w:w="70" w:type="dxa"/>
              <w:start w:w="90" w:type="dxa"/>
              <w:bottom w:w="70" w:type="dxa"/>
              <w:end w:w="90" w:type="dxa"/>
            </w:tcMar>
          </w:tcPr>
          <w:p>
            <w:pPr>
              <w:jc w:val="center"/>
            </w:pPr>
            <w:r>
              <w:rPr>
                <w:sz w:val="17"/>
              </w:rPr>
              <w:t>B Tech</w:t>
            </w:r>
          </w:p>
        </w:tc>
      </w:tr>
      <w:tr>
        <w:tc>
          <w:tcPr>
            <w:tcW w:type="dxa" w:w="3168"/>
            <w:vAlign w:val="center"/>
            <w:shd w:fill="EAF2F8"/>
            <w:tcMar>
              <w:top w:w="70" w:type="dxa"/>
              <w:start w:w="90" w:type="dxa"/>
              <w:bottom w:w="70" w:type="dxa"/>
              <w:end w:w="90" w:type="dxa"/>
            </w:tcMar>
          </w:tcPr>
          <w:p>
            <w:pPr>
              <w:jc w:val="left"/>
            </w:pPr>
            <w:r>
              <w:rPr>
                <w:sz w:val="17"/>
              </w:rPr>
              <w:t>Branch</w:t>
            </w:r>
          </w:p>
        </w:tc>
        <w:tc>
          <w:tcPr>
            <w:tcW w:type="dxa" w:w="6192"/>
            <w:vAlign w:val="center"/>
            <w:shd w:fill="EAF2F8"/>
            <w:tcMar>
              <w:top w:w="70" w:type="dxa"/>
              <w:start w:w="90" w:type="dxa"/>
              <w:bottom w:w="70" w:type="dxa"/>
              <w:end w:w="90" w:type="dxa"/>
            </w:tcMar>
          </w:tcPr>
          <w:p>
            <w:pPr>
              <w:jc w:val="center"/>
            </w:pPr>
            <w:r>
              <w:rPr>
                <w:sz w:val="17"/>
              </w:rPr>
              <w:t>Computer Science AI and ML</w:t>
            </w:r>
          </w:p>
        </w:tc>
      </w:tr>
      <w:tr>
        <w:tc>
          <w:tcPr>
            <w:tcW w:type="dxa" w:w="3168"/>
            <w:vAlign w:val="center"/>
            <w:tcMar>
              <w:top w:w="70" w:type="dxa"/>
              <w:start w:w="90" w:type="dxa"/>
              <w:bottom w:w="70" w:type="dxa"/>
              <w:end w:w="90" w:type="dxa"/>
            </w:tcMar>
          </w:tcPr>
          <w:p>
            <w:pPr>
              <w:jc w:val="left"/>
            </w:pPr>
            <w:r>
              <w:rPr>
                <w:sz w:val="17"/>
              </w:rPr>
              <w:t>Semester</w:t>
            </w:r>
          </w:p>
        </w:tc>
        <w:tc>
          <w:tcPr>
            <w:tcW w:type="dxa" w:w="6192"/>
            <w:vAlign w:val="center"/>
            <w:tcMar>
              <w:top w:w="70" w:type="dxa"/>
              <w:start w:w="90" w:type="dxa"/>
              <w:bottom w:w="70" w:type="dxa"/>
              <w:end w:w="90" w:type="dxa"/>
            </w:tcMar>
          </w:tcPr>
          <w:p>
            <w:pPr>
              <w:jc w:val="center"/>
            </w:pPr>
            <w:r>
              <w:rPr>
                <w:sz w:val="17"/>
              </w:rPr>
              <w:t>7th Semester Final Year</w:t>
            </w:r>
          </w:p>
        </w:tc>
      </w:tr>
      <w:tr>
        <w:tc>
          <w:tcPr>
            <w:tcW w:type="dxa" w:w="3168"/>
            <w:vAlign w:val="center"/>
            <w:shd w:fill="EAF2F8"/>
            <w:tcMar>
              <w:top w:w="70" w:type="dxa"/>
              <w:start w:w="90" w:type="dxa"/>
              <w:bottom w:w="70" w:type="dxa"/>
              <w:end w:w="90" w:type="dxa"/>
            </w:tcMar>
          </w:tcPr>
          <w:p>
            <w:pPr>
              <w:jc w:val="left"/>
            </w:pPr>
            <w:r>
              <w:rPr>
                <w:sz w:val="17"/>
              </w:rPr>
              <w:t>Internship platform</w:t>
            </w:r>
          </w:p>
        </w:tc>
        <w:tc>
          <w:tcPr>
            <w:tcW w:type="dxa" w:w="6192"/>
            <w:vAlign w:val="center"/>
            <w:shd w:fill="EAF2F8"/>
            <w:tcMar>
              <w:top w:w="70" w:type="dxa"/>
              <w:start w:w="90" w:type="dxa"/>
              <w:bottom w:w="70" w:type="dxa"/>
              <w:end w:w="90" w:type="dxa"/>
            </w:tcMar>
          </w:tcPr>
          <w:p>
            <w:pPr>
              <w:jc w:val="center"/>
            </w:pPr>
            <w:r>
              <w:rPr>
                <w:sz w:val="17"/>
              </w:rPr>
              <w:t>Yuva Intern</w:t>
            </w:r>
          </w:p>
        </w:tc>
      </w:tr>
      <w:tr>
        <w:tc>
          <w:tcPr>
            <w:tcW w:type="dxa" w:w="3168"/>
            <w:vAlign w:val="center"/>
            <w:tcMar>
              <w:top w:w="70" w:type="dxa"/>
              <w:start w:w="90" w:type="dxa"/>
              <w:bottom w:w="70" w:type="dxa"/>
              <w:end w:w="90" w:type="dxa"/>
            </w:tcMar>
          </w:tcPr>
          <w:p>
            <w:pPr>
              <w:jc w:val="left"/>
            </w:pPr>
            <w:r>
              <w:rPr>
                <w:sz w:val="17"/>
              </w:rPr>
              <w:t>Role</w:t>
            </w:r>
          </w:p>
        </w:tc>
        <w:tc>
          <w:tcPr>
            <w:tcW w:type="dxa" w:w="6192"/>
            <w:vAlign w:val="center"/>
            <w:tcMar>
              <w:top w:w="70" w:type="dxa"/>
              <w:start w:w="90" w:type="dxa"/>
              <w:bottom w:w="70" w:type="dxa"/>
              <w:end w:w="90" w:type="dxa"/>
            </w:tcMar>
          </w:tcPr>
          <w:p>
            <w:pPr>
              <w:jc w:val="center"/>
            </w:pPr>
            <w:r>
              <w:rPr>
                <w:sz w:val="17"/>
              </w:rPr>
              <w:t>Data Analytics Strategist</w:t>
            </w:r>
          </w:p>
        </w:tc>
      </w:tr>
      <w:tr>
        <w:tc>
          <w:tcPr>
            <w:tcW w:type="dxa" w:w="3168"/>
            <w:vAlign w:val="center"/>
            <w:shd w:fill="EAF2F8"/>
            <w:tcMar>
              <w:top w:w="70" w:type="dxa"/>
              <w:start w:w="90" w:type="dxa"/>
              <w:bottom w:w="70" w:type="dxa"/>
              <w:end w:w="90" w:type="dxa"/>
            </w:tcMar>
          </w:tcPr>
          <w:p>
            <w:pPr>
              <w:jc w:val="left"/>
            </w:pPr>
            <w:r>
              <w:rPr>
                <w:sz w:val="17"/>
              </w:rPr>
              <w:t>Week</w:t>
            </w:r>
          </w:p>
        </w:tc>
        <w:tc>
          <w:tcPr>
            <w:tcW w:type="dxa" w:w="6192"/>
            <w:vAlign w:val="center"/>
            <w:shd w:fill="EAF2F8"/>
            <w:tcMar>
              <w:top w:w="70" w:type="dxa"/>
              <w:start w:w="90" w:type="dxa"/>
              <w:bottom w:w="70" w:type="dxa"/>
              <w:end w:w="90" w:type="dxa"/>
            </w:tcMar>
          </w:tcPr>
          <w:p>
            <w:pPr>
              <w:jc w:val="center"/>
            </w:pPr>
            <w:r>
              <w:rPr>
                <w:sz w:val="17"/>
              </w:rPr>
              <w:t>Week 3</w:t>
            </w:r>
          </w:p>
        </w:tc>
      </w:tr>
    </w:tbl>
    <w:p>
      <w:pPr>
        <w:spacing w:after="20"/>
      </w:pPr>
    </w:p>
    <w:p>
      <w:pPr>
        <w:pStyle w:val="CaptionText"/>
        <w:jc w:val="center"/>
      </w:pPr>
      <w:r>
        <w:t>Prepared for internship submission</w:t>
      </w:r>
    </w:p>
    <w:p>
      <w:r>
        <w:br w:type="page"/>
      </w:r>
    </w:p>
    <w:p>
      <w:pPr>
        <w:pStyle w:val="Heading1"/>
        <w:keepNext/>
        <w:keepLines/>
      </w:pPr>
      <w:r>
        <w:t>Executive Summary</w:t>
      </w:r>
    </w:p>
    <w:p>
      <w:r>
        <w:t>This report presents a complete exploratory data analysis and visualization strategy for credit card default risk. The work uses an open UCI dataset containing 30,000 customer records. Python was used for profiling, cleaning, preprocessing, feature engineering and visualization. SQL was used to answer business questions and validate the main findings. Excel outputs were created for easy review and submission.</w:t>
      </w:r>
    </w:p>
    <w:p>
      <w:r>
        <w:t>The analysis found an overall default rate of 22.12 percent. Repayment delay was the strongest practical indicator of default risk. Customers with no delayed months had an 11.71 percent default rate, while customers delayed in all six observed months had a 70.32 percent default rate. The analytical risk segmentation also separated the population clearly: 10.89 percent default for Low Risk, 24.38 percent for Medium Risk and 46.94 percent for High Risk.</w:t>
      </w:r>
    </w:p>
    <w:p>
      <w:pPr>
        <w:pStyle w:val="Heading2"/>
        <w:keepNext/>
        <w:keepLines/>
      </w:pPr>
      <w:r>
        <w:t>Project Objectives</w:t>
      </w:r>
    </w:p>
    <w:p>
      <w:pPr>
        <w:pStyle w:val="ListBullet"/>
        <w:spacing w:after="60"/>
      </w:pPr>
      <w:r>
        <w:t>Understand the dataset structure, distributions, quality and important variables.</w:t>
      </w:r>
    </w:p>
    <w:p>
      <w:pPr>
        <w:pStyle w:val="ListBullet"/>
        <w:spacing w:after="60"/>
      </w:pPr>
      <w:r>
        <w:t>Identify trends, correlations, outliers and customer groups linked with default risk.</w:t>
      </w:r>
    </w:p>
    <w:p>
      <w:pPr>
        <w:pStyle w:val="ListBullet"/>
        <w:spacing w:after="60"/>
      </w:pPr>
      <w:r>
        <w:t>Create clear visual narratives that can be understood by non-technical reviewers.</w:t>
      </w:r>
    </w:p>
    <w:p>
      <w:pPr>
        <w:pStyle w:val="ListBullet"/>
        <w:spacing w:after="60"/>
      </w:pPr>
      <w:r>
        <w:t>Prepare an analysis-ready dataset and reusable SQL outputs for further decision making.</w:t>
      </w:r>
    </w:p>
    <w:p>
      <w:pPr>
        <w:pStyle w:val="Heading2"/>
        <w:keepNext/>
        <w:keepLines/>
      </w:pPr>
      <w:r>
        <w:t>Key Results at a Glance</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97"/>
        <w:gridCol w:w="4997"/>
      </w:tblGrid>
      <w:tr>
        <w:trPr>
          <w:tblHeader w:val="true"/>
        </w:trPr>
        <w:tc>
          <w:tcPr>
            <w:tcW w:type="dxa" w:w="5328"/>
            <w:shd w:fill="1F4E78"/>
            <w:vAlign w:val="center"/>
            <w:tcMar>
              <w:top w:w="70" w:type="dxa"/>
              <w:start w:w="90" w:type="dxa"/>
              <w:bottom w:w="70" w:type="dxa"/>
              <w:end w:w="90" w:type="dxa"/>
            </w:tcMar>
          </w:tcPr>
          <w:p>
            <w:pPr>
              <w:jc w:val="center"/>
            </w:pPr>
            <w:r>
              <w:rPr>
                <w:b/>
                <w:color w:val="FFFFFF"/>
                <w:sz w:val="18"/>
              </w:rPr>
              <w:t>Measure</w:t>
            </w:r>
          </w:p>
        </w:tc>
        <w:tc>
          <w:tcPr>
            <w:tcW w:type="dxa" w:w="3312"/>
            <w:shd w:fill="1F4E78"/>
            <w:vAlign w:val="center"/>
            <w:tcMar>
              <w:top w:w="70" w:type="dxa"/>
              <w:start w:w="90" w:type="dxa"/>
              <w:bottom w:w="70" w:type="dxa"/>
              <w:end w:w="90" w:type="dxa"/>
            </w:tcMar>
          </w:tcPr>
          <w:p>
            <w:pPr>
              <w:jc w:val="center"/>
            </w:pPr>
            <w:r>
              <w:rPr>
                <w:b/>
                <w:color w:val="FFFFFF"/>
                <w:sz w:val="18"/>
              </w:rPr>
              <w:t>Result</w:t>
            </w:r>
          </w:p>
        </w:tc>
      </w:tr>
      <w:tr>
        <w:tc>
          <w:tcPr>
            <w:tcW w:type="dxa" w:w="5328"/>
            <w:vAlign w:val="center"/>
            <w:tcMar>
              <w:top w:w="70" w:type="dxa"/>
              <w:start w:w="90" w:type="dxa"/>
              <w:bottom w:w="70" w:type="dxa"/>
              <w:end w:w="90" w:type="dxa"/>
            </w:tcMar>
          </w:tcPr>
          <w:p>
            <w:pPr>
              <w:jc w:val="left"/>
            </w:pPr>
            <w:r>
              <w:rPr>
                <w:sz w:val="17"/>
              </w:rPr>
              <w:t>Customer records</w:t>
            </w:r>
          </w:p>
        </w:tc>
        <w:tc>
          <w:tcPr>
            <w:tcW w:type="dxa" w:w="3312"/>
            <w:vAlign w:val="center"/>
            <w:tcMar>
              <w:top w:w="70" w:type="dxa"/>
              <w:start w:w="90" w:type="dxa"/>
              <w:bottom w:w="70" w:type="dxa"/>
              <w:end w:w="90" w:type="dxa"/>
            </w:tcMar>
          </w:tcPr>
          <w:p>
            <w:pPr>
              <w:jc w:val="center"/>
            </w:pPr>
            <w:r>
              <w:rPr>
                <w:sz w:val="17"/>
              </w:rPr>
              <w:t>30,000</w:t>
            </w:r>
          </w:p>
        </w:tc>
      </w:tr>
      <w:tr>
        <w:tc>
          <w:tcPr>
            <w:tcW w:type="dxa" w:w="5328"/>
            <w:vAlign w:val="center"/>
            <w:shd w:fill="EAF2F8"/>
            <w:tcMar>
              <w:top w:w="70" w:type="dxa"/>
              <w:start w:w="90" w:type="dxa"/>
              <w:bottom w:w="70" w:type="dxa"/>
              <w:end w:w="90" w:type="dxa"/>
            </w:tcMar>
          </w:tcPr>
          <w:p>
            <w:pPr>
              <w:jc w:val="left"/>
            </w:pPr>
            <w:r>
              <w:rPr>
                <w:sz w:val="17"/>
              </w:rPr>
              <w:t>Default customers</w:t>
            </w:r>
          </w:p>
        </w:tc>
        <w:tc>
          <w:tcPr>
            <w:tcW w:type="dxa" w:w="3312"/>
            <w:vAlign w:val="center"/>
            <w:shd w:fill="EAF2F8"/>
            <w:tcMar>
              <w:top w:w="70" w:type="dxa"/>
              <w:start w:w="90" w:type="dxa"/>
              <w:bottom w:w="70" w:type="dxa"/>
              <w:end w:w="90" w:type="dxa"/>
            </w:tcMar>
          </w:tcPr>
          <w:p>
            <w:pPr>
              <w:jc w:val="center"/>
            </w:pPr>
            <w:r>
              <w:rPr>
                <w:sz w:val="17"/>
              </w:rPr>
              <w:t>6,636</w:t>
            </w:r>
          </w:p>
        </w:tc>
      </w:tr>
      <w:tr>
        <w:tc>
          <w:tcPr>
            <w:tcW w:type="dxa" w:w="5328"/>
            <w:vAlign w:val="center"/>
            <w:tcMar>
              <w:top w:w="70" w:type="dxa"/>
              <w:start w:w="90" w:type="dxa"/>
              <w:bottom w:w="70" w:type="dxa"/>
              <w:end w:w="90" w:type="dxa"/>
            </w:tcMar>
          </w:tcPr>
          <w:p>
            <w:pPr>
              <w:jc w:val="left"/>
            </w:pPr>
            <w:r>
              <w:rPr>
                <w:sz w:val="17"/>
              </w:rPr>
              <w:t>Non-default customers</w:t>
            </w:r>
          </w:p>
        </w:tc>
        <w:tc>
          <w:tcPr>
            <w:tcW w:type="dxa" w:w="3312"/>
            <w:vAlign w:val="center"/>
            <w:tcMar>
              <w:top w:w="70" w:type="dxa"/>
              <w:start w:w="90" w:type="dxa"/>
              <w:bottom w:w="70" w:type="dxa"/>
              <w:end w:w="90" w:type="dxa"/>
            </w:tcMar>
          </w:tcPr>
          <w:p>
            <w:pPr>
              <w:jc w:val="center"/>
            </w:pPr>
            <w:r>
              <w:rPr>
                <w:sz w:val="17"/>
              </w:rPr>
              <w:t>23,364</w:t>
            </w:r>
          </w:p>
        </w:tc>
      </w:tr>
      <w:tr>
        <w:tc>
          <w:tcPr>
            <w:tcW w:type="dxa" w:w="5328"/>
            <w:vAlign w:val="center"/>
            <w:shd w:fill="EAF2F8"/>
            <w:tcMar>
              <w:top w:w="70" w:type="dxa"/>
              <w:start w:w="90" w:type="dxa"/>
              <w:bottom w:w="70" w:type="dxa"/>
              <w:end w:w="90" w:type="dxa"/>
            </w:tcMar>
          </w:tcPr>
          <w:p>
            <w:pPr>
              <w:jc w:val="left"/>
            </w:pPr>
            <w:r>
              <w:rPr>
                <w:sz w:val="17"/>
              </w:rPr>
              <w:t>Overall default rate</w:t>
            </w:r>
          </w:p>
        </w:tc>
        <w:tc>
          <w:tcPr>
            <w:tcW w:type="dxa" w:w="3312"/>
            <w:vAlign w:val="center"/>
            <w:shd w:fill="EAF2F8"/>
            <w:tcMar>
              <w:top w:w="70" w:type="dxa"/>
              <w:start w:w="90" w:type="dxa"/>
              <w:bottom w:w="70" w:type="dxa"/>
              <w:end w:w="90" w:type="dxa"/>
            </w:tcMar>
          </w:tcPr>
          <w:p>
            <w:pPr>
              <w:jc w:val="center"/>
            </w:pPr>
            <w:r>
              <w:rPr>
                <w:sz w:val="17"/>
              </w:rPr>
              <w:t>22.12%</w:t>
            </w:r>
          </w:p>
        </w:tc>
      </w:tr>
      <w:tr>
        <w:tc>
          <w:tcPr>
            <w:tcW w:type="dxa" w:w="5328"/>
            <w:vAlign w:val="center"/>
            <w:tcMar>
              <w:top w:w="70" w:type="dxa"/>
              <w:start w:w="90" w:type="dxa"/>
              <w:bottom w:w="70" w:type="dxa"/>
              <w:end w:w="90" w:type="dxa"/>
            </w:tcMar>
          </w:tcPr>
          <w:p>
            <w:pPr>
              <w:jc w:val="left"/>
            </w:pPr>
            <w:r>
              <w:rPr>
                <w:sz w:val="17"/>
              </w:rPr>
              <w:t>Average credit limit</w:t>
            </w:r>
          </w:p>
        </w:tc>
        <w:tc>
          <w:tcPr>
            <w:tcW w:type="dxa" w:w="3312"/>
            <w:vAlign w:val="center"/>
            <w:tcMar>
              <w:top w:w="70" w:type="dxa"/>
              <w:start w:w="90" w:type="dxa"/>
              <w:bottom w:w="70" w:type="dxa"/>
              <w:end w:w="90" w:type="dxa"/>
            </w:tcMar>
          </w:tcPr>
          <w:p>
            <w:pPr>
              <w:jc w:val="center"/>
            </w:pPr>
            <w:r>
              <w:rPr>
                <w:sz w:val="17"/>
              </w:rPr>
              <w:t>167,484.32</w:t>
            </w:r>
          </w:p>
        </w:tc>
      </w:tr>
      <w:tr>
        <w:tc>
          <w:tcPr>
            <w:tcW w:type="dxa" w:w="5328"/>
            <w:vAlign w:val="center"/>
            <w:shd w:fill="EAF2F8"/>
            <w:tcMar>
              <w:top w:w="70" w:type="dxa"/>
              <w:start w:w="90" w:type="dxa"/>
              <w:bottom w:w="70" w:type="dxa"/>
              <w:end w:w="90" w:type="dxa"/>
            </w:tcMar>
          </w:tcPr>
          <w:p>
            <w:pPr>
              <w:jc w:val="left"/>
            </w:pPr>
            <w:r>
              <w:rPr>
                <w:sz w:val="17"/>
              </w:rPr>
              <w:t>Missing values</w:t>
            </w:r>
          </w:p>
        </w:tc>
        <w:tc>
          <w:tcPr>
            <w:tcW w:type="dxa" w:w="3312"/>
            <w:vAlign w:val="center"/>
            <w:shd w:fill="EAF2F8"/>
            <w:tcMar>
              <w:top w:w="70" w:type="dxa"/>
              <w:start w:w="90" w:type="dxa"/>
              <w:bottom w:w="70" w:type="dxa"/>
              <w:end w:w="90" w:type="dxa"/>
            </w:tcMar>
          </w:tcPr>
          <w:p>
            <w:pPr>
              <w:jc w:val="center"/>
            </w:pPr>
            <w:r>
              <w:rPr>
                <w:sz w:val="17"/>
              </w:rPr>
              <w:t>0</w:t>
            </w:r>
          </w:p>
        </w:tc>
      </w:tr>
      <w:tr>
        <w:tc>
          <w:tcPr>
            <w:tcW w:type="dxa" w:w="5328"/>
            <w:vAlign w:val="center"/>
            <w:tcMar>
              <w:top w:w="70" w:type="dxa"/>
              <w:start w:w="90" w:type="dxa"/>
              <w:bottom w:w="70" w:type="dxa"/>
              <w:end w:w="90" w:type="dxa"/>
            </w:tcMar>
          </w:tcPr>
          <w:p>
            <w:pPr>
              <w:jc w:val="left"/>
            </w:pPr>
            <w:r>
              <w:rPr>
                <w:sz w:val="17"/>
              </w:rPr>
              <w:t>Exact duplicate rows</w:t>
            </w:r>
          </w:p>
        </w:tc>
        <w:tc>
          <w:tcPr>
            <w:tcW w:type="dxa" w:w="3312"/>
            <w:vAlign w:val="center"/>
            <w:tcMar>
              <w:top w:w="70" w:type="dxa"/>
              <w:start w:w="90" w:type="dxa"/>
              <w:bottom w:w="70" w:type="dxa"/>
              <w:end w:w="90" w:type="dxa"/>
            </w:tcMar>
          </w:tcPr>
          <w:p>
            <w:pPr>
              <w:jc w:val="center"/>
            </w:pPr>
            <w:r>
              <w:rPr>
                <w:sz w:val="17"/>
              </w:rPr>
              <w:t>0</w:t>
            </w:r>
          </w:p>
        </w:tc>
      </w:tr>
      <w:tr>
        <w:tc>
          <w:tcPr>
            <w:tcW w:type="dxa" w:w="5328"/>
            <w:vAlign w:val="center"/>
            <w:shd w:fill="EAF2F8"/>
            <w:tcMar>
              <w:top w:w="70" w:type="dxa"/>
              <w:start w:w="90" w:type="dxa"/>
              <w:bottom w:w="70" w:type="dxa"/>
              <w:end w:w="90" w:type="dxa"/>
            </w:tcMar>
          </w:tcPr>
          <w:p>
            <w:pPr>
              <w:jc w:val="left"/>
            </w:pPr>
            <w:r>
              <w:rPr>
                <w:sz w:val="17"/>
              </w:rPr>
              <w:t>Duplicate customer IDs</w:t>
            </w:r>
          </w:p>
        </w:tc>
        <w:tc>
          <w:tcPr>
            <w:tcW w:type="dxa" w:w="3312"/>
            <w:vAlign w:val="center"/>
            <w:shd w:fill="EAF2F8"/>
            <w:tcMar>
              <w:top w:w="70" w:type="dxa"/>
              <w:start w:w="90" w:type="dxa"/>
              <w:bottom w:w="70" w:type="dxa"/>
              <w:end w:w="90" w:type="dxa"/>
            </w:tcMar>
          </w:tcPr>
          <w:p>
            <w:pPr>
              <w:jc w:val="center"/>
            </w:pPr>
            <w:r>
              <w:rPr>
                <w:sz w:val="17"/>
              </w:rPr>
              <w:t>0</w:t>
            </w:r>
          </w:p>
        </w:tc>
      </w:tr>
    </w:tbl>
    <w:p>
      <w:pPr>
        <w:spacing w:after="20"/>
      </w:pPr>
    </w:p>
    <w:p>
      <w:pPr>
        <w:pStyle w:val="Heading2"/>
        <w:keepNext/>
        <w:keepLines/>
      </w:pPr>
      <w:r>
        <w:t>Scope and Tools</w:t>
      </w:r>
    </w:p>
    <w:p>
      <w:r>
        <w:t>The project is limited to descriptive and diagnostic analytics. It does not claim to predict future defaults. The selected tools were Python for reproducible analysis and charts, SQL for business queries and aggregation, and Excel for portable review files. Power BI was not used in this task.</w:t>
      </w:r>
    </w:p>
    <w:p>
      <w:r>
        <w:br w:type="page"/>
      </w:r>
    </w:p>
    <w:p>
      <w:pPr>
        <w:pStyle w:val="Heading1"/>
        <w:keepNext/>
        <w:keepLines/>
      </w:pPr>
      <w:r>
        <w:t>Dataset and Key Variables</w:t>
      </w:r>
    </w:p>
    <w:p>
      <w:r>
        <w:t>The Default of Credit Card Clients dataset contains customer demographics, credit limits, six months of repayment status, bill statements, previous payments and a binary next-month default outcome. The target value 1 represents default and 0 represents no default.</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31"/>
        <w:gridCol w:w="3331"/>
        <w:gridCol w:w="3331"/>
      </w:tblGrid>
      <w:tr>
        <w:trPr>
          <w:tblHeader w:val="true"/>
        </w:trPr>
        <w:tc>
          <w:tcPr>
            <w:tcW w:type="dxa" w:w="2088"/>
            <w:shd w:fill="1F4E78"/>
            <w:vAlign w:val="center"/>
            <w:tcMar>
              <w:top w:w="70" w:type="dxa"/>
              <w:start w:w="90" w:type="dxa"/>
              <w:bottom w:w="70" w:type="dxa"/>
              <w:end w:w="90" w:type="dxa"/>
            </w:tcMar>
          </w:tcPr>
          <w:p>
            <w:pPr>
              <w:jc w:val="center"/>
            </w:pPr>
            <w:r>
              <w:rPr>
                <w:b/>
                <w:color w:val="FFFFFF"/>
                <w:sz w:val="18"/>
              </w:rPr>
              <w:t>Variable group</w:t>
            </w:r>
          </w:p>
        </w:tc>
        <w:tc>
          <w:tcPr>
            <w:tcW w:type="dxa" w:w="3528"/>
            <w:shd w:fill="1F4E78"/>
            <w:vAlign w:val="center"/>
            <w:tcMar>
              <w:top w:w="70" w:type="dxa"/>
              <w:start w:w="90" w:type="dxa"/>
              <w:bottom w:w="70" w:type="dxa"/>
              <w:end w:w="90" w:type="dxa"/>
            </w:tcMar>
          </w:tcPr>
          <w:p>
            <w:pPr>
              <w:jc w:val="center"/>
            </w:pPr>
            <w:r>
              <w:rPr>
                <w:b/>
                <w:color w:val="FFFFFF"/>
                <w:sz w:val="18"/>
              </w:rPr>
              <w:t>Variables</w:t>
            </w:r>
          </w:p>
        </w:tc>
        <w:tc>
          <w:tcPr>
            <w:tcW w:type="dxa" w:w="3888"/>
            <w:shd w:fill="1F4E78"/>
            <w:vAlign w:val="center"/>
            <w:tcMar>
              <w:top w:w="70" w:type="dxa"/>
              <w:start w:w="90" w:type="dxa"/>
              <w:bottom w:w="70" w:type="dxa"/>
              <w:end w:w="90" w:type="dxa"/>
            </w:tcMar>
          </w:tcPr>
          <w:p>
            <w:pPr>
              <w:jc w:val="center"/>
            </w:pPr>
            <w:r>
              <w:rPr>
                <w:b/>
                <w:color w:val="FFFFFF"/>
                <w:sz w:val="18"/>
              </w:rPr>
              <w:t>Purpose</w:t>
            </w:r>
          </w:p>
        </w:tc>
      </w:tr>
      <w:tr>
        <w:tc>
          <w:tcPr>
            <w:tcW w:type="dxa" w:w="2088"/>
            <w:vAlign w:val="center"/>
            <w:tcMar>
              <w:top w:w="70" w:type="dxa"/>
              <w:start w:w="90" w:type="dxa"/>
              <w:bottom w:w="70" w:type="dxa"/>
              <w:end w:w="90" w:type="dxa"/>
            </w:tcMar>
          </w:tcPr>
          <w:p>
            <w:pPr>
              <w:jc w:val="left"/>
            </w:pPr>
            <w:r>
              <w:rPr>
                <w:sz w:val="17"/>
              </w:rPr>
              <w:t>Identifier</w:t>
            </w:r>
          </w:p>
        </w:tc>
        <w:tc>
          <w:tcPr>
            <w:tcW w:type="dxa" w:w="3528"/>
            <w:vAlign w:val="center"/>
            <w:tcMar>
              <w:top w:w="70" w:type="dxa"/>
              <w:start w:w="90" w:type="dxa"/>
              <w:bottom w:w="70" w:type="dxa"/>
              <w:end w:w="90" w:type="dxa"/>
            </w:tcMar>
          </w:tcPr>
          <w:p>
            <w:pPr>
              <w:jc w:val="center"/>
            </w:pPr>
            <w:r>
              <w:rPr>
                <w:sz w:val="17"/>
              </w:rPr>
              <w:t>ID</w:t>
            </w:r>
          </w:p>
        </w:tc>
        <w:tc>
          <w:tcPr>
            <w:tcW w:type="dxa" w:w="3888"/>
            <w:vAlign w:val="center"/>
            <w:tcMar>
              <w:top w:w="70" w:type="dxa"/>
              <w:start w:w="90" w:type="dxa"/>
              <w:bottom w:w="70" w:type="dxa"/>
              <w:end w:w="90" w:type="dxa"/>
            </w:tcMar>
          </w:tcPr>
          <w:p>
            <w:pPr>
              <w:jc w:val="center"/>
            </w:pPr>
            <w:r>
              <w:rPr>
                <w:sz w:val="17"/>
              </w:rPr>
              <w:t>Maintains one record per customer</w:t>
            </w:r>
          </w:p>
        </w:tc>
      </w:tr>
      <w:tr>
        <w:tc>
          <w:tcPr>
            <w:tcW w:type="dxa" w:w="2088"/>
            <w:vAlign w:val="center"/>
            <w:shd w:fill="EAF2F8"/>
            <w:tcMar>
              <w:top w:w="70" w:type="dxa"/>
              <w:start w:w="90" w:type="dxa"/>
              <w:bottom w:w="70" w:type="dxa"/>
              <w:end w:w="90" w:type="dxa"/>
            </w:tcMar>
          </w:tcPr>
          <w:p>
            <w:pPr>
              <w:jc w:val="left"/>
            </w:pPr>
            <w:r>
              <w:rPr>
                <w:sz w:val="17"/>
              </w:rPr>
              <w:t>Demographics</w:t>
            </w:r>
          </w:p>
        </w:tc>
        <w:tc>
          <w:tcPr>
            <w:tcW w:type="dxa" w:w="3528"/>
            <w:vAlign w:val="center"/>
            <w:shd w:fill="EAF2F8"/>
            <w:tcMar>
              <w:top w:w="70" w:type="dxa"/>
              <w:start w:w="90" w:type="dxa"/>
              <w:bottom w:w="70" w:type="dxa"/>
              <w:end w:w="90" w:type="dxa"/>
            </w:tcMar>
          </w:tcPr>
          <w:p>
            <w:pPr>
              <w:jc w:val="center"/>
            </w:pPr>
            <w:r>
              <w:rPr>
                <w:sz w:val="17"/>
              </w:rPr>
              <w:t>SEX, EDUCATION, MARRIAGE, AGE</w:t>
            </w:r>
          </w:p>
        </w:tc>
        <w:tc>
          <w:tcPr>
            <w:tcW w:type="dxa" w:w="3888"/>
            <w:vAlign w:val="center"/>
            <w:shd w:fill="EAF2F8"/>
            <w:tcMar>
              <w:top w:w="70" w:type="dxa"/>
              <w:start w:w="90" w:type="dxa"/>
              <w:bottom w:w="70" w:type="dxa"/>
              <w:end w:w="90" w:type="dxa"/>
            </w:tcMar>
          </w:tcPr>
          <w:p>
            <w:pPr>
              <w:jc w:val="center"/>
            </w:pPr>
            <w:r>
              <w:rPr>
                <w:sz w:val="17"/>
              </w:rPr>
              <w:t>Supports segment comparisons</w:t>
            </w:r>
          </w:p>
        </w:tc>
      </w:tr>
      <w:tr>
        <w:tc>
          <w:tcPr>
            <w:tcW w:type="dxa" w:w="2088"/>
            <w:vAlign w:val="center"/>
            <w:tcMar>
              <w:top w:w="70" w:type="dxa"/>
              <w:start w:w="90" w:type="dxa"/>
              <w:bottom w:w="70" w:type="dxa"/>
              <w:end w:w="90" w:type="dxa"/>
            </w:tcMar>
          </w:tcPr>
          <w:p>
            <w:pPr>
              <w:jc w:val="left"/>
            </w:pPr>
            <w:r>
              <w:rPr>
                <w:sz w:val="17"/>
              </w:rPr>
              <w:t>Credit exposure</w:t>
            </w:r>
          </w:p>
        </w:tc>
        <w:tc>
          <w:tcPr>
            <w:tcW w:type="dxa" w:w="3528"/>
            <w:vAlign w:val="center"/>
            <w:tcMar>
              <w:top w:w="70" w:type="dxa"/>
              <w:start w:w="90" w:type="dxa"/>
              <w:bottom w:w="70" w:type="dxa"/>
              <w:end w:w="90" w:type="dxa"/>
            </w:tcMar>
          </w:tcPr>
          <w:p>
            <w:pPr>
              <w:jc w:val="center"/>
            </w:pPr>
            <w:r>
              <w:rPr>
                <w:sz w:val="17"/>
              </w:rPr>
              <w:t>LIMIT BAL</w:t>
            </w:r>
          </w:p>
        </w:tc>
        <w:tc>
          <w:tcPr>
            <w:tcW w:type="dxa" w:w="3888"/>
            <w:vAlign w:val="center"/>
            <w:tcMar>
              <w:top w:w="70" w:type="dxa"/>
              <w:start w:w="90" w:type="dxa"/>
              <w:bottom w:w="70" w:type="dxa"/>
              <w:end w:w="90" w:type="dxa"/>
            </w:tcMar>
          </w:tcPr>
          <w:p>
            <w:pPr>
              <w:jc w:val="center"/>
            </w:pPr>
            <w:r>
              <w:rPr>
                <w:sz w:val="17"/>
              </w:rPr>
              <w:t>Measures available credit</w:t>
            </w:r>
          </w:p>
        </w:tc>
      </w:tr>
      <w:tr>
        <w:tc>
          <w:tcPr>
            <w:tcW w:type="dxa" w:w="2088"/>
            <w:vAlign w:val="center"/>
            <w:shd w:fill="EAF2F8"/>
            <w:tcMar>
              <w:top w:w="70" w:type="dxa"/>
              <w:start w:w="90" w:type="dxa"/>
              <w:bottom w:w="70" w:type="dxa"/>
              <w:end w:w="90" w:type="dxa"/>
            </w:tcMar>
          </w:tcPr>
          <w:p>
            <w:pPr>
              <w:jc w:val="left"/>
            </w:pPr>
            <w:r>
              <w:rPr>
                <w:sz w:val="17"/>
              </w:rPr>
              <w:t>Repayment status</w:t>
            </w:r>
          </w:p>
        </w:tc>
        <w:tc>
          <w:tcPr>
            <w:tcW w:type="dxa" w:w="3528"/>
            <w:vAlign w:val="center"/>
            <w:shd w:fill="EAF2F8"/>
            <w:tcMar>
              <w:top w:w="70" w:type="dxa"/>
              <w:start w:w="90" w:type="dxa"/>
              <w:bottom w:w="70" w:type="dxa"/>
              <w:end w:w="90" w:type="dxa"/>
            </w:tcMar>
          </w:tcPr>
          <w:p>
            <w:pPr>
              <w:jc w:val="center"/>
            </w:pPr>
            <w:r>
              <w:rPr>
                <w:sz w:val="17"/>
              </w:rPr>
              <w:t>PAY 0, PAY 2 to PAY 6</w:t>
            </w:r>
          </w:p>
        </w:tc>
        <w:tc>
          <w:tcPr>
            <w:tcW w:type="dxa" w:w="3888"/>
            <w:vAlign w:val="center"/>
            <w:shd w:fill="EAF2F8"/>
            <w:tcMar>
              <w:top w:w="70" w:type="dxa"/>
              <w:start w:w="90" w:type="dxa"/>
              <w:bottom w:w="70" w:type="dxa"/>
              <w:end w:w="90" w:type="dxa"/>
            </w:tcMar>
          </w:tcPr>
          <w:p>
            <w:pPr>
              <w:jc w:val="center"/>
            </w:pPr>
            <w:r>
              <w:rPr>
                <w:sz w:val="17"/>
              </w:rPr>
              <w:t>Shows recent payment delay behaviour</w:t>
            </w:r>
          </w:p>
        </w:tc>
      </w:tr>
      <w:tr>
        <w:tc>
          <w:tcPr>
            <w:tcW w:type="dxa" w:w="2088"/>
            <w:vAlign w:val="center"/>
            <w:tcMar>
              <w:top w:w="70" w:type="dxa"/>
              <w:start w:w="90" w:type="dxa"/>
              <w:bottom w:w="70" w:type="dxa"/>
              <w:end w:w="90" w:type="dxa"/>
            </w:tcMar>
          </w:tcPr>
          <w:p>
            <w:pPr>
              <w:jc w:val="left"/>
            </w:pPr>
            <w:r>
              <w:rPr>
                <w:sz w:val="17"/>
              </w:rPr>
              <w:t>Bill amounts</w:t>
            </w:r>
          </w:p>
        </w:tc>
        <w:tc>
          <w:tcPr>
            <w:tcW w:type="dxa" w:w="3528"/>
            <w:vAlign w:val="center"/>
            <w:tcMar>
              <w:top w:w="70" w:type="dxa"/>
              <w:start w:w="90" w:type="dxa"/>
              <w:bottom w:w="70" w:type="dxa"/>
              <w:end w:w="90" w:type="dxa"/>
            </w:tcMar>
          </w:tcPr>
          <w:p>
            <w:pPr>
              <w:jc w:val="center"/>
            </w:pPr>
            <w:r>
              <w:rPr>
                <w:sz w:val="17"/>
              </w:rPr>
              <w:t>BILL AMT1 to BILL AMT6</w:t>
            </w:r>
          </w:p>
        </w:tc>
        <w:tc>
          <w:tcPr>
            <w:tcW w:type="dxa" w:w="3888"/>
            <w:vAlign w:val="center"/>
            <w:tcMar>
              <w:top w:w="70" w:type="dxa"/>
              <w:start w:w="90" w:type="dxa"/>
              <w:bottom w:w="70" w:type="dxa"/>
              <w:end w:w="90" w:type="dxa"/>
            </w:tcMar>
          </w:tcPr>
          <w:p>
            <w:pPr>
              <w:jc w:val="center"/>
            </w:pPr>
            <w:r>
              <w:rPr>
                <w:sz w:val="17"/>
              </w:rPr>
              <w:t>Measures outstanding statements</w:t>
            </w:r>
          </w:p>
        </w:tc>
      </w:tr>
      <w:tr>
        <w:tc>
          <w:tcPr>
            <w:tcW w:type="dxa" w:w="2088"/>
            <w:vAlign w:val="center"/>
            <w:shd w:fill="EAF2F8"/>
            <w:tcMar>
              <w:top w:w="70" w:type="dxa"/>
              <w:start w:w="90" w:type="dxa"/>
              <w:bottom w:w="70" w:type="dxa"/>
              <w:end w:w="90" w:type="dxa"/>
            </w:tcMar>
          </w:tcPr>
          <w:p>
            <w:pPr>
              <w:jc w:val="left"/>
            </w:pPr>
            <w:r>
              <w:rPr>
                <w:sz w:val="17"/>
              </w:rPr>
              <w:t>Payments</w:t>
            </w:r>
          </w:p>
        </w:tc>
        <w:tc>
          <w:tcPr>
            <w:tcW w:type="dxa" w:w="3528"/>
            <w:vAlign w:val="center"/>
            <w:shd w:fill="EAF2F8"/>
            <w:tcMar>
              <w:top w:w="70" w:type="dxa"/>
              <w:start w:w="90" w:type="dxa"/>
              <w:bottom w:w="70" w:type="dxa"/>
              <w:end w:w="90" w:type="dxa"/>
            </w:tcMar>
          </w:tcPr>
          <w:p>
            <w:pPr>
              <w:jc w:val="center"/>
            </w:pPr>
            <w:r>
              <w:rPr>
                <w:sz w:val="17"/>
              </w:rPr>
              <w:t>PAY AMT1 to PAY AMT6</w:t>
            </w:r>
          </w:p>
        </w:tc>
        <w:tc>
          <w:tcPr>
            <w:tcW w:type="dxa" w:w="3888"/>
            <w:vAlign w:val="center"/>
            <w:shd w:fill="EAF2F8"/>
            <w:tcMar>
              <w:top w:w="70" w:type="dxa"/>
              <w:start w:w="90" w:type="dxa"/>
              <w:bottom w:w="70" w:type="dxa"/>
              <w:end w:w="90" w:type="dxa"/>
            </w:tcMar>
          </w:tcPr>
          <w:p>
            <w:pPr>
              <w:jc w:val="center"/>
            </w:pPr>
            <w:r>
              <w:rPr>
                <w:sz w:val="17"/>
              </w:rPr>
              <w:t>Measures previous repayments</w:t>
            </w:r>
          </w:p>
        </w:tc>
      </w:tr>
      <w:tr>
        <w:tc>
          <w:tcPr>
            <w:tcW w:type="dxa" w:w="2088"/>
            <w:vAlign w:val="center"/>
            <w:tcMar>
              <w:top w:w="70" w:type="dxa"/>
              <w:start w:w="90" w:type="dxa"/>
              <w:bottom w:w="70" w:type="dxa"/>
              <w:end w:w="90" w:type="dxa"/>
            </w:tcMar>
          </w:tcPr>
          <w:p>
            <w:pPr>
              <w:jc w:val="left"/>
            </w:pPr>
            <w:r>
              <w:rPr>
                <w:sz w:val="17"/>
              </w:rPr>
              <w:t>Target</w:t>
            </w:r>
          </w:p>
        </w:tc>
        <w:tc>
          <w:tcPr>
            <w:tcW w:type="dxa" w:w="3528"/>
            <w:vAlign w:val="center"/>
            <w:tcMar>
              <w:top w:w="70" w:type="dxa"/>
              <w:start w:w="90" w:type="dxa"/>
              <w:bottom w:w="70" w:type="dxa"/>
              <w:end w:w="90" w:type="dxa"/>
            </w:tcMar>
          </w:tcPr>
          <w:p>
            <w:pPr>
              <w:jc w:val="center"/>
            </w:pPr>
            <w:r>
              <w:rPr>
                <w:sz w:val="17"/>
              </w:rPr>
              <w:t>Default payment next month</w:t>
            </w:r>
          </w:p>
        </w:tc>
        <w:tc>
          <w:tcPr>
            <w:tcW w:type="dxa" w:w="3888"/>
            <w:vAlign w:val="center"/>
            <w:tcMar>
              <w:top w:w="70" w:type="dxa"/>
              <w:start w:w="90" w:type="dxa"/>
              <w:bottom w:w="70" w:type="dxa"/>
              <w:end w:w="90" w:type="dxa"/>
            </w:tcMar>
          </w:tcPr>
          <w:p>
            <w:pPr>
              <w:jc w:val="center"/>
            </w:pPr>
            <w:r>
              <w:rPr>
                <w:sz w:val="17"/>
              </w:rPr>
              <w:t>1 default and 0 no default</w:t>
            </w:r>
          </w:p>
        </w:tc>
      </w:tr>
    </w:tbl>
    <w:p>
      <w:pPr>
        <w:spacing w:after="20"/>
      </w:pPr>
    </w:p>
    <w:p>
      <w:pPr>
        <w:pStyle w:val="Heading2"/>
        <w:keepNext/>
        <w:keepLines/>
      </w:pPr>
      <w:r>
        <w:t>EDA Methodology</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31"/>
        <w:gridCol w:w="3331"/>
        <w:gridCol w:w="3331"/>
      </w:tblGrid>
      <w:tr>
        <w:trPr>
          <w:tblHeader w:val="true"/>
        </w:trPr>
        <w:tc>
          <w:tcPr>
            <w:tcW w:type="dxa" w:w="1800"/>
            <w:shd w:fill="1F4E78"/>
            <w:vAlign w:val="center"/>
            <w:tcMar>
              <w:top w:w="70" w:type="dxa"/>
              <w:start w:w="90" w:type="dxa"/>
              <w:bottom w:w="70" w:type="dxa"/>
              <w:end w:w="90" w:type="dxa"/>
            </w:tcMar>
          </w:tcPr>
          <w:p>
            <w:pPr>
              <w:jc w:val="center"/>
            </w:pPr>
            <w:r>
              <w:rPr>
                <w:b/>
                <w:color w:val="FFFFFF"/>
                <w:sz w:val="18"/>
              </w:rPr>
              <w:t>Stage</w:t>
            </w:r>
          </w:p>
        </w:tc>
        <w:tc>
          <w:tcPr>
            <w:tcW w:type="dxa" w:w="3024"/>
            <w:shd w:fill="1F4E78"/>
            <w:vAlign w:val="center"/>
            <w:tcMar>
              <w:top w:w="70" w:type="dxa"/>
              <w:start w:w="90" w:type="dxa"/>
              <w:bottom w:w="70" w:type="dxa"/>
              <w:end w:w="90" w:type="dxa"/>
            </w:tcMar>
          </w:tcPr>
          <w:p>
            <w:pPr>
              <w:jc w:val="center"/>
            </w:pPr>
            <w:r>
              <w:rPr>
                <w:b/>
                <w:color w:val="FFFFFF"/>
                <w:sz w:val="18"/>
              </w:rPr>
              <w:t>Method</w:t>
            </w:r>
          </w:p>
        </w:tc>
        <w:tc>
          <w:tcPr>
            <w:tcW w:type="dxa" w:w="4680"/>
            <w:shd w:fill="1F4E78"/>
            <w:vAlign w:val="center"/>
            <w:tcMar>
              <w:top w:w="70" w:type="dxa"/>
              <w:start w:w="90" w:type="dxa"/>
              <w:bottom w:w="70" w:type="dxa"/>
              <w:end w:w="90" w:type="dxa"/>
            </w:tcMar>
          </w:tcPr>
          <w:p>
            <w:pPr>
              <w:jc w:val="center"/>
            </w:pPr>
            <w:r>
              <w:rPr>
                <w:b/>
                <w:color w:val="FFFFFF"/>
                <w:sz w:val="18"/>
              </w:rPr>
              <w:t>Reason</w:t>
            </w:r>
          </w:p>
        </w:tc>
      </w:tr>
      <w:tr>
        <w:tc>
          <w:tcPr>
            <w:tcW w:type="dxa" w:w="1800"/>
            <w:vAlign w:val="center"/>
            <w:tcMar>
              <w:top w:w="70" w:type="dxa"/>
              <w:start w:w="90" w:type="dxa"/>
              <w:bottom w:w="70" w:type="dxa"/>
              <w:end w:w="90" w:type="dxa"/>
            </w:tcMar>
          </w:tcPr>
          <w:p>
            <w:pPr>
              <w:jc w:val="left"/>
            </w:pPr>
            <w:r>
              <w:rPr>
                <w:sz w:val="17"/>
              </w:rPr>
              <w:t>Structure review</w:t>
            </w:r>
          </w:p>
        </w:tc>
        <w:tc>
          <w:tcPr>
            <w:tcW w:type="dxa" w:w="3024"/>
            <w:vAlign w:val="center"/>
            <w:tcMar>
              <w:top w:w="70" w:type="dxa"/>
              <w:start w:w="90" w:type="dxa"/>
              <w:bottom w:w="70" w:type="dxa"/>
              <w:end w:w="90" w:type="dxa"/>
            </w:tcMar>
          </w:tcPr>
          <w:p>
            <w:pPr>
              <w:jc w:val="center"/>
            </w:pPr>
            <w:r>
              <w:rPr>
                <w:sz w:val="17"/>
              </w:rPr>
              <w:t>Shape, data types, head and column inspection</w:t>
            </w:r>
          </w:p>
        </w:tc>
        <w:tc>
          <w:tcPr>
            <w:tcW w:type="dxa" w:w="4680"/>
            <w:vAlign w:val="center"/>
            <w:tcMar>
              <w:top w:w="70" w:type="dxa"/>
              <w:start w:w="90" w:type="dxa"/>
              <w:bottom w:w="70" w:type="dxa"/>
              <w:end w:w="90" w:type="dxa"/>
            </w:tcMar>
          </w:tcPr>
          <w:p>
            <w:pPr>
              <w:jc w:val="center"/>
            </w:pPr>
            <w:r>
              <w:rPr>
                <w:sz w:val="17"/>
              </w:rPr>
              <w:t>Confirms dataset size and expected fields</w:t>
            </w:r>
          </w:p>
        </w:tc>
      </w:tr>
      <w:tr>
        <w:tc>
          <w:tcPr>
            <w:tcW w:type="dxa" w:w="1800"/>
            <w:vAlign w:val="center"/>
            <w:shd w:fill="EAF2F8"/>
            <w:tcMar>
              <w:top w:w="70" w:type="dxa"/>
              <w:start w:w="90" w:type="dxa"/>
              <w:bottom w:w="70" w:type="dxa"/>
              <w:end w:w="90" w:type="dxa"/>
            </w:tcMar>
          </w:tcPr>
          <w:p>
            <w:pPr>
              <w:jc w:val="left"/>
            </w:pPr>
            <w:r>
              <w:rPr>
                <w:sz w:val="17"/>
              </w:rPr>
              <w:t>Quality review</w:t>
            </w:r>
          </w:p>
        </w:tc>
        <w:tc>
          <w:tcPr>
            <w:tcW w:type="dxa" w:w="3024"/>
            <w:vAlign w:val="center"/>
            <w:shd w:fill="EAF2F8"/>
            <w:tcMar>
              <w:top w:w="70" w:type="dxa"/>
              <w:start w:w="90" w:type="dxa"/>
              <w:bottom w:w="70" w:type="dxa"/>
              <w:end w:w="90" w:type="dxa"/>
            </w:tcMar>
          </w:tcPr>
          <w:p>
            <w:pPr>
              <w:jc w:val="center"/>
            </w:pPr>
            <w:r>
              <w:rPr>
                <w:sz w:val="17"/>
              </w:rPr>
              <w:t>Missing values, duplicates and range checks</w:t>
            </w:r>
          </w:p>
        </w:tc>
        <w:tc>
          <w:tcPr>
            <w:tcW w:type="dxa" w:w="4680"/>
            <w:vAlign w:val="center"/>
            <w:shd w:fill="EAF2F8"/>
            <w:tcMar>
              <w:top w:w="70" w:type="dxa"/>
              <w:start w:w="90" w:type="dxa"/>
              <w:bottom w:w="70" w:type="dxa"/>
              <w:end w:w="90" w:type="dxa"/>
            </w:tcMar>
          </w:tcPr>
          <w:p>
            <w:pPr>
              <w:jc w:val="center"/>
            </w:pPr>
            <w:r>
              <w:rPr>
                <w:sz w:val="17"/>
              </w:rPr>
              <w:t>Prevents unreliable summaries</w:t>
            </w:r>
          </w:p>
        </w:tc>
      </w:tr>
      <w:tr>
        <w:tc>
          <w:tcPr>
            <w:tcW w:type="dxa" w:w="1800"/>
            <w:vAlign w:val="center"/>
            <w:tcMar>
              <w:top w:w="70" w:type="dxa"/>
              <w:start w:w="90" w:type="dxa"/>
              <w:bottom w:w="70" w:type="dxa"/>
              <w:end w:w="90" w:type="dxa"/>
            </w:tcMar>
          </w:tcPr>
          <w:p>
            <w:pPr>
              <w:jc w:val="left"/>
            </w:pPr>
            <w:r>
              <w:rPr>
                <w:sz w:val="17"/>
              </w:rPr>
              <w:t>Univariate analysis</w:t>
            </w:r>
          </w:p>
        </w:tc>
        <w:tc>
          <w:tcPr>
            <w:tcW w:type="dxa" w:w="3024"/>
            <w:vAlign w:val="center"/>
            <w:tcMar>
              <w:top w:w="70" w:type="dxa"/>
              <w:start w:w="90" w:type="dxa"/>
              <w:bottom w:w="70" w:type="dxa"/>
              <w:end w:w="90" w:type="dxa"/>
            </w:tcMar>
          </w:tcPr>
          <w:p>
            <w:pPr>
              <w:jc w:val="center"/>
            </w:pPr>
            <w:r>
              <w:rPr>
                <w:sz w:val="17"/>
              </w:rPr>
              <w:t>Counts, percentages, histograms and descriptive statistics</w:t>
            </w:r>
          </w:p>
        </w:tc>
        <w:tc>
          <w:tcPr>
            <w:tcW w:type="dxa" w:w="4680"/>
            <w:vAlign w:val="center"/>
            <w:tcMar>
              <w:top w:w="70" w:type="dxa"/>
              <w:start w:w="90" w:type="dxa"/>
              <w:bottom w:w="70" w:type="dxa"/>
              <w:end w:w="90" w:type="dxa"/>
            </w:tcMar>
          </w:tcPr>
          <w:p>
            <w:pPr>
              <w:jc w:val="center"/>
            </w:pPr>
            <w:r>
              <w:rPr>
                <w:sz w:val="17"/>
              </w:rPr>
              <w:t>Explains individual distributions</w:t>
            </w:r>
          </w:p>
        </w:tc>
      </w:tr>
      <w:tr>
        <w:tc>
          <w:tcPr>
            <w:tcW w:type="dxa" w:w="1800"/>
            <w:vAlign w:val="center"/>
            <w:shd w:fill="EAF2F8"/>
            <w:tcMar>
              <w:top w:w="70" w:type="dxa"/>
              <w:start w:w="90" w:type="dxa"/>
              <w:bottom w:w="70" w:type="dxa"/>
              <w:end w:w="90" w:type="dxa"/>
            </w:tcMar>
          </w:tcPr>
          <w:p>
            <w:pPr>
              <w:jc w:val="left"/>
            </w:pPr>
            <w:r>
              <w:rPr>
                <w:sz w:val="17"/>
              </w:rPr>
              <w:t>Bivariate analysis</w:t>
            </w:r>
          </w:p>
        </w:tc>
        <w:tc>
          <w:tcPr>
            <w:tcW w:type="dxa" w:w="3024"/>
            <w:vAlign w:val="center"/>
            <w:shd w:fill="EAF2F8"/>
            <w:tcMar>
              <w:top w:w="70" w:type="dxa"/>
              <w:start w:w="90" w:type="dxa"/>
              <w:bottom w:w="70" w:type="dxa"/>
              <w:end w:w="90" w:type="dxa"/>
            </w:tcMar>
          </w:tcPr>
          <w:p>
            <w:pPr>
              <w:jc w:val="center"/>
            </w:pPr>
            <w:r>
              <w:rPr>
                <w:sz w:val="17"/>
              </w:rPr>
              <w:t>Group-wise default rates</w:t>
            </w:r>
          </w:p>
        </w:tc>
        <w:tc>
          <w:tcPr>
            <w:tcW w:type="dxa" w:w="4680"/>
            <w:vAlign w:val="center"/>
            <w:shd w:fill="EAF2F8"/>
            <w:tcMar>
              <w:top w:w="70" w:type="dxa"/>
              <w:start w:w="90" w:type="dxa"/>
              <w:bottom w:w="70" w:type="dxa"/>
              <w:end w:w="90" w:type="dxa"/>
            </w:tcMar>
          </w:tcPr>
          <w:p>
            <w:pPr>
              <w:jc w:val="center"/>
            </w:pPr>
            <w:r>
              <w:rPr>
                <w:sz w:val="17"/>
              </w:rPr>
              <w:t>Shows how risk differs between segments</w:t>
            </w:r>
          </w:p>
        </w:tc>
      </w:tr>
      <w:tr>
        <w:tc>
          <w:tcPr>
            <w:tcW w:type="dxa" w:w="1800"/>
            <w:vAlign w:val="center"/>
            <w:tcMar>
              <w:top w:w="70" w:type="dxa"/>
              <w:start w:w="90" w:type="dxa"/>
              <w:bottom w:w="70" w:type="dxa"/>
              <w:end w:w="90" w:type="dxa"/>
            </w:tcMar>
          </w:tcPr>
          <w:p>
            <w:pPr>
              <w:jc w:val="left"/>
            </w:pPr>
            <w:r>
              <w:rPr>
                <w:sz w:val="17"/>
              </w:rPr>
              <w:t>Multivariate analysis</w:t>
            </w:r>
          </w:p>
        </w:tc>
        <w:tc>
          <w:tcPr>
            <w:tcW w:type="dxa" w:w="3024"/>
            <w:vAlign w:val="center"/>
            <w:tcMar>
              <w:top w:w="70" w:type="dxa"/>
              <w:start w:w="90" w:type="dxa"/>
              <w:bottom w:w="70" w:type="dxa"/>
              <w:end w:w="90" w:type="dxa"/>
            </w:tcMar>
          </w:tcPr>
          <w:p>
            <w:pPr>
              <w:jc w:val="center"/>
            </w:pPr>
            <w:r>
              <w:rPr>
                <w:sz w:val="17"/>
              </w:rPr>
              <w:t>Correlation heat map</w:t>
            </w:r>
          </w:p>
        </w:tc>
        <w:tc>
          <w:tcPr>
            <w:tcW w:type="dxa" w:w="4680"/>
            <w:vAlign w:val="center"/>
            <w:tcMar>
              <w:top w:w="70" w:type="dxa"/>
              <w:start w:w="90" w:type="dxa"/>
              <w:bottom w:w="70" w:type="dxa"/>
              <w:end w:w="90" w:type="dxa"/>
            </w:tcMar>
          </w:tcPr>
          <w:p>
            <w:pPr>
              <w:jc w:val="center"/>
            </w:pPr>
            <w:r>
              <w:rPr>
                <w:sz w:val="17"/>
              </w:rPr>
              <w:t>Highlights relationships across many variables</w:t>
            </w:r>
          </w:p>
        </w:tc>
      </w:tr>
      <w:tr>
        <w:tc>
          <w:tcPr>
            <w:tcW w:type="dxa" w:w="1800"/>
            <w:vAlign w:val="center"/>
            <w:shd w:fill="EAF2F8"/>
            <w:tcMar>
              <w:top w:w="70" w:type="dxa"/>
              <w:start w:w="90" w:type="dxa"/>
              <w:bottom w:w="70" w:type="dxa"/>
              <w:end w:w="90" w:type="dxa"/>
            </w:tcMar>
          </w:tcPr>
          <w:p>
            <w:pPr>
              <w:jc w:val="left"/>
            </w:pPr>
            <w:r>
              <w:rPr>
                <w:sz w:val="17"/>
              </w:rPr>
              <w:t>Anomaly review</w:t>
            </w:r>
          </w:p>
        </w:tc>
        <w:tc>
          <w:tcPr>
            <w:tcW w:type="dxa" w:w="3024"/>
            <w:vAlign w:val="center"/>
            <w:shd w:fill="EAF2F8"/>
            <w:tcMar>
              <w:top w:w="70" w:type="dxa"/>
              <w:start w:w="90" w:type="dxa"/>
              <w:bottom w:w="70" w:type="dxa"/>
              <w:end w:w="90" w:type="dxa"/>
            </w:tcMar>
          </w:tcPr>
          <w:p>
            <w:pPr>
              <w:jc w:val="center"/>
            </w:pPr>
            <w:r>
              <w:rPr>
                <w:sz w:val="17"/>
              </w:rPr>
              <w:t>IQR lower and upper limits</w:t>
            </w:r>
          </w:p>
        </w:tc>
        <w:tc>
          <w:tcPr>
            <w:tcW w:type="dxa" w:w="4680"/>
            <w:vAlign w:val="center"/>
            <w:shd w:fill="EAF2F8"/>
            <w:tcMar>
              <w:top w:w="70" w:type="dxa"/>
              <w:start w:w="90" w:type="dxa"/>
              <w:bottom w:w="70" w:type="dxa"/>
              <w:end w:w="90" w:type="dxa"/>
            </w:tcMar>
          </w:tcPr>
          <w:p>
            <w:pPr>
              <w:jc w:val="center"/>
            </w:pPr>
            <w:r>
              <w:rPr>
                <w:sz w:val="17"/>
              </w:rPr>
              <w:t>Flags unusual observations without automatic deletion</w:t>
            </w:r>
          </w:p>
        </w:tc>
      </w:tr>
      <w:tr>
        <w:tc>
          <w:tcPr>
            <w:tcW w:type="dxa" w:w="1800"/>
            <w:vAlign w:val="center"/>
            <w:tcMar>
              <w:top w:w="70" w:type="dxa"/>
              <w:start w:w="90" w:type="dxa"/>
              <w:bottom w:w="70" w:type="dxa"/>
              <w:end w:w="90" w:type="dxa"/>
            </w:tcMar>
          </w:tcPr>
          <w:p>
            <w:pPr>
              <w:jc w:val="left"/>
            </w:pPr>
            <w:r>
              <w:rPr>
                <w:sz w:val="17"/>
              </w:rPr>
              <w:t>SQL validation</w:t>
            </w:r>
          </w:p>
        </w:tc>
        <w:tc>
          <w:tcPr>
            <w:tcW w:type="dxa" w:w="3024"/>
            <w:vAlign w:val="center"/>
            <w:tcMar>
              <w:top w:w="70" w:type="dxa"/>
              <w:start w:w="90" w:type="dxa"/>
              <w:bottom w:w="70" w:type="dxa"/>
              <w:end w:w="90" w:type="dxa"/>
            </w:tcMar>
          </w:tcPr>
          <w:p>
            <w:pPr>
              <w:jc w:val="center"/>
            </w:pPr>
            <w:r>
              <w:rPr>
                <w:sz w:val="17"/>
              </w:rPr>
              <w:t>Aggregations, CTE and ranking</w:t>
            </w:r>
          </w:p>
        </w:tc>
        <w:tc>
          <w:tcPr>
            <w:tcW w:type="dxa" w:w="4680"/>
            <w:vAlign w:val="center"/>
            <w:tcMar>
              <w:top w:w="70" w:type="dxa"/>
              <w:start w:w="90" w:type="dxa"/>
              <w:bottom w:w="70" w:type="dxa"/>
              <w:end w:w="90" w:type="dxa"/>
            </w:tcMar>
          </w:tcPr>
          <w:p>
            <w:pPr>
              <w:jc w:val="center"/>
            </w:pPr>
            <w:r>
              <w:rPr>
                <w:sz w:val="17"/>
              </w:rPr>
              <w:t>Rechecks business findings independently</w:t>
            </w:r>
          </w:p>
        </w:tc>
      </w:tr>
    </w:tbl>
    <w:p>
      <w:pPr>
        <w:spacing w:after="20"/>
      </w:pPr>
    </w:p>
    <w:p>
      <w:pPr>
        <w:pStyle w:val="Heading2"/>
        <w:keepNext/>
        <w:keepLines/>
      </w:pPr>
      <w:r>
        <w:t>Data Quality Findings</w:t>
      </w:r>
    </w:p>
    <w:p>
      <w:r>
        <w:t>The raw analytical table contained no missing values, exact duplicate rows or repeated customer IDs. Initial education codes 0, 5 and 6 were outside the main documented 1 to 4 categories, and marriage code 0 was also inconsistent. During cleaning, these values were consolidated into the Others category. Final validation found no invalid values for gender, education, marriage, age, credit limit or target status.</w:t>
      </w:r>
    </w:p>
    <w:p>
      <w:r>
        <w:br w:type="page"/>
      </w:r>
    </w:p>
    <w:p>
      <w:pPr>
        <w:pStyle w:val="Heading1"/>
        <w:keepNext/>
        <w:keepLines/>
      </w:pPr>
      <w:r>
        <w:t>Exploratory Findings</w:t>
      </w:r>
    </w:p>
    <w:p>
      <w:pPr>
        <w:pStyle w:val="Heading2"/>
        <w:keepNext/>
        <w:keepLines/>
      </w:pPr>
      <w:r>
        <w:t>Default Distribution</w:t>
      </w:r>
    </w:p>
    <w:p>
      <w:r>
        <w:t>The target is moderately imbalanced. A total of 23,364 customers did not default, compared with 6,636 default customers. This difference is important for any future modelling because accuracy alone could hide weak detection of the smaller default class.</w:t>
      </w:r>
    </w:p>
    <w:p>
      <w:pPr>
        <w:keepNext/>
        <w:jc w:val="center"/>
      </w:pPr>
      <w:r>
        <w:drawing>
          <wp:inline xmlns:a="http://schemas.openxmlformats.org/drawingml/2006/main" xmlns:pic="http://schemas.openxmlformats.org/drawingml/2006/picture">
            <wp:extent cx="5989320" cy="3679846"/>
            <wp:docPr id="1" name="Picture 1"/>
            <wp:cNvGraphicFramePr>
              <a:graphicFrameLocks noChangeAspect="1"/>
            </wp:cNvGraphicFramePr>
            <a:graphic>
              <a:graphicData uri="http://schemas.openxmlformats.org/drawingml/2006/picture">
                <pic:pic>
                  <pic:nvPicPr>
                    <pic:cNvPr id="0" name="01_default_distribution.png"/>
                    <pic:cNvPicPr/>
                  </pic:nvPicPr>
                  <pic:blipFill>
                    <a:blip r:embed="rId10"/>
                    <a:stretch>
                      <a:fillRect/>
                    </a:stretch>
                  </pic:blipFill>
                  <pic:spPr>
                    <a:xfrm>
                      <a:off x="0" y="0"/>
                      <a:ext cx="5989320" cy="3679846"/>
                    </a:xfrm>
                    <a:prstGeom prst="rect"/>
                  </pic:spPr>
                </pic:pic>
              </a:graphicData>
            </a:graphic>
          </wp:inline>
        </w:drawing>
      </w:r>
    </w:p>
    <w:p>
      <w:pPr>
        <w:pStyle w:val="CaptionText"/>
        <w:jc w:val="center"/>
      </w:pPr>
      <w:r>
        <w:t>Figure 1  Distribution of next-month default status</w:t>
      </w:r>
    </w:p>
    <w:p>
      <w:pPr>
        <w:pStyle w:val="Heading2"/>
        <w:keepNext/>
        <w:keepLines/>
      </w:pPr>
      <w:r>
        <w:t>Customer and Credit Distributions</w:t>
      </w:r>
    </w:p>
    <w:p>
      <w:r>
        <w:t>Customer age is concentrated in the late twenties through early forties and becomes less common at older ages. Credit limits are right-skewed: many customers have lower or medium limits, while a small number have very high limits. Median-based summaries and IQR checks are therefore useful alongside averages.</w:t>
      </w:r>
    </w:p>
    <w:p>
      <w:r>
        <w:br w:type="page"/>
      </w:r>
    </w:p>
    <w:p>
      <w:pPr>
        <w:keepNext/>
        <w:jc w:val="center"/>
      </w:pPr>
      <w:r>
        <w:drawing>
          <wp:inline xmlns:a="http://schemas.openxmlformats.org/drawingml/2006/main" xmlns:pic="http://schemas.openxmlformats.org/drawingml/2006/picture">
            <wp:extent cx="5989320" cy="2931636"/>
            <wp:docPr id="2" name="Picture 2"/>
            <wp:cNvGraphicFramePr>
              <a:graphicFrameLocks noChangeAspect="1"/>
            </wp:cNvGraphicFramePr>
            <a:graphic>
              <a:graphicData uri="http://schemas.openxmlformats.org/drawingml/2006/picture">
                <pic:pic>
                  <pic:nvPicPr>
                    <pic:cNvPr id="0" name="02_age_distribution.png"/>
                    <pic:cNvPicPr/>
                  </pic:nvPicPr>
                  <pic:blipFill>
                    <a:blip r:embed="rId11"/>
                    <a:stretch>
                      <a:fillRect/>
                    </a:stretch>
                  </pic:blipFill>
                  <pic:spPr>
                    <a:xfrm>
                      <a:off x="0" y="0"/>
                      <a:ext cx="5989320" cy="2931636"/>
                    </a:xfrm>
                    <a:prstGeom prst="rect"/>
                  </pic:spPr>
                </pic:pic>
              </a:graphicData>
            </a:graphic>
          </wp:inline>
        </w:drawing>
      </w:r>
    </w:p>
    <w:p>
      <w:pPr>
        <w:pStyle w:val="CaptionText"/>
        <w:jc w:val="center"/>
      </w:pPr>
      <w:r>
        <w:t>Figure 2  Customer age distribution</w:t>
      </w:r>
    </w:p>
    <w:p>
      <w:pPr>
        <w:keepNext/>
        <w:jc w:val="center"/>
      </w:pPr>
      <w:r>
        <w:drawing>
          <wp:inline xmlns:a="http://schemas.openxmlformats.org/drawingml/2006/main" xmlns:pic="http://schemas.openxmlformats.org/drawingml/2006/picture">
            <wp:extent cx="5989320" cy="2931636"/>
            <wp:docPr id="3" name="Picture 3"/>
            <wp:cNvGraphicFramePr>
              <a:graphicFrameLocks noChangeAspect="1"/>
            </wp:cNvGraphicFramePr>
            <a:graphic>
              <a:graphicData uri="http://schemas.openxmlformats.org/drawingml/2006/picture">
                <pic:pic>
                  <pic:nvPicPr>
                    <pic:cNvPr id="0" name="03_credit_limit_distribution.png"/>
                    <pic:cNvPicPr/>
                  </pic:nvPicPr>
                  <pic:blipFill>
                    <a:blip r:embed="rId12"/>
                    <a:stretch>
                      <a:fillRect/>
                    </a:stretch>
                  </pic:blipFill>
                  <pic:spPr>
                    <a:xfrm>
                      <a:off x="0" y="0"/>
                      <a:ext cx="5989320" cy="2931636"/>
                    </a:xfrm>
                    <a:prstGeom prst="rect"/>
                  </pic:spPr>
                </pic:pic>
              </a:graphicData>
            </a:graphic>
          </wp:inline>
        </w:drawing>
      </w:r>
    </w:p>
    <w:p>
      <w:pPr>
        <w:pStyle w:val="CaptionText"/>
        <w:jc w:val="center"/>
      </w:pPr>
      <w:r>
        <w:t>Figure 3  Credit limit distribution</w:t>
      </w:r>
    </w:p>
    <w:p>
      <w:r>
        <w:br w:type="page"/>
      </w:r>
    </w:p>
    <w:p>
      <w:pPr>
        <w:pStyle w:val="Heading1"/>
        <w:keepNext/>
        <w:keepLines/>
      </w:pPr>
      <w:r>
        <w:t>Segment Analysis</w:t>
      </w:r>
    </w:p>
    <w:p>
      <w:pPr>
        <w:pStyle w:val="Heading2"/>
        <w:keepNext/>
        <w:keepLines/>
      </w:pPr>
      <w:r>
        <w:t>Gender and Education</w:t>
      </w:r>
    </w:p>
    <w:p>
      <w:r>
        <w:t>Male customers recorded a 24.17 percent default rate, compared with 20.78 percent for female customers. Education also showed differences after cleaning: High School customers had a 25.16 percent rate, University 23.73 percent, Graduate School 19.23 percent and Others 7.05 percent. The Others group is relatively small, so its lower rate should be interpreted cautiously.</w:t>
      </w:r>
    </w:p>
    <w:p>
      <w:pPr>
        <w:keepNext/>
        <w:jc w:val="center"/>
      </w:pPr>
      <w:r>
        <w:drawing>
          <wp:inline xmlns:a="http://schemas.openxmlformats.org/drawingml/2006/main" xmlns:pic="http://schemas.openxmlformats.org/drawingml/2006/picture">
            <wp:extent cx="5989320" cy="4221212"/>
            <wp:docPr id="4" name="Picture 4"/>
            <wp:cNvGraphicFramePr>
              <a:graphicFrameLocks noChangeAspect="1"/>
            </wp:cNvGraphicFramePr>
            <a:graphic>
              <a:graphicData uri="http://schemas.openxmlformats.org/drawingml/2006/picture">
                <pic:pic>
                  <pic:nvPicPr>
                    <pic:cNvPr id="0" name="04_default_rate_by_gender.png"/>
                    <pic:cNvPicPr/>
                  </pic:nvPicPr>
                  <pic:blipFill>
                    <a:blip r:embed="rId13"/>
                    <a:stretch>
                      <a:fillRect/>
                    </a:stretch>
                  </pic:blipFill>
                  <pic:spPr>
                    <a:xfrm>
                      <a:off x="0" y="0"/>
                      <a:ext cx="5989320" cy="4221212"/>
                    </a:xfrm>
                    <a:prstGeom prst="rect"/>
                  </pic:spPr>
                </pic:pic>
              </a:graphicData>
            </a:graphic>
          </wp:inline>
        </w:drawing>
      </w:r>
    </w:p>
    <w:p>
      <w:pPr>
        <w:pStyle w:val="CaptionText"/>
        <w:jc w:val="center"/>
      </w:pPr>
      <w:r>
        <w:t>Figure 4  Default rate by gender</w:t>
      </w:r>
    </w:p>
    <w:p>
      <w:pPr>
        <w:keepNext/>
        <w:jc w:val="center"/>
      </w:pPr>
      <w:r>
        <w:drawing>
          <wp:inline xmlns:a="http://schemas.openxmlformats.org/drawingml/2006/main" xmlns:pic="http://schemas.openxmlformats.org/drawingml/2006/picture">
            <wp:extent cx="5989320" cy="3264021"/>
            <wp:docPr id="5" name="Picture 5"/>
            <wp:cNvGraphicFramePr>
              <a:graphicFrameLocks noChangeAspect="1"/>
            </wp:cNvGraphicFramePr>
            <a:graphic>
              <a:graphicData uri="http://schemas.openxmlformats.org/drawingml/2006/picture">
                <pic:pic>
                  <pic:nvPicPr>
                    <pic:cNvPr id="0" name="05_default_rate_by_education.png"/>
                    <pic:cNvPicPr/>
                  </pic:nvPicPr>
                  <pic:blipFill>
                    <a:blip r:embed="rId14"/>
                    <a:stretch>
                      <a:fillRect/>
                    </a:stretch>
                  </pic:blipFill>
                  <pic:spPr>
                    <a:xfrm>
                      <a:off x="0" y="0"/>
                      <a:ext cx="5989320" cy="3264021"/>
                    </a:xfrm>
                    <a:prstGeom prst="rect"/>
                  </pic:spPr>
                </pic:pic>
              </a:graphicData>
            </a:graphic>
          </wp:inline>
        </w:drawing>
      </w:r>
    </w:p>
    <w:p>
      <w:pPr>
        <w:pStyle w:val="CaptionText"/>
        <w:jc w:val="center"/>
      </w:pPr>
      <w:r>
        <w:t>Figure 5  Raw education-code comparison before category consolidation</w:t>
      </w:r>
    </w:p>
    <w:p>
      <w:r>
        <w:br w:type="page"/>
      </w:r>
    </w:p>
    <w:p>
      <w:pPr>
        <w:pStyle w:val="Heading2"/>
        <w:keepNext/>
        <w:keepLines/>
      </w:pPr>
      <w:r>
        <w:t>Age Group</w:t>
      </w:r>
    </w:p>
    <w:p>
      <w:r>
        <w:t>The 26 to 35 group was the largest segment and had the lowest observed age-group default rate at 19.83 percent. Rates were higher for 18 to 25 at 26.66 percent and for 65 plus at 26.74 percent. The oldest group contained only 86 customers, so its percentage is less stable than the larger groups.</w:t>
      </w:r>
    </w:p>
    <w:p>
      <w:pPr>
        <w:keepNext/>
        <w:jc w:val="center"/>
      </w:pPr>
      <w:r>
        <w:drawing>
          <wp:inline xmlns:a="http://schemas.openxmlformats.org/drawingml/2006/main" xmlns:pic="http://schemas.openxmlformats.org/drawingml/2006/picture">
            <wp:extent cx="5989320" cy="2931636"/>
            <wp:docPr id="6" name="Picture 6"/>
            <wp:cNvGraphicFramePr>
              <a:graphicFrameLocks noChangeAspect="1"/>
            </wp:cNvGraphicFramePr>
            <a:graphic>
              <a:graphicData uri="http://schemas.openxmlformats.org/drawingml/2006/picture">
                <pic:pic>
                  <pic:nvPicPr>
                    <pic:cNvPr id="0" name="07_default_rate_by_age_group.png"/>
                    <pic:cNvPicPr/>
                  </pic:nvPicPr>
                  <pic:blipFill>
                    <a:blip r:embed="rId15"/>
                    <a:stretch>
                      <a:fillRect/>
                    </a:stretch>
                  </pic:blipFill>
                  <pic:spPr>
                    <a:xfrm>
                      <a:off x="0" y="0"/>
                      <a:ext cx="5989320" cy="2931636"/>
                    </a:xfrm>
                    <a:prstGeom prst="rect"/>
                  </pic:spPr>
                </pic:pic>
              </a:graphicData>
            </a:graphic>
          </wp:inline>
        </w:drawing>
      </w:r>
    </w:p>
    <w:p>
      <w:pPr>
        <w:pStyle w:val="CaptionText"/>
        <w:jc w:val="center"/>
      </w:pPr>
      <w:r>
        <w:t>Figure 6  Default rate by age group</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498"/>
        <w:gridCol w:w="2498"/>
        <w:gridCol w:w="2498"/>
        <w:gridCol w:w="2498"/>
      </w:tblGrid>
      <w:tr>
        <w:trPr>
          <w:tblHeader w:val="true"/>
        </w:trPr>
        <w:tc>
          <w:tcPr>
            <w:tcW w:type="dxa" w:w="2160"/>
            <w:shd w:fill="1F4E78"/>
            <w:vAlign w:val="center"/>
            <w:tcMar>
              <w:top w:w="70" w:type="dxa"/>
              <w:start w:w="90" w:type="dxa"/>
              <w:bottom w:w="70" w:type="dxa"/>
              <w:end w:w="90" w:type="dxa"/>
            </w:tcMar>
          </w:tcPr>
          <w:p>
            <w:pPr>
              <w:jc w:val="center"/>
            </w:pPr>
            <w:r>
              <w:rPr>
                <w:b/>
                <w:color w:val="FFFFFF"/>
                <w:sz w:val="18"/>
              </w:rPr>
              <w:t>Age group</w:t>
            </w:r>
          </w:p>
        </w:tc>
        <w:tc>
          <w:tcPr>
            <w:tcW w:type="dxa" w:w="2160"/>
            <w:shd w:fill="1F4E78"/>
            <w:vAlign w:val="center"/>
            <w:tcMar>
              <w:top w:w="70" w:type="dxa"/>
              <w:start w:w="90" w:type="dxa"/>
              <w:bottom w:w="70" w:type="dxa"/>
              <w:end w:w="90" w:type="dxa"/>
            </w:tcMar>
          </w:tcPr>
          <w:p>
            <w:pPr>
              <w:jc w:val="center"/>
            </w:pPr>
            <w:r>
              <w:rPr>
                <w:b/>
                <w:color w:val="FFFFFF"/>
                <w:sz w:val="18"/>
              </w:rPr>
              <w:t>Customers</w:t>
            </w:r>
          </w:p>
        </w:tc>
        <w:tc>
          <w:tcPr>
            <w:tcW w:type="dxa" w:w="2160"/>
            <w:shd w:fill="1F4E78"/>
            <w:vAlign w:val="center"/>
            <w:tcMar>
              <w:top w:w="70" w:type="dxa"/>
              <w:start w:w="90" w:type="dxa"/>
              <w:bottom w:w="70" w:type="dxa"/>
              <w:end w:w="90" w:type="dxa"/>
            </w:tcMar>
          </w:tcPr>
          <w:p>
            <w:pPr>
              <w:jc w:val="center"/>
            </w:pPr>
            <w:r>
              <w:rPr>
                <w:b/>
                <w:color w:val="FFFFFF"/>
                <w:sz w:val="18"/>
              </w:rPr>
              <w:t>Defaults</w:t>
            </w:r>
          </w:p>
        </w:tc>
        <w:tc>
          <w:tcPr>
            <w:tcW w:type="dxa" w:w="2160"/>
            <w:shd w:fill="1F4E78"/>
            <w:vAlign w:val="center"/>
            <w:tcMar>
              <w:top w:w="70" w:type="dxa"/>
              <w:start w:w="90" w:type="dxa"/>
              <w:bottom w:w="70" w:type="dxa"/>
              <w:end w:w="90" w:type="dxa"/>
            </w:tcMar>
          </w:tcPr>
          <w:p>
            <w:pPr>
              <w:jc w:val="center"/>
            </w:pPr>
            <w:r>
              <w:rPr>
                <w:b/>
                <w:color w:val="FFFFFF"/>
                <w:sz w:val="18"/>
              </w:rPr>
              <w:t>Default rate</w:t>
            </w:r>
          </w:p>
        </w:tc>
      </w:tr>
      <w:tr>
        <w:tc>
          <w:tcPr>
            <w:tcW w:type="dxa" w:w="2160"/>
            <w:vAlign w:val="center"/>
            <w:tcMar>
              <w:top w:w="70" w:type="dxa"/>
              <w:start w:w="90" w:type="dxa"/>
              <w:bottom w:w="70" w:type="dxa"/>
              <w:end w:w="90" w:type="dxa"/>
            </w:tcMar>
          </w:tcPr>
          <w:p>
            <w:pPr>
              <w:jc w:val="left"/>
            </w:pPr>
            <w:r>
              <w:rPr>
                <w:sz w:val="17"/>
              </w:rPr>
              <w:t>18 to 25</w:t>
            </w:r>
          </w:p>
        </w:tc>
        <w:tc>
          <w:tcPr>
            <w:tcW w:type="dxa" w:w="2160"/>
            <w:vAlign w:val="center"/>
            <w:tcMar>
              <w:top w:w="70" w:type="dxa"/>
              <w:start w:w="90" w:type="dxa"/>
              <w:bottom w:w="70" w:type="dxa"/>
              <w:end w:w="90" w:type="dxa"/>
            </w:tcMar>
          </w:tcPr>
          <w:p>
            <w:pPr>
              <w:jc w:val="center"/>
            </w:pPr>
            <w:r>
              <w:rPr>
                <w:sz w:val="17"/>
              </w:rPr>
              <w:t>3,871</w:t>
            </w:r>
          </w:p>
        </w:tc>
        <w:tc>
          <w:tcPr>
            <w:tcW w:type="dxa" w:w="2160"/>
            <w:vAlign w:val="center"/>
            <w:tcMar>
              <w:top w:w="70" w:type="dxa"/>
              <w:start w:w="90" w:type="dxa"/>
              <w:bottom w:w="70" w:type="dxa"/>
              <w:end w:w="90" w:type="dxa"/>
            </w:tcMar>
          </w:tcPr>
          <w:p>
            <w:pPr>
              <w:jc w:val="center"/>
            </w:pPr>
            <w:r>
              <w:rPr>
                <w:sz w:val="17"/>
              </w:rPr>
              <w:t>1,032</w:t>
            </w:r>
          </w:p>
        </w:tc>
        <w:tc>
          <w:tcPr>
            <w:tcW w:type="dxa" w:w="2160"/>
            <w:vAlign w:val="center"/>
            <w:tcMar>
              <w:top w:w="70" w:type="dxa"/>
              <w:start w:w="90" w:type="dxa"/>
              <w:bottom w:w="70" w:type="dxa"/>
              <w:end w:w="90" w:type="dxa"/>
            </w:tcMar>
          </w:tcPr>
          <w:p>
            <w:pPr>
              <w:jc w:val="center"/>
            </w:pPr>
            <w:r>
              <w:rPr>
                <w:sz w:val="17"/>
              </w:rPr>
              <w:t>26.66%</w:t>
            </w:r>
          </w:p>
        </w:tc>
      </w:tr>
      <w:tr>
        <w:tc>
          <w:tcPr>
            <w:tcW w:type="dxa" w:w="2160"/>
            <w:vAlign w:val="center"/>
            <w:shd w:fill="EAF2F8"/>
            <w:tcMar>
              <w:top w:w="70" w:type="dxa"/>
              <w:start w:w="90" w:type="dxa"/>
              <w:bottom w:w="70" w:type="dxa"/>
              <w:end w:w="90" w:type="dxa"/>
            </w:tcMar>
          </w:tcPr>
          <w:p>
            <w:pPr>
              <w:jc w:val="left"/>
            </w:pPr>
            <w:r>
              <w:rPr>
                <w:sz w:val="17"/>
              </w:rPr>
              <w:t>26 to 35</w:t>
            </w:r>
          </w:p>
        </w:tc>
        <w:tc>
          <w:tcPr>
            <w:tcW w:type="dxa" w:w="2160"/>
            <w:vAlign w:val="center"/>
            <w:shd w:fill="EAF2F8"/>
            <w:tcMar>
              <w:top w:w="70" w:type="dxa"/>
              <w:start w:w="90" w:type="dxa"/>
              <w:bottom w:w="70" w:type="dxa"/>
              <w:end w:w="90" w:type="dxa"/>
            </w:tcMar>
          </w:tcPr>
          <w:p>
            <w:pPr>
              <w:jc w:val="center"/>
            </w:pPr>
            <w:r>
              <w:rPr>
                <w:sz w:val="17"/>
              </w:rPr>
              <w:t>12,938</w:t>
            </w:r>
          </w:p>
        </w:tc>
        <w:tc>
          <w:tcPr>
            <w:tcW w:type="dxa" w:w="2160"/>
            <w:vAlign w:val="center"/>
            <w:shd w:fill="EAF2F8"/>
            <w:tcMar>
              <w:top w:w="70" w:type="dxa"/>
              <w:start w:w="90" w:type="dxa"/>
              <w:bottom w:w="70" w:type="dxa"/>
              <w:end w:w="90" w:type="dxa"/>
            </w:tcMar>
          </w:tcPr>
          <w:p>
            <w:pPr>
              <w:jc w:val="center"/>
            </w:pPr>
            <w:r>
              <w:rPr>
                <w:sz w:val="17"/>
              </w:rPr>
              <w:t>2,565</w:t>
            </w:r>
          </w:p>
        </w:tc>
        <w:tc>
          <w:tcPr>
            <w:tcW w:type="dxa" w:w="2160"/>
            <w:vAlign w:val="center"/>
            <w:shd w:fill="EAF2F8"/>
            <w:tcMar>
              <w:top w:w="70" w:type="dxa"/>
              <w:start w:w="90" w:type="dxa"/>
              <w:bottom w:w="70" w:type="dxa"/>
              <w:end w:w="90" w:type="dxa"/>
            </w:tcMar>
          </w:tcPr>
          <w:p>
            <w:pPr>
              <w:jc w:val="center"/>
            </w:pPr>
            <w:r>
              <w:rPr>
                <w:sz w:val="17"/>
              </w:rPr>
              <w:t>19.83%</w:t>
            </w:r>
          </w:p>
        </w:tc>
      </w:tr>
      <w:tr>
        <w:tc>
          <w:tcPr>
            <w:tcW w:type="dxa" w:w="2160"/>
            <w:vAlign w:val="center"/>
            <w:tcMar>
              <w:top w:w="70" w:type="dxa"/>
              <w:start w:w="90" w:type="dxa"/>
              <w:bottom w:w="70" w:type="dxa"/>
              <w:end w:w="90" w:type="dxa"/>
            </w:tcMar>
          </w:tcPr>
          <w:p>
            <w:pPr>
              <w:jc w:val="left"/>
            </w:pPr>
            <w:r>
              <w:rPr>
                <w:sz w:val="17"/>
              </w:rPr>
              <w:t>36 to 45</w:t>
            </w:r>
          </w:p>
        </w:tc>
        <w:tc>
          <w:tcPr>
            <w:tcW w:type="dxa" w:w="2160"/>
            <w:vAlign w:val="center"/>
            <w:tcMar>
              <w:top w:w="70" w:type="dxa"/>
              <w:start w:w="90" w:type="dxa"/>
              <w:bottom w:w="70" w:type="dxa"/>
              <w:end w:w="90" w:type="dxa"/>
            </w:tcMar>
          </w:tcPr>
          <w:p>
            <w:pPr>
              <w:jc w:val="center"/>
            </w:pPr>
            <w:r>
              <w:rPr>
                <w:sz w:val="17"/>
              </w:rPr>
              <w:t>8,522</w:t>
            </w:r>
          </w:p>
        </w:tc>
        <w:tc>
          <w:tcPr>
            <w:tcW w:type="dxa" w:w="2160"/>
            <w:vAlign w:val="center"/>
            <w:tcMar>
              <w:top w:w="70" w:type="dxa"/>
              <w:start w:w="90" w:type="dxa"/>
              <w:bottom w:w="70" w:type="dxa"/>
              <w:end w:w="90" w:type="dxa"/>
            </w:tcMar>
          </w:tcPr>
          <w:p>
            <w:pPr>
              <w:jc w:val="center"/>
            </w:pPr>
            <w:r>
              <w:rPr>
                <w:sz w:val="17"/>
              </w:rPr>
              <w:t>1,861</w:t>
            </w:r>
          </w:p>
        </w:tc>
        <w:tc>
          <w:tcPr>
            <w:tcW w:type="dxa" w:w="2160"/>
            <w:vAlign w:val="center"/>
            <w:tcMar>
              <w:top w:w="70" w:type="dxa"/>
              <w:start w:w="90" w:type="dxa"/>
              <w:bottom w:w="70" w:type="dxa"/>
              <w:end w:w="90" w:type="dxa"/>
            </w:tcMar>
          </w:tcPr>
          <w:p>
            <w:pPr>
              <w:jc w:val="center"/>
            </w:pPr>
            <w:r>
              <w:rPr>
                <w:sz w:val="17"/>
              </w:rPr>
              <w:t>21.84%</w:t>
            </w:r>
          </w:p>
        </w:tc>
      </w:tr>
      <w:tr>
        <w:tc>
          <w:tcPr>
            <w:tcW w:type="dxa" w:w="2160"/>
            <w:vAlign w:val="center"/>
            <w:shd w:fill="EAF2F8"/>
            <w:tcMar>
              <w:top w:w="70" w:type="dxa"/>
              <w:start w:w="90" w:type="dxa"/>
              <w:bottom w:w="70" w:type="dxa"/>
              <w:end w:w="90" w:type="dxa"/>
            </w:tcMar>
          </w:tcPr>
          <w:p>
            <w:pPr>
              <w:jc w:val="left"/>
            </w:pPr>
            <w:r>
              <w:rPr>
                <w:sz w:val="17"/>
              </w:rPr>
              <w:t>46 to 55</w:t>
            </w:r>
          </w:p>
        </w:tc>
        <w:tc>
          <w:tcPr>
            <w:tcW w:type="dxa" w:w="2160"/>
            <w:vAlign w:val="center"/>
            <w:shd w:fill="EAF2F8"/>
            <w:tcMar>
              <w:top w:w="70" w:type="dxa"/>
              <w:start w:w="90" w:type="dxa"/>
              <w:bottom w:w="70" w:type="dxa"/>
              <w:end w:w="90" w:type="dxa"/>
            </w:tcMar>
          </w:tcPr>
          <w:p>
            <w:pPr>
              <w:jc w:val="center"/>
            </w:pPr>
            <w:r>
              <w:rPr>
                <w:sz w:val="17"/>
              </w:rPr>
              <w:t>3,825</w:t>
            </w:r>
          </w:p>
        </w:tc>
        <w:tc>
          <w:tcPr>
            <w:tcW w:type="dxa" w:w="2160"/>
            <w:vAlign w:val="center"/>
            <w:shd w:fill="EAF2F8"/>
            <w:tcMar>
              <w:top w:w="70" w:type="dxa"/>
              <w:start w:w="90" w:type="dxa"/>
              <w:bottom w:w="70" w:type="dxa"/>
              <w:end w:w="90" w:type="dxa"/>
            </w:tcMar>
          </w:tcPr>
          <w:p>
            <w:pPr>
              <w:jc w:val="center"/>
            </w:pPr>
            <w:r>
              <w:rPr>
                <w:sz w:val="17"/>
              </w:rPr>
              <w:t>954</w:t>
            </w:r>
          </w:p>
        </w:tc>
        <w:tc>
          <w:tcPr>
            <w:tcW w:type="dxa" w:w="2160"/>
            <w:vAlign w:val="center"/>
            <w:shd w:fill="EAF2F8"/>
            <w:tcMar>
              <w:top w:w="70" w:type="dxa"/>
              <w:start w:w="90" w:type="dxa"/>
              <w:bottom w:w="70" w:type="dxa"/>
              <w:end w:w="90" w:type="dxa"/>
            </w:tcMar>
          </w:tcPr>
          <w:p>
            <w:pPr>
              <w:jc w:val="center"/>
            </w:pPr>
            <w:r>
              <w:rPr>
                <w:sz w:val="17"/>
              </w:rPr>
              <w:t>24.94%</w:t>
            </w:r>
          </w:p>
        </w:tc>
      </w:tr>
      <w:tr>
        <w:tc>
          <w:tcPr>
            <w:tcW w:type="dxa" w:w="2160"/>
            <w:vAlign w:val="center"/>
            <w:tcMar>
              <w:top w:w="70" w:type="dxa"/>
              <w:start w:w="90" w:type="dxa"/>
              <w:bottom w:w="70" w:type="dxa"/>
              <w:end w:w="90" w:type="dxa"/>
            </w:tcMar>
          </w:tcPr>
          <w:p>
            <w:pPr>
              <w:jc w:val="left"/>
            </w:pPr>
            <w:r>
              <w:rPr>
                <w:sz w:val="17"/>
              </w:rPr>
              <w:t>56 to 65</w:t>
            </w:r>
          </w:p>
        </w:tc>
        <w:tc>
          <w:tcPr>
            <w:tcW w:type="dxa" w:w="2160"/>
            <w:vAlign w:val="center"/>
            <w:tcMar>
              <w:top w:w="70" w:type="dxa"/>
              <w:start w:w="90" w:type="dxa"/>
              <w:bottom w:w="70" w:type="dxa"/>
              <w:end w:w="90" w:type="dxa"/>
            </w:tcMar>
          </w:tcPr>
          <w:p>
            <w:pPr>
              <w:jc w:val="center"/>
            </w:pPr>
            <w:r>
              <w:rPr>
                <w:sz w:val="17"/>
              </w:rPr>
              <w:t>758</w:t>
            </w:r>
          </w:p>
        </w:tc>
        <w:tc>
          <w:tcPr>
            <w:tcW w:type="dxa" w:w="2160"/>
            <w:vAlign w:val="center"/>
            <w:tcMar>
              <w:top w:w="70" w:type="dxa"/>
              <w:start w:w="90" w:type="dxa"/>
              <w:bottom w:w="70" w:type="dxa"/>
              <w:end w:w="90" w:type="dxa"/>
            </w:tcMar>
          </w:tcPr>
          <w:p>
            <w:pPr>
              <w:jc w:val="center"/>
            </w:pPr>
            <w:r>
              <w:rPr>
                <w:sz w:val="17"/>
              </w:rPr>
              <w:t>201</w:t>
            </w:r>
          </w:p>
        </w:tc>
        <w:tc>
          <w:tcPr>
            <w:tcW w:type="dxa" w:w="2160"/>
            <w:vAlign w:val="center"/>
            <w:tcMar>
              <w:top w:w="70" w:type="dxa"/>
              <w:start w:w="90" w:type="dxa"/>
              <w:bottom w:w="70" w:type="dxa"/>
              <w:end w:w="90" w:type="dxa"/>
            </w:tcMar>
          </w:tcPr>
          <w:p>
            <w:pPr>
              <w:jc w:val="center"/>
            </w:pPr>
            <w:r>
              <w:rPr>
                <w:sz w:val="17"/>
              </w:rPr>
              <w:t>26.52%</w:t>
            </w:r>
          </w:p>
        </w:tc>
      </w:tr>
      <w:tr>
        <w:tc>
          <w:tcPr>
            <w:tcW w:type="dxa" w:w="2160"/>
            <w:vAlign w:val="center"/>
            <w:shd w:fill="EAF2F8"/>
            <w:tcMar>
              <w:top w:w="70" w:type="dxa"/>
              <w:start w:w="90" w:type="dxa"/>
              <w:bottom w:w="70" w:type="dxa"/>
              <w:end w:w="90" w:type="dxa"/>
            </w:tcMar>
          </w:tcPr>
          <w:p>
            <w:pPr>
              <w:jc w:val="left"/>
            </w:pPr>
            <w:r>
              <w:rPr>
                <w:sz w:val="17"/>
              </w:rPr>
              <w:t>65 plus</w:t>
            </w:r>
          </w:p>
        </w:tc>
        <w:tc>
          <w:tcPr>
            <w:tcW w:type="dxa" w:w="2160"/>
            <w:vAlign w:val="center"/>
            <w:shd w:fill="EAF2F8"/>
            <w:tcMar>
              <w:top w:w="70" w:type="dxa"/>
              <w:start w:w="90" w:type="dxa"/>
              <w:bottom w:w="70" w:type="dxa"/>
              <w:end w:w="90" w:type="dxa"/>
            </w:tcMar>
          </w:tcPr>
          <w:p>
            <w:pPr>
              <w:jc w:val="center"/>
            </w:pPr>
            <w:r>
              <w:rPr>
                <w:sz w:val="17"/>
              </w:rPr>
              <w:t>86</w:t>
            </w:r>
          </w:p>
        </w:tc>
        <w:tc>
          <w:tcPr>
            <w:tcW w:type="dxa" w:w="2160"/>
            <w:vAlign w:val="center"/>
            <w:shd w:fill="EAF2F8"/>
            <w:tcMar>
              <w:top w:w="70" w:type="dxa"/>
              <w:start w:w="90" w:type="dxa"/>
              <w:bottom w:w="70" w:type="dxa"/>
              <w:end w:w="90" w:type="dxa"/>
            </w:tcMar>
          </w:tcPr>
          <w:p>
            <w:pPr>
              <w:jc w:val="center"/>
            </w:pPr>
            <w:r>
              <w:rPr>
                <w:sz w:val="17"/>
              </w:rPr>
              <w:t>23</w:t>
            </w:r>
          </w:p>
        </w:tc>
        <w:tc>
          <w:tcPr>
            <w:tcW w:type="dxa" w:w="2160"/>
            <w:vAlign w:val="center"/>
            <w:shd w:fill="EAF2F8"/>
            <w:tcMar>
              <w:top w:w="70" w:type="dxa"/>
              <w:start w:w="90" w:type="dxa"/>
              <w:bottom w:w="70" w:type="dxa"/>
              <w:end w:w="90" w:type="dxa"/>
            </w:tcMar>
          </w:tcPr>
          <w:p>
            <w:pPr>
              <w:jc w:val="center"/>
            </w:pPr>
            <w:r>
              <w:rPr>
                <w:sz w:val="17"/>
              </w:rPr>
              <w:t>26.74%</w:t>
            </w:r>
          </w:p>
        </w:tc>
      </w:tr>
    </w:tbl>
    <w:p>
      <w:pPr>
        <w:spacing w:after="20"/>
      </w:pPr>
    </w:p>
    <w:p>
      <w:r>
        <w:br w:type="page"/>
      </w:r>
    </w:p>
    <w:p>
      <w:pPr>
        <w:pStyle w:val="Heading1"/>
        <w:keepNext/>
        <w:keepLines/>
      </w:pPr>
      <w:r>
        <w:t>Repayment Behaviour and Risk</w:t>
      </w:r>
    </w:p>
    <w:p>
      <w:r>
        <w:t>Repayment delay produced the clearest risk gradient in the analysis. The default rate rose from 11.71 percent with no delayed months to 29.82 percent with one delayed month and reached 70.32 percent for customers delayed in all six observed months. This pattern supports the correlation results: PAY 0 had the strongest positive correlation with default at 0.325, followed by the other repayment-status fields.</w:t>
      </w:r>
    </w:p>
    <w:p>
      <w:pPr>
        <w:keepNext/>
        <w:jc w:val="center"/>
      </w:pPr>
      <w:r>
        <w:drawing>
          <wp:inline xmlns:a="http://schemas.openxmlformats.org/drawingml/2006/main" xmlns:pic="http://schemas.openxmlformats.org/drawingml/2006/picture">
            <wp:extent cx="5989320" cy="3264021"/>
            <wp:docPr id="7" name="Picture 7"/>
            <wp:cNvGraphicFramePr>
              <a:graphicFrameLocks noChangeAspect="1"/>
            </wp:cNvGraphicFramePr>
            <a:graphic>
              <a:graphicData uri="http://schemas.openxmlformats.org/drawingml/2006/picture">
                <pic:pic>
                  <pic:nvPicPr>
                    <pic:cNvPr id="0" name="09_default_rate_by_delayed_months.png"/>
                    <pic:cNvPicPr/>
                  </pic:nvPicPr>
                  <pic:blipFill>
                    <a:blip r:embed="rId16"/>
                    <a:stretch>
                      <a:fillRect/>
                    </a:stretch>
                  </pic:blipFill>
                  <pic:spPr>
                    <a:xfrm>
                      <a:off x="0" y="0"/>
                      <a:ext cx="5989320" cy="3264021"/>
                    </a:xfrm>
                    <a:prstGeom prst="rect"/>
                  </pic:spPr>
                </pic:pic>
              </a:graphicData>
            </a:graphic>
          </wp:inline>
        </w:drawing>
      </w:r>
    </w:p>
    <w:p>
      <w:pPr>
        <w:pStyle w:val="CaptionText"/>
        <w:jc w:val="center"/>
      </w:pPr>
      <w:r>
        <w:t>Figure 7  Default rate by number of delayed months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31"/>
        <w:gridCol w:w="3331"/>
        <w:gridCol w:w="3331"/>
      </w:tblGrid>
      <w:tr>
        <w:trPr>
          <w:tblHeader w:val="true"/>
        </w:trPr>
        <w:tc>
          <w:tcPr>
            <w:tcW w:type="dxa" w:w="2880"/>
            <w:shd w:fill="1F4E78"/>
            <w:vAlign w:val="center"/>
            <w:tcMar>
              <w:top w:w="70" w:type="dxa"/>
              <w:start w:w="90" w:type="dxa"/>
              <w:bottom w:w="70" w:type="dxa"/>
              <w:end w:w="90" w:type="dxa"/>
            </w:tcMar>
          </w:tcPr>
          <w:p>
            <w:pPr>
              <w:jc w:val="center"/>
            </w:pPr>
            <w:r>
              <w:rPr>
                <w:b/>
                <w:color w:val="FFFFFF"/>
                <w:sz w:val="18"/>
              </w:rPr>
              <w:t>Delayed months</w:t>
            </w:r>
          </w:p>
        </w:tc>
        <w:tc>
          <w:tcPr>
            <w:tcW w:type="dxa" w:w="2880"/>
            <w:shd w:fill="1F4E78"/>
            <w:vAlign w:val="center"/>
            <w:tcMar>
              <w:top w:w="70" w:type="dxa"/>
              <w:start w:w="90" w:type="dxa"/>
              <w:bottom w:w="70" w:type="dxa"/>
              <w:end w:w="90" w:type="dxa"/>
            </w:tcMar>
          </w:tcPr>
          <w:p>
            <w:pPr>
              <w:jc w:val="center"/>
            </w:pPr>
            <w:r>
              <w:rPr>
                <w:b/>
                <w:color w:val="FFFFFF"/>
                <w:sz w:val="18"/>
              </w:rPr>
              <w:t>Customers</w:t>
            </w:r>
          </w:p>
        </w:tc>
        <w:tc>
          <w:tcPr>
            <w:tcW w:type="dxa" w:w="2880"/>
            <w:shd w:fill="1F4E78"/>
            <w:vAlign w:val="center"/>
            <w:tcMar>
              <w:top w:w="70" w:type="dxa"/>
              <w:start w:w="90" w:type="dxa"/>
              <w:bottom w:w="70" w:type="dxa"/>
              <w:end w:w="90" w:type="dxa"/>
            </w:tcMar>
          </w:tcPr>
          <w:p>
            <w:pPr>
              <w:jc w:val="center"/>
            </w:pPr>
            <w:r>
              <w:rPr>
                <w:b/>
                <w:color w:val="FFFFFF"/>
                <w:sz w:val="18"/>
              </w:rPr>
              <w:t>Default rate</w:t>
            </w:r>
          </w:p>
        </w:tc>
      </w:tr>
      <w:tr>
        <w:tc>
          <w:tcPr>
            <w:tcW w:type="dxa" w:w="2880"/>
            <w:vAlign w:val="center"/>
            <w:tcMar>
              <w:top w:w="70" w:type="dxa"/>
              <w:start w:w="90" w:type="dxa"/>
              <w:bottom w:w="70" w:type="dxa"/>
              <w:end w:w="90" w:type="dxa"/>
            </w:tcMar>
          </w:tcPr>
          <w:p>
            <w:pPr>
              <w:jc w:val="left"/>
            </w:pPr>
            <w:r>
              <w:rPr>
                <w:sz w:val="17"/>
              </w:rPr>
              <w:t>0</w:t>
            </w:r>
          </w:p>
        </w:tc>
        <w:tc>
          <w:tcPr>
            <w:tcW w:type="dxa" w:w="2880"/>
            <w:vAlign w:val="center"/>
            <w:tcMar>
              <w:top w:w="70" w:type="dxa"/>
              <w:start w:w="90" w:type="dxa"/>
              <w:bottom w:w="70" w:type="dxa"/>
              <w:end w:w="90" w:type="dxa"/>
            </w:tcMar>
          </w:tcPr>
          <w:p>
            <w:pPr>
              <w:jc w:val="center"/>
            </w:pPr>
            <w:r>
              <w:rPr>
                <w:sz w:val="17"/>
              </w:rPr>
              <w:t>19,931</w:t>
            </w:r>
          </w:p>
        </w:tc>
        <w:tc>
          <w:tcPr>
            <w:tcW w:type="dxa" w:w="2880"/>
            <w:vAlign w:val="center"/>
            <w:tcMar>
              <w:top w:w="70" w:type="dxa"/>
              <w:start w:w="90" w:type="dxa"/>
              <w:bottom w:w="70" w:type="dxa"/>
              <w:end w:w="90" w:type="dxa"/>
            </w:tcMar>
          </w:tcPr>
          <w:p>
            <w:pPr>
              <w:jc w:val="center"/>
            </w:pPr>
            <w:r>
              <w:rPr>
                <w:sz w:val="17"/>
              </w:rPr>
              <w:t>11.71%</w:t>
            </w:r>
          </w:p>
        </w:tc>
      </w:tr>
      <w:tr>
        <w:tc>
          <w:tcPr>
            <w:tcW w:type="dxa" w:w="2880"/>
            <w:vAlign w:val="center"/>
            <w:shd w:fill="EAF2F8"/>
            <w:tcMar>
              <w:top w:w="70" w:type="dxa"/>
              <w:start w:w="90" w:type="dxa"/>
              <w:bottom w:w="70" w:type="dxa"/>
              <w:end w:w="90" w:type="dxa"/>
            </w:tcMar>
          </w:tcPr>
          <w:p>
            <w:pPr>
              <w:jc w:val="left"/>
            </w:pPr>
            <w:r>
              <w:rPr>
                <w:sz w:val="17"/>
              </w:rPr>
              <w:t>1</w:t>
            </w:r>
          </w:p>
        </w:tc>
        <w:tc>
          <w:tcPr>
            <w:tcW w:type="dxa" w:w="2880"/>
            <w:vAlign w:val="center"/>
            <w:shd w:fill="EAF2F8"/>
            <w:tcMar>
              <w:top w:w="70" w:type="dxa"/>
              <w:start w:w="90" w:type="dxa"/>
              <w:bottom w:w="70" w:type="dxa"/>
              <w:end w:w="90" w:type="dxa"/>
            </w:tcMar>
          </w:tcPr>
          <w:p>
            <w:pPr>
              <w:jc w:val="center"/>
            </w:pPr>
            <w:r>
              <w:rPr>
                <w:sz w:val="17"/>
              </w:rPr>
              <w:t>4,426</w:t>
            </w:r>
          </w:p>
        </w:tc>
        <w:tc>
          <w:tcPr>
            <w:tcW w:type="dxa" w:w="2880"/>
            <w:vAlign w:val="center"/>
            <w:shd w:fill="EAF2F8"/>
            <w:tcMar>
              <w:top w:w="70" w:type="dxa"/>
              <w:start w:w="90" w:type="dxa"/>
              <w:bottom w:w="70" w:type="dxa"/>
              <w:end w:w="90" w:type="dxa"/>
            </w:tcMar>
          </w:tcPr>
          <w:p>
            <w:pPr>
              <w:jc w:val="center"/>
            </w:pPr>
            <w:r>
              <w:rPr>
                <w:sz w:val="17"/>
              </w:rPr>
              <w:t>29.82%</w:t>
            </w:r>
          </w:p>
        </w:tc>
      </w:tr>
      <w:tr>
        <w:tc>
          <w:tcPr>
            <w:tcW w:type="dxa" w:w="2880"/>
            <w:vAlign w:val="center"/>
            <w:tcMar>
              <w:top w:w="70" w:type="dxa"/>
              <w:start w:w="90" w:type="dxa"/>
              <w:bottom w:w="70" w:type="dxa"/>
              <w:end w:w="90" w:type="dxa"/>
            </w:tcMar>
          </w:tcPr>
          <w:p>
            <w:pPr>
              <w:jc w:val="left"/>
            </w:pPr>
            <w:r>
              <w:rPr>
                <w:sz w:val="17"/>
              </w:rPr>
              <w:t>2</w:t>
            </w:r>
          </w:p>
        </w:tc>
        <w:tc>
          <w:tcPr>
            <w:tcW w:type="dxa" w:w="2880"/>
            <w:vAlign w:val="center"/>
            <w:tcMar>
              <w:top w:w="70" w:type="dxa"/>
              <w:start w:w="90" w:type="dxa"/>
              <w:bottom w:w="70" w:type="dxa"/>
              <w:end w:w="90" w:type="dxa"/>
            </w:tcMar>
          </w:tcPr>
          <w:p>
            <w:pPr>
              <w:jc w:val="center"/>
            </w:pPr>
            <w:r>
              <w:rPr>
                <w:sz w:val="17"/>
              </w:rPr>
              <w:t>1,899</w:t>
            </w:r>
          </w:p>
        </w:tc>
        <w:tc>
          <w:tcPr>
            <w:tcW w:type="dxa" w:w="2880"/>
            <w:vAlign w:val="center"/>
            <w:tcMar>
              <w:top w:w="70" w:type="dxa"/>
              <w:start w:w="90" w:type="dxa"/>
              <w:bottom w:w="70" w:type="dxa"/>
              <w:end w:w="90" w:type="dxa"/>
            </w:tcMar>
          </w:tcPr>
          <w:p>
            <w:pPr>
              <w:jc w:val="center"/>
            </w:pPr>
            <w:r>
              <w:rPr>
                <w:sz w:val="17"/>
              </w:rPr>
              <w:t>38.76%</w:t>
            </w:r>
          </w:p>
        </w:tc>
      </w:tr>
      <w:tr>
        <w:tc>
          <w:tcPr>
            <w:tcW w:type="dxa" w:w="2880"/>
            <w:vAlign w:val="center"/>
            <w:shd w:fill="EAF2F8"/>
            <w:tcMar>
              <w:top w:w="70" w:type="dxa"/>
              <w:start w:w="90" w:type="dxa"/>
              <w:bottom w:w="70" w:type="dxa"/>
              <w:end w:w="90" w:type="dxa"/>
            </w:tcMar>
          </w:tcPr>
          <w:p>
            <w:pPr>
              <w:jc w:val="left"/>
            </w:pPr>
            <w:r>
              <w:rPr>
                <w:sz w:val="17"/>
              </w:rPr>
              <w:t>3</w:t>
            </w:r>
          </w:p>
        </w:tc>
        <w:tc>
          <w:tcPr>
            <w:tcW w:type="dxa" w:w="2880"/>
            <w:vAlign w:val="center"/>
            <w:shd w:fill="EAF2F8"/>
            <w:tcMar>
              <w:top w:w="70" w:type="dxa"/>
              <w:start w:w="90" w:type="dxa"/>
              <w:bottom w:w="70" w:type="dxa"/>
              <w:end w:w="90" w:type="dxa"/>
            </w:tcMar>
          </w:tcPr>
          <w:p>
            <w:pPr>
              <w:jc w:val="center"/>
            </w:pPr>
            <w:r>
              <w:rPr>
                <w:sz w:val="17"/>
              </w:rPr>
              <w:t>1,154</w:t>
            </w:r>
          </w:p>
        </w:tc>
        <w:tc>
          <w:tcPr>
            <w:tcW w:type="dxa" w:w="2880"/>
            <w:vAlign w:val="center"/>
            <w:shd w:fill="EAF2F8"/>
            <w:tcMar>
              <w:top w:w="70" w:type="dxa"/>
              <w:start w:w="90" w:type="dxa"/>
              <w:bottom w:w="70" w:type="dxa"/>
              <w:end w:w="90" w:type="dxa"/>
            </w:tcMar>
          </w:tcPr>
          <w:p>
            <w:pPr>
              <w:jc w:val="center"/>
            </w:pPr>
            <w:r>
              <w:rPr>
                <w:sz w:val="17"/>
              </w:rPr>
              <w:t>50.87%</w:t>
            </w:r>
          </w:p>
        </w:tc>
      </w:tr>
      <w:tr>
        <w:tc>
          <w:tcPr>
            <w:tcW w:type="dxa" w:w="2880"/>
            <w:vAlign w:val="center"/>
            <w:tcMar>
              <w:top w:w="70" w:type="dxa"/>
              <w:start w:w="90" w:type="dxa"/>
              <w:bottom w:w="70" w:type="dxa"/>
              <w:end w:w="90" w:type="dxa"/>
            </w:tcMar>
          </w:tcPr>
          <w:p>
            <w:pPr>
              <w:jc w:val="left"/>
            </w:pPr>
            <w:r>
              <w:rPr>
                <w:sz w:val="17"/>
              </w:rPr>
              <w:t>4</w:t>
            </w:r>
          </w:p>
        </w:tc>
        <w:tc>
          <w:tcPr>
            <w:tcW w:type="dxa" w:w="2880"/>
            <w:vAlign w:val="center"/>
            <w:tcMar>
              <w:top w:w="70" w:type="dxa"/>
              <w:start w:w="90" w:type="dxa"/>
              <w:bottom w:w="70" w:type="dxa"/>
              <w:end w:w="90" w:type="dxa"/>
            </w:tcMar>
          </w:tcPr>
          <w:p>
            <w:pPr>
              <w:jc w:val="center"/>
            </w:pPr>
            <w:r>
              <w:rPr>
                <w:sz w:val="17"/>
              </w:rPr>
              <w:t>951</w:t>
            </w:r>
          </w:p>
        </w:tc>
        <w:tc>
          <w:tcPr>
            <w:tcW w:type="dxa" w:w="2880"/>
            <w:vAlign w:val="center"/>
            <w:tcMar>
              <w:top w:w="70" w:type="dxa"/>
              <w:start w:w="90" w:type="dxa"/>
              <w:bottom w:w="70" w:type="dxa"/>
              <w:end w:w="90" w:type="dxa"/>
            </w:tcMar>
          </w:tcPr>
          <w:p>
            <w:pPr>
              <w:jc w:val="center"/>
            </w:pPr>
            <w:r>
              <w:rPr>
                <w:sz w:val="17"/>
              </w:rPr>
              <w:t>57.31%</w:t>
            </w:r>
          </w:p>
        </w:tc>
      </w:tr>
      <w:tr>
        <w:tc>
          <w:tcPr>
            <w:tcW w:type="dxa" w:w="2880"/>
            <w:vAlign w:val="center"/>
            <w:shd w:fill="EAF2F8"/>
            <w:tcMar>
              <w:top w:w="70" w:type="dxa"/>
              <w:start w:w="90" w:type="dxa"/>
              <w:bottom w:w="70" w:type="dxa"/>
              <w:end w:w="90" w:type="dxa"/>
            </w:tcMar>
          </w:tcPr>
          <w:p>
            <w:pPr>
              <w:jc w:val="left"/>
            </w:pPr>
            <w:r>
              <w:rPr>
                <w:sz w:val="17"/>
              </w:rPr>
              <w:t>5</w:t>
            </w:r>
          </w:p>
        </w:tc>
        <w:tc>
          <w:tcPr>
            <w:tcW w:type="dxa" w:w="2880"/>
            <w:vAlign w:val="center"/>
            <w:shd w:fill="EAF2F8"/>
            <w:tcMar>
              <w:top w:w="70" w:type="dxa"/>
              <w:start w:w="90" w:type="dxa"/>
              <w:bottom w:w="70" w:type="dxa"/>
              <w:end w:w="90" w:type="dxa"/>
            </w:tcMar>
          </w:tcPr>
          <w:p>
            <w:pPr>
              <w:jc w:val="center"/>
            </w:pPr>
            <w:r>
              <w:rPr>
                <w:sz w:val="17"/>
              </w:rPr>
              <w:t>298</w:t>
            </w:r>
          </w:p>
        </w:tc>
        <w:tc>
          <w:tcPr>
            <w:tcW w:type="dxa" w:w="2880"/>
            <w:vAlign w:val="center"/>
            <w:shd w:fill="EAF2F8"/>
            <w:tcMar>
              <w:top w:w="70" w:type="dxa"/>
              <w:start w:w="90" w:type="dxa"/>
              <w:bottom w:w="70" w:type="dxa"/>
              <w:end w:w="90" w:type="dxa"/>
            </w:tcMar>
          </w:tcPr>
          <w:p>
            <w:pPr>
              <w:jc w:val="center"/>
            </w:pPr>
            <w:r>
              <w:rPr>
                <w:sz w:val="17"/>
              </w:rPr>
              <w:t>57.38%</w:t>
            </w:r>
          </w:p>
        </w:tc>
      </w:tr>
      <w:tr>
        <w:tc>
          <w:tcPr>
            <w:tcW w:type="dxa" w:w="2880"/>
            <w:vAlign w:val="center"/>
            <w:tcMar>
              <w:top w:w="70" w:type="dxa"/>
              <w:start w:w="90" w:type="dxa"/>
              <w:bottom w:w="70" w:type="dxa"/>
              <w:end w:w="90" w:type="dxa"/>
            </w:tcMar>
          </w:tcPr>
          <w:p>
            <w:pPr>
              <w:jc w:val="left"/>
            </w:pPr>
            <w:r>
              <w:rPr>
                <w:sz w:val="17"/>
              </w:rPr>
              <w:t>6</w:t>
            </w:r>
          </w:p>
        </w:tc>
        <w:tc>
          <w:tcPr>
            <w:tcW w:type="dxa" w:w="2880"/>
            <w:vAlign w:val="center"/>
            <w:tcMar>
              <w:top w:w="70" w:type="dxa"/>
              <w:start w:w="90" w:type="dxa"/>
              <w:bottom w:w="70" w:type="dxa"/>
              <w:end w:w="90" w:type="dxa"/>
            </w:tcMar>
          </w:tcPr>
          <w:p>
            <w:pPr>
              <w:jc w:val="center"/>
            </w:pPr>
            <w:r>
              <w:rPr>
                <w:sz w:val="17"/>
              </w:rPr>
              <w:t>1,341</w:t>
            </w:r>
          </w:p>
        </w:tc>
        <w:tc>
          <w:tcPr>
            <w:tcW w:type="dxa" w:w="2880"/>
            <w:vAlign w:val="center"/>
            <w:tcMar>
              <w:top w:w="70" w:type="dxa"/>
              <w:start w:w="90" w:type="dxa"/>
              <w:bottom w:w="70" w:type="dxa"/>
              <w:end w:w="90" w:type="dxa"/>
            </w:tcMar>
          </w:tcPr>
          <w:p>
            <w:pPr>
              <w:jc w:val="center"/>
            </w:pPr>
            <w:r>
              <w:rPr>
                <w:sz w:val="17"/>
              </w:rPr>
              <w:t>70.32%</w:t>
            </w:r>
          </w:p>
        </w:tc>
      </w:tr>
    </w:tbl>
    <w:p>
      <w:pPr>
        <w:spacing w:after="20"/>
      </w:pPr>
    </w:p>
    <w:p>
      <w:r>
        <w:br w:type="page"/>
      </w:r>
    </w:p>
    <w:p>
      <w:pPr>
        <w:pStyle w:val="Heading2"/>
        <w:keepNext/>
        <w:keepLines/>
      </w:pPr>
      <w:r>
        <w:t>Engineered Risk Segments</w:t>
      </w:r>
    </w:p>
    <w:p>
      <w:r>
        <w:t>A transparent rule-based segment was created from delayed-month count and bill-to-limit ratio. It is intended for exploratory prioritisation, not as a production credit-scoring model. High Risk customers had a 46.94 percent default rate, more than four times the Low Risk rate of 10.89 percent.</w:t>
      </w:r>
    </w:p>
    <w:p>
      <w:pPr>
        <w:keepNext/>
        <w:jc w:val="center"/>
      </w:pPr>
      <w:r>
        <w:drawing>
          <wp:inline xmlns:a="http://schemas.openxmlformats.org/drawingml/2006/main" xmlns:pic="http://schemas.openxmlformats.org/drawingml/2006/picture">
            <wp:extent cx="5989320" cy="3264021"/>
            <wp:docPr id="8" name="Picture 8"/>
            <wp:cNvGraphicFramePr>
              <a:graphicFrameLocks noChangeAspect="1"/>
            </wp:cNvGraphicFramePr>
            <a:graphic>
              <a:graphicData uri="http://schemas.openxmlformats.org/drawingml/2006/picture">
                <pic:pic>
                  <pic:nvPicPr>
                    <pic:cNvPr id="0" name="08_default_rate_by_risk_segment.png"/>
                    <pic:cNvPicPr/>
                  </pic:nvPicPr>
                  <pic:blipFill>
                    <a:blip r:embed="rId17"/>
                    <a:stretch>
                      <a:fillRect/>
                    </a:stretch>
                  </pic:blipFill>
                  <pic:spPr>
                    <a:xfrm>
                      <a:off x="0" y="0"/>
                      <a:ext cx="5989320" cy="3264021"/>
                    </a:xfrm>
                    <a:prstGeom prst="rect"/>
                  </pic:spPr>
                </pic:pic>
              </a:graphicData>
            </a:graphic>
          </wp:inline>
        </w:drawing>
      </w:r>
    </w:p>
    <w:p>
      <w:pPr>
        <w:pStyle w:val="CaptionText"/>
        <w:jc w:val="center"/>
      </w:pPr>
      <w:r>
        <w:t>Figure 8  Default rate by engineered risk segment</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1999"/>
        <w:gridCol w:w="1999"/>
        <w:gridCol w:w="1999"/>
        <w:gridCol w:w="1999"/>
        <w:gridCol w:w="1999"/>
      </w:tblGrid>
      <w:tr>
        <w:trPr>
          <w:tblHeader w:val="true"/>
        </w:trPr>
        <w:tc>
          <w:tcPr>
            <w:tcW w:type="dxa" w:w="2016"/>
            <w:shd w:fill="1F4E78"/>
            <w:vAlign w:val="center"/>
            <w:tcMar>
              <w:top w:w="70" w:type="dxa"/>
              <w:start w:w="90" w:type="dxa"/>
              <w:bottom w:w="70" w:type="dxa"/>
              <w:end w:w="90" w:type="dxa"/>
            </w:tcMar>
          </w:tcPr>
          <w:p>
            <w:pPr>
              <w:jc w:val="center"/>
            </w:pPr>
            <w:r>
              <w:rPr>
                <w:b/>
                <w:color w:val="FFFFFF"/>
                <w:sz w:val="18"/>
              </w:rPr>
              <w:t>Risk segment</w:t>
            </w:r>
          </w:p>
        </w:tc>
        <w:tc>
          <w:tcPr>
            <w:tcW w:type="dxa" w:w="1800"/>
            <w:shd w:fill="1F4E78"/>
            <w:vAlign w:val="center"/>
            <w:tcMar>
              <w:top w:w="70" w:type="dxa"/>
              <w:start w:w="90" w:type="dxa"/>
              <w:bottom w:w="70" w:type="dxa"/>
              <w:end w:w="90" w:type="dxa"/>
            </w:tcMar>
          </w:tcPr>
          <w:p>
            <w:pPr>
              <w:jc w:val="center"/>
            </w:pPr>
            <w:r>
              <w:rPr>
                <w:b/>
                <w:color w:val="FFFFFF"/>
                <w:sz w:val="18"/>
              </w:rPr>
              <w:t>Customers</w:t>
            </w:r>
          </w:p>
        </w:tc>
        <w:tc>
          <w:tcPr>
            <w:tcW w:type="dxa" w:w="1656"/>
            <w:shd w:fill="1F4E78"/>
            <w:vAlign w:val="center"/>
            <w:tcMar>
              <w:top w:w="70" w:type="dxa"/>
              <w:start w:w="90" w:type="dxa"/>
              <w:bottom w:w="70" w:type="dxa"/>
              <w:end w:w="90" w:type="dxa"/>
            </w:tcMar>
          </w:tcPr>
          <w:p>
            <w:pPr>
              <w:jc w:val="center"/>
            </w:pPr>
            <w:r>
              <w:rPr>
                <w:b/>
                <w:color w:val="FFFFFF"/>
                <w:sz w:val="18"/>
              </w:rPr>
              <w:t>Defaults</w:t>
            </w:r>
          </w:p>
        </w:tc>
        <w:tc>
          <w:tcPr>
            <w:tcW w:type="dxa" w:w="1872"/>
            <w:shd w:fill="1F4E78"/>
            <w:vAlign w:val="center"/>
            <w:tcMar>
              <w:top w:w="70" w:type="dxa"/>
              <w:start w:w="90" w:type="dxa"/>
              <w:bottom w:w="70" w:type="dxa"/>
              <w:end w:w="90" w:type="dxa"/>
            </w:tcMar>
          </w:tcPr>
          <w:p>
            <w:pPr>
              <w:jc w:val="center"/>
            </w:pPr>
            <w:r>
              <w:rPr>
                <w:b/>
                <w:color w:val="FFFFFF"/>
                <w:sz w:val="18"/>
              </w:rPr>
              <w:t>Default rate</w:t>
            </w:r>
          </w:p>
        </w:tc>
        <w:tc>
          <w:tcPr>
            <w:tcW w:type="dxa" w:w="2232"/>
            <w:shd w:fill="1F4E78"/>
            <w:vAlign w:val="center"/>
            <w:tcMar>
              <w:top w:w="70" w:type="dxa"/>
              <w:start w:w="90" w:type="dxa"/>
              <w:bottom w:w="70" w:type="dxa"/>
              <w:end w:w="90" w:type="dxa"/>
            </w:tcMar>
          </w:tcPr>
          <w:p>
            <w:pPr>
              <w:jc w:val="center"/>
            </w:pPr>
            <w:r>
              <w:rPr>
                <w:b/>
                <w:color w:val="FFFFFF"/>
                <w:sz w:val="18"/>
              </w:rPr>
              <w:t>Average delayed months</w:t>
            </w:r>
          </w:p>
        </w:tc>
      </w:tr>
      <w:tr>
        <w:tc>
          <w:tcPr>
            <w:tcW w:type="dxa" w:w="2016"/>
            <w:vAlign w:val="center"/>
            <w:tcMar>
              <w:top w:w="70" w:type="dxa"/>
              <w:start w:w="90" w:type="dxa"/>
              <w:bottom w:w="70" w:type="dxa"/>
              <w:end w:w="90" w:type="dxa"/>
            </w:tcMar>
          </w:tcPr>
          <w:p>
            <w:pPr>
              <w:jc w:val="left"/>
            </w:pPr>
            <w:r>
              <w:rPr>
                <w:sz w:val="17"/>
              </w:rPr>
              <w:t>Low Risk</w:t>
            </w:r>
          </w:p>
        </w:tc>
        <w:tc>
          <w:tcPr>
            <w:tcW w:type="dxa" w:w="1800"/>
            <w:vAlign w:val="center"/>
            <w:tcMar>
              <w:top w:w="70" w:type="dxa"/>
              <w:start w:w="90" w:type="dxa"/>
              <w:bottom w:w="70" w:type="dxa"/>
              <w:end w:w="90" w:type="dxa"/>
            </w:tcMar>
          </w:tcPr>
          <w:p>
            <w:pPr>
              <w:jc w:val="center"/>
            </w:pPr>
            <w:r>
              <w:rPr>
                <w:sz w:val="17"/>
              </w:rPr>
              <w:t>14,615</w:t>
            </w:r>
          </w:p>
        </w:tc>
        <w:tc>
          <w:tcPr>
            <w:tcW w:type="dxa" w:w="1656"/>
            <w:vAlign w:val="center"/>
            <w:tcMar>
              <w:top w:w="70" w:type="dxa"/>
              <w:start w:w="90" w:type="dxa"/>
              <w:bottom w:w="70" w:type="dxa"/>
              <w:end w:w="90" w:type="dxa"/>
            </w:tcMar>
          </w:tcPr>
          <w:p>
            <w:pPr>
              <w:jc w:val="center"/>
            </w:pPr>
            <w:r>
              <w:rPr>
                <w:sz w:val="17"/>
              </w:rPr>
              <w:t>1,592</w:t>
            </w:r>
          </w:p>
        </w:tc>
        <w:tc>
          <w:tcPr>
            <w:tcW w:type="dxa" w:w="1872"/>
            <w:vAlign w:val="center"/>
            <w:tcMar>
              <w:top w:w="70" w:type="dxa"/>
              <w:start w:w="90" w:type="dxa"/>
              <w:bottom w:w="70" w:type="dxa"/>
              <w:end w:w="90" w:type="dxa"/>
            </w:tcMar>
          </w:tcPr>
          <w:p>
            <w:pPr>
              <w:jc w:val="center"/>
            </w:pPr>
            <w:r>
              <w:rPr>
                <w:sz w:val="17"/>
              </w:rPr>
              <w:t>10.89%</w:t>
            </w:r>
          </w:p>
        </w:tc>
        <w:tc>
          <w:tcPr>
            <w:tcW w:type="dxa" w:w="2232"/>
            <w:vAlign w:val="center"/>
            <w:tcMar>
              <w:top w:w="70" w:type="dxa"/>
              <w:start w:w="90" w:type="dxa"/>
              <w:bottom w:w="70" w:type="dxa"/>
              <w:end w:w="90" w:type="dxa"/>
            </w:tcMar>
          </w:tcPr>
          <w:p>
            <w:pPr>
              <w:jc w:val="center"/>
            </w:pPr>
            <w:r>
              <w:rPr>
                <w:sz w:val="17"/>
              </w:rPr>
              <w:t>0.00</w:t>
            </w:r>
          </w:p>
        </w:tc>
      </w:tr>
      <w:tr>
        <w:tc>
          <w:tcPr>
            <w:tcW w:type="dxa" w:w="2016"/>
            <w:vAlign w:val="center"/>
            <w:shd w:fill="EAF2F8"/>
            <w:tcMar>
              <w:top w:w="70" w:type="dxa"/>
              <w:start w:w="90" w:type="dxa"/>
              <w:bottom w:w="70" w:type="dxa"/>
              <w:end w:w="90" w:type="dxa"/>
            </w:tcMar>
          </w:tcPr>
          <w:p>
            <w:pPr>
              <w:jc w:val="left"/>
            </w:pPr>
            <w:r>
              <w:rPr>
                <w:sz w:val="17"/>
              </w:rPr>
              <w:t>Medium Risk</w:t>
            </w:r>
          </w:p>
        </w:tc>
        <w:tc>
          <w:tcPr>
            <w:tcW w:type="dxa" w:w="1800"/>
            <w:vAlign w:val="center"/>
            <w:shd w:fill="EAF2F8"/>
            <w:tcMar>
              <w:top w:w="70" w:type="dxa"/>
              <w:start w:w="90" w:type="dxa"/>
              <w:bottom w:w="70" w:type="dxa"/>
              <w:end w:w="90" w:type="dxa"/>
            </w:tcMar>
          </w:tcPr>
          <w:p>
            <w:pPr>
              <w:jc w:val="center"/>
            </w:pPr>
            <w:r>
              <w:rPr>
                <w:sz w:val="17"/>
              </w:rPr>
              <w:t>9,654</w:t>
            </w:r>
          </w:p>
        </w:tc>
        <w:tc>
          <w:tcPr>
            <w:tcW w:type="dxa" w:w="1656"/>
            <w:vAlign w:val="center"/>
            <w:shd w:fill="EAF2F8"/>
            <w:tcMar>
              <w:top w:w="70" w:type="dxa"/>
              <w:start w:w="90" w:type="dxa"/>
              <w:bottom w:w="70" w:type="dxa"/>
              <w:end w:w="90" w:type="dxa"/>
            </w:tcMar>
          </w:tcPr>
          <w:p>
            <w:pPr>
              <w:jc w:val="center"/>
            </w:pPr>
            <w:r>
              <w:rPr>
                <w:sz w:val="17"/>
              </w:rPr>
              <w:t>2,354</w:t>
            </w:r>
          </w:p>
        </w:tc>
        <w:tc>
          <w:tcPr>
            <w:tcW w:type="dxa" w:w="1872"/>
            <w:vAlign w:val="center"/>
            <w:shd w:fill="EAF2F8"/>
            <w:tcMar>
              <w:top w:w="70" w:type="dxa"/>
              <w:start w:w="90" w:type="dxa"/>
              <w:bottom w:w="70" w:type="dxa"/>
              <w:end w:w="90" w:type="dxa"/>
            </w:tcMar>
          </w:tcPr>
          <w:p>
            <w:pPr>
              <w:jc w:val="center"/>
            </w:pPr>
            <w:r>
              <w:rPr>
                <w:sz w:val="17"/>
              </w:rPr>
              <w:t>24.38%</w:t>
            </w:r>
          </w:p>
        </w:tc>
        <w:tc>
          <w:tcPr>
            <w:tcW w:type="dxa" w:w="2232"/>
            <w:vAlign w:val="center"/>
            <w:shd w:fill="EAF2F8"/>
            <w:tcMar>
              <w:top w:w="70" w:type="dxa"/>
              <w:start w:w="90" w:type="dxa"/>
              <w:bottom w:w="70" w:type="dxa"/>
              <w:end w:w="90" w:type="dxa"/>
            </w:tcMar>
          </w:tcPr>
          <w:p>
            <w:pPr>
              <w:jc w:val="center"/>
            </w:pPr>
            <w:r>
              <w:rPr>
                <w:sz w:val="17"/>
              </w:rPr>
              <w:t>0.76</w:t>
            </w:r>
          </w:p>
        </w:tc>
      </w:tr>
      <w:tr>
        <w:tc>
          <w:tcPr>
            <w:tcW w:type="dxa" w:w="2016"/>
            <w:vAlign w:val="center"/>
            <w:tcMar>
              <w:top w:w="70" w:type="dxa"/>
              <w:start w:w="90" w:type="dxa"/>
              <w:bottom w:w="70" w:type="dxa"/>
              <w:end w:w="90" w:type="dxa"/>
            </w:tcMar>
          </w:tcPr>
          <w:p>
            <w:pPr>
              <w:jc w:val="left"/>
            </w:pPr>
            <w:r>
              <w:rPr>
                <w:sz w:val="17"/>
              </w:rPr>
              <w:t>High Risk</w:t>
            </w:r>
          </w:p>
        </w:tc>
        <w:tc>
          <w:tcPr>
            <w:tcW w:type="dxa" w:w="1800"/>
            <w:vAlign w:val="center"/>
            <w:tcMar>
              <w:top w:w="70" w:type="dxa"/>
              <w:start w:w="90" w:type="dxa"/>
              <w:bottom w:w="70" w:type="dxa"/>
              <w:end w:w="90" w:type="dxa"/>
            </w:tcMar>
          </w:tcPr>
          <w:p>
            <w:pPr>
              <w:jc w:val="center"/>
            </w:pPr>
            <w:r>
              <w:rPr>
                <w:sz w:val="17"/>
              </w:rPr>
              <w:t>5,731</w:t>
            </w:r>
          </w:p>
        </w:tc>
        <w:tc>
          <w:tcPr>
            <w:tcW w:type="dxa" w:w="1656"/>
            <w:vAlign w:val="center"/>
            <w:tcMar>
              <w:top w:w="70" w:type="dxa"/>
              <w:start w:w="90" w:type="dxa"/>
              <w:bottom w:w="70" w:type="dxa"/>
              <w:end w:w="90" w:type="dxa"/>
            </w:tcMar>
          </w:tcPr>
          <w:p>
            <w:pPr>
              <w:jc w:val="center"/>
            </w:pPr>
            <w:r>
              <w:rPr>
                <w:sz w:val="17"/>
              </w:rPr>
              <w:t>2,690</w:t>
            </w:r>
          </w:p>
        </w:tc>
        <w:tc>
          <w:tcPr>
            <w:tcW w:type="dxa" w:w="1872"/>
            <w:vAlign w:val="center"/>
            <w:tcMar>
              <w:top w:w="70" w:type="dxa"/>
              <w:start w:w="90" w:type="dxa"/>
              <w:bottom w:w="70" w:type="dxa"/>
              <w:end w:w="90" w:type="dxa"/>
            </w:tcMar>
          </w:tcPr>
          <w:p>
            <w:pPr>
              <w:jc w:val="center"/>
            </w:pPr>
            <w:r>
              <w:rPr>
                <w:sz w:val="17"/>
              </w:rPr>
              <w:t>46.94%</w:t>
            </w:r>
          </w:p>
        </w:tc>
        <w:tc>
          <w:tcPr>
            <w:tcW w:type="dxa" w:w="2232"/>
            <w:vAlign w:val="center"/>
            <w:tcMar>
              <w:top w:w="70" w:type="dxa"/>
              <w:start w:w="90" w:type="dxa"/>
              <w:bottom w:w="70" w:type="dxa"/>
              <w:end w:w="90" w:type="dxa"/>
            </w:tcMar>
          </w:tcPr>
          <w:p>
            <w:pPr>
              <w:jc w:val="center"/>
            </w:pPr>
            <w:r>
              <w:rPr>
                <w:sz w:val="17"/>
              </w:rPr>
              <w:t>3.09</w:t>
            </w:r>
          </w:p>
        </w:tc>
      </w:tr>
    </w:tbl>
    <w:p>
      <w:pPr>
        <w:spacing w:after="20"/>
      </w:pPr>
    </w:p>
    <w:p>
      <w:r>
        <w:br w:type="page"/>
      </w:r>
    </w:p>
    <w:p>
      <w:pPr>
        <w:pStyle w:val="Heading1"/>
        <w:keepNext/>
        <w:keepLines/>
      </w:pPr>
      <w:r>
        <w:t>Payment Behaviour and Credit Exposure</w:t>
      </w:r>
    </w:p>
    <w:p>
      <w:pPr>
        <w:pStyle w:val="Heading2"/>
        <w:keepNext/>
        <w:keepLines/>
      </w:pPr>
      <w:r>
        <w:t>Payment Behaviour Comparison</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1666"/>
        <w:gridCol w:w="1666"/>
        <w:gridCol w:w="1666"/>
        <w:gridCol w:w="1666"/>
        <w:gridCol w:w="1666"/>
        <w:gridCol w:w="1666"/>
      </w:tblGrid>
      <w:tr>
        <w:trPr>
          <w:tblHeader w:val="true"/>
        </w:trPr>
        <w:tc>
          <w:tcPr>
            <w:tcW w:type="dxa" w:w="1656"/>
            <w:shd w:fill="1F4E78"/>
            <w:vAlign w:val="center"/>
            <w:tcMar>
              <w:top w:w="70" w:type="dxa"/>
              <w:start w:w="90" w:type="dxa"/>
              <w:bottom w:w="70" w:type="dxa"/>
              <w:end w:w="90" w:type="dxa"/>
            </w:tcMar>
          </w:tcPr>
          <w:p>
            <w:pPr>
              <w:jc w:val="center"/>
            </w:pPr>
            <w:r>
              <w:rPr>
                <w:b/>
                <w:color w:val="FFFFFF"/>
                <w:sz w:val="18"/>
              </w:rPr>
              <w:t>Group</w:t>
            </w:r>
          </w:p>
        </w:tc>
        <w:tc>
          <w:tcPr>
            <w:tcW w:type="dxa" w:w="1800"/>
            <w:shd w:fill="1F4E78"/>
            <w:vAlign w:val="center"/>
            <w:tcMar>
              <w:top w:w="70" w:type="dxa"/>
              <w:start w:w="90" w:type="dxa"/>
              <w:bottom w:w="70" w:type="dxa"/>
              <w:end w:w="90" w:type="dxa"/>
            </w:tcMar>
          </w:tcPr>
          <w:p>
            <w:pPr>
              <w:jc w:val="center"/>
            </w:pPr>
            <w:r>
              <w:rPr>
                <w:b/>
                <w:color w:val="FFFFFF"/>
                <w:sz w:val="18"/>
              </w:rPr>
              <w:t>Average bill</w:t>
            </w:r>
          </w:p>
        </w:tc>
        <w:tc>
          <w:tcPr>
            <w:tcW w:type="dxa" w:w="1800"/>
            <w:shd w:fill="1F4E78"/>
            <w:vAlign w:val="center"/>
            <w:tcMar>
              <w:top w:w="70" w:type="dxa"/>
              <w:start w:w="90" w:type="dxa"/>
              <w:bottom w:w="70" w:type="dxa"/>
              <w:end w:w="90" w:type="dxa"/>
            </w:tcMar>
          </w:tcPr>
          <w:p>
            <w:pPr>
              <w:jc w:val="center"/>
            </w:pPr>
            <w:r>
              <w:rPr>
                <w:b/>
                <w:color w:val="FFFFFF"/>
                <w:sz w:val="18"/>
              </w:rPr>
              <w:t>Average payment</w:t>
            </w:r>
          </w:p>
        </w:tc>
        <w:tc>
          <w:tcPr>
            <w:tcW w:type="dxa" w:w="1656"/>
            <w:shd w:fill="1F4E78"/>
            <w:vAlign w:val="center"/>
            <w:tcMar>
              <w:top w:w="70" w:type="dxa"/>
              <w:start w:w="90" w:type="dxa"/>
              <w:bottom w:w="70" w:type="dxa"/>
              <w:end w:w="90" w:type="dxa"/>
            </w:tcMar>
          </w:tcPr>
          <w:p>
            <w:pPr>
              <w:jc w:val="center"/>
            </w:pPr>
            <w:r>
              <w:rPr>
                <w:b/>
                <w:color w:val="FFFFFF"/>
                <w:sz w:val="18"/>
              </w:rPr>
              <w:t>Bill to limit</w:t>
            </w:r>
          </w:p>
        </w:tc>
        <w:tc>
          <w:tcPr>
            <w:tcW w:type="dxa" w:w="1800"/>
            <w:shd w:fill="1F4E78"/>
            <w:vAlign w:val="center"/>
            <w:tcMar>
              <w:top w:w="70" w:type="dxa"/>
              <w:start w:w="90" w:type="dxa"/>
              <w:bottom w:w="70" w:type="dxa"/>
              <w:end w:w="90" w:type="dxa"/>
            </w:tcMar>
          </w:tcPr>
          <w:p>
            <w:pPr>
              <w:jc w:val="center"/>
            </w:pPr>
            <w:r>
              <w:rPr>
                <w:b/>
                <w:color w:val="FFFFFF"/>
                <w:sz w:val="18"/>
              </w:rPr>
              <w:t>Payment to bill</w:t>
            </w:r>
          </w:p>
        </w:tc>
        <w:tc>
          <w:tcPr>
            <w:tcW w:type="dxa" w:w="1656"/>
            <w:shd w:fill="1F4E78"/>
            <w:vAlign w:val="center"/>
            <w:tcMar>
              <w:top w:w="70" w:type="dxa"/>
              <w:start w:w="90" w:type="dxa"/>
              <w:bottom w:w="70" w:type="dxa"/>
              <w:end w:w="90" w:type="dxa"/>
            </w:tcMar>
          </w:tcPr>
          <w:p>
            <w:pPr>
              <w:jc w:val="center"/>
            </w:pPr>
            <w:r>
              <w:rPr>
                <w:b/>
                <w:color w:val="FFFFFF"/>
                <w:sz w:val="18"/>
              </w:rPr>
              <w:t>Delayed months</w:t>
            </w:r>
          </w:p>
        </w:tc>
      </w:tr>
      <w:tr>
        <w:tc>
          <w:tcPr>
            <w:tcW w:type="dxa" w:w="1656"/>
            <w:vAlign w:val="center"/>
            <w:tcMar>
              <w:top w:w="70" w:type="dxa"/>
              <w:start w:w="90" w:type="dxa"/>
              <w:bottom w:w="70" w:type="dxa"/>
              <w:end w:w="90" w:type="dxa"/>
            </w:tcMar>
          </w:tcPr>
          <w:p>
            <w:pPr>
              <w:jc w:val="left"/>
            </w:pPr>
            <w:r>
              <w:rPr>
                <w:sz w:val="17"/>
              </w:rPr>
              <w:t>Default</w:t>
            </w:r>
          </w:p>
        </w:tc>
        <w:tc>
          <w:tcPr>
            <w:tcW w:type="dxa" w:w="1800"/>
            <w:vAlign w:val="center"/>
            <w:tcMar>
              <w:top w:w="70" w:type="dxa"/>
              <w:start w:w="90" w:type="dxa"/>
              <w:bottom w:w="70" w:type="dxa"/>
              <w:end w:w="90" w:type="dxa"/>
            </w:tcMar>
          </w:tcPr>
          <w:p>
            <w:pPr>
              <w:jc w:val="center"/>
            </w:pPr>
            <w:r>
              <w:rPr>
                <w:sz w:val="17"/>
              </w:rPr>
              <w:t>43,470.49</w:t>
            </w:r>
          </w:p>
        </w:tc>
        <w:tc>
          <w:tcPr>
            <w:tcW w:type="dxa" w:w="1800"/>
            <w:vAlign w:val="center"/>
            <w:tcMar>
              <w:top w:w="70" w:type="dxa"/>
              <w:start w:w="90" w:type="dxa"/>
              <w:bottom w:w="70" w:type="dxa"/>
              <w:end w:w="90" w:type="dxa"/>
            </w:tcMar>
          </w:tcPr>
          <w:p>
            <w:pPr>
              <w:jc w:val="center"/>
            </w:pPr>
            <w:r>
              <w:rPr>
                <w:sz w:val="17"/>
              </w:rPr>
              <w:t>3,328.22</w:t>
            </w:r>
          </w:p>
        </w:tc>
        <w:tc>
          <w:tcPr>
            <w:tcW w:type="dxa" w:w="1656"/>
            <w:vAlign w:val="center"/>
            <w:tcMar>
              <w:top w:w="70" w:type="dxa"/>
              <w:start w:w="90" w:type="dxa"/>
              <w:bottom w:w="70" w:type="dxa"/>
              <w:end w:w="90" w:type="dxa"/>
            </w:tcMar>
          </w:tcPr>
          <w:p>
            <w:pPr>
              <w:jc w:val="center"/>
            </w:pPr>
            <w:r>
              <w:rPr>
                <w:sz w:val="17"/>
              </w:rPr>
              <w:t>0.449</w:t>
            </w:r>
          </w:p>
        </w:tc>
        <w:tc>
          <w:tcPr>
            <w:tcW w:type="dxa" w:w="1800"/>
            <w:vAlign w:val="center"/>
            <w:tcMar>
              <w:top w:w="70" w:type="dxa"/>
              <w:start w:w="90" w:type="dxa"/>
              <w:bottom w:w="70" w:type="dxa"/>
              <w:end w:w="90" w:type="dxa"/>
            </w:tcMar>
          </w:tcPr>
          <w:p>
            <w:pPr>
              <w:jc w:val="center"/>
            </w:pPr>
            <w:r>
              <w:rPr>
                <w:sz w:val="17"/>
              </w:rPr>
              <w:t>0.213</w:t>
            </w:r>
          </w:p>
        </w:tc>
        <w:tc>
          <w:tcPr>
            <w:tcW w:type="dxa" w:w="1656"/>
            <w:vAlign w:val="center"/>
            <w:tcMar>
              <w:top w:w="70" w:type="dxa"/>
              <w:start w:w="90" w:type="dxa"/>
              <w:bottom w:w="70" w:type="dxa"/>
              <w:end w:w="90" w:type="dxa"/>
            </w:tcMar>
          </w:tcPr>
          <w:p>
            <w:pPr>
              <w:jc w:val="center"/>
            </w:pPr>
            <w:r>
              <w:rPr>
                <w:sz w:val="17"/>
              </w:rPr>
              <w:t>2.00</w:t>
            </w:r>
          </w:p>
        </w:tc>
      </w:tr>
      <w:tr>
        <w:tc>
          <w:tcPr>
            <w:tcW w:type="dxa" w:w="1656"/>
            <w:vAlign w:val="center"/>
            <w:shd w:fill="EAF2F8"/>
            <w:tcMar>
              <w:top w:w="70" w:type="dxa"/>
              <w:start w:w="90" w:type="dxa"/>
              <w:bottom w:w="70" w:type="dxa"/>
              <w:end w:w="90" w:type="dxa"/>
            </w:tcMar>
          </w:tcPr>
          <w:p>
            <w:pPr>
              <w:jc w:val="left"/>
            </w:pPr>
            <w:r>
              <w:rPr>
                <w:sz w:val="17"/>
              </w:rPr>
              <w:t>No Default</w:t>
            </w:r>
          </w:p>
        </w:tc>
        <w:tc>
          <w:tcPr>
            <w:tcW w:type="dxa" w:w="1800"/>
            <w:vAlign w:val="center"/>
            <w:shd w:fill="EAF2F8"/>
            <w:tcMar>
              <w:top w:w="70" w:type="dxa"/>
              <w:start w:w="90" w:type="dxa"/>
              <w:bottom w:w="70" w:type="dxa"/>
              <w:end w:w="90" w:type="dxa"/>
            </w:tcMar>
          </w:tcPr>
          <w:p>
            <w:pPr>
              <w:jc w:val="center"/>
            </w:pPr>
            <w:r>
              <w:rPr>
                <w:sz w:val="17"/>
              </w:rPr>
              <w:t>45,404.82</w:t>
            </w:r>
          </w:p>
        </w:tc>
        <w:tc>
          <w:tcPr>
            <w:tcW w:type="dxa" w:w="1800"/>
            <w:vAlign w:val="center"/>
            <w:shd w:fill="EAF2F8"/>
            <w:tcMar>
              <w:top w:w="70" w:type="dxa"/>
              <w:start w:w="90" w:type="dxa"/>
              <w:bottom w:w="70" w:type="dxa"/>
              <w:end w:w="90" w:type="dxa"/>
            </w:tcMar>
          </w:tcPr>
          <w:p>
            <w:pPr>
              <w:jc w:val="center"/>
            </w:pPr>
            <w:r>
              <w:rPr>
                <w:sz w:val="17"/>
              </w:rPr>
              <w:t>5,828.24</w:t>
            </w:r>
          </w:p>
        </w:tc>
        <w:tc>
          <w:tcPr>
            <w:tcW w:type="dxa" w:w="1656"/>
            <w:vAlign w:val="center"/>
            <w:shd w:fill="EAF2F8"/>
            <w:tcMar>
              <w:top w:w="70" w:type="dxa"/>
              <w:start w:w="90" w:type="dxa"/>
              <w:bottom w:w="70" w:type="dxa"/>
              <w:end w:w="90" w:type="dxa"/>
            </w:tcMar>
          </w:tcPr>
          <w:p>
            <w:pPr>
              <w:jc w:val="center"/>
            </w:pPr>
            <w:r>
              <w:rPr>
                <w:sz w:val="17"/>
              </w:rPr>
              <w:t>0.351</w:t>
            </w:r>
          </w:p>
        </w:tc>
        <w:tc>
          <w:tcPr>
            <w:tcW w:type="dxa" w:w="1800"/>
            <w:vAlign w:val="center"/>
            <w:shd w:fill="EAF2F8"/>
            <w:tcMar>
              <w:top w:w="70" w:type="dxa"/>
              <w:start w:w="90" w:type="dxa"/>
              <w:bottom w:w="70" w:type="dxa"/>
              <w:end w:w="90" w:type="dxa"/>
            </w:tcMar>
          </w:tcPr>
          <w:p>
            <w:pPr>
              <w:jc w:val="center"/>
            </w:pPr>
            <w:r>
              <w:rPr>
                <w:sz w:val="17"/>
              </w:rPr>
              <w:t>0.429</w:t>
            </w:r>
          </w:p>
        </w:tc>
        <w:tc>
          <w:tcPr>
            <w:tcW w:type="dxa" w:w="1656"/>
            <w:vAlign w:val="center"/>
            <w:shd w:fill="EAF2F8"/>
            <w:tcMar>
              <w:top w:w="70" w:type="dxa"/>
              <w:start w:w="90" w:type="dxa"/>
              <w:bottom w:w="70" w:type="dxa"/>
              <w:end w:w="90" w:type="dxa"/>
            </w:tcMar>
          </w:tcPr>
          <w:p>
            <w:pPr>
              <w:jc w:val="center"/>
            </w:pPr>
            <w:r>
              <w:rPr>
                <w:sz w:val="17"/>
              </w:rPr>
              <w:t>0.50</w:t>
            </w:r>
          </w:p>
        </w:tc>
      </w:tr>
    </w:tbl>
    <w:p>
      <w:pPr>
        <w:spacing w:after="20"/>
      </w:pPr>
    </w:p>
    <w:p>
      <w:r>
        <w:t>Default customers made lower average payments, used more of their available credit and showed four times as many delayed months on average. These differences are more actionable than the small difference in average bill amount.</w:t>
      </w:r>
    </w:p>
    <w:p>
      <w:pPr>
        <w:pStyle w:val="Heading2"/>
        <w:keepNext/>
        <w:keepLines/>
      </w:pPr>
      <w:r>
        <w:t>Credit Limit Groups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498"/>
        <w:gridCol w:w="2498"/>
        <w:gridCol w:w="2498"/>
        <w:gridCol w:w="2498"/>
      </w:tblGrid>
      <w:tr>
        <w:trPr>
          <w:tblHeader w:val="true"/>
        </w:trPr>
        <w:tc>
          <w:tcPr>
            <w:tcW w:type="dxa" w:w="2880"/>
            <w:shd w:fill="1F4E78"/>
            <w:vAlign w:val="center"/>
            <w:tcMar>
              <w:top w:w="70" w:type="dxa"/>
              <w:start w:w="90" w:type="dxa"/>
              <w:bottom w:w="70" w:type="dxa"/>
              <w:end w:w="90" w:type="dxa"/>
            </w:tcMar>
          </w:tcPr>
          <w:p>
            <w:pPr>
              <w:jc w:val="center"/>
            </w:pPr>
            <w:r>
              <w:rPr>
                <w:b/>
                <w:color w:val="FFFFFF"/>
                <w:sz w:val="18"/>
              </w:rPr>
              <w:t>Credit limit group</w:t>
            </w:r>
          </w:p>
        </w:tc>
        <w:tc>
          <w:tcPr>
            <w:tcW w:type="dxa" w:w="2016"/>
            <w:shd w:fill="1F4E78"/>
            <w:vAlign w:val="center"/>
            <w:tcMar>
              <w:top w:w="70" w:type="dxa"/>
              <w:start w:w="90" w:type="dxa"/>
              <w:bottom w:w="70" w:type="dxa"/>
              <w:end w:w="90" w:type="dxa"/>
            </w:tcMar>
          </w:tcPr>
          <w:p>
            <w:pPr>
              <w:jc w:val="center"/>
            </w:pPr>
            <w:r>
              <w:rPr>
                <w:b/>
                <w:color w:val="FFFFFF"/>
                <w:sz w:val="18"/>
              </w:rPr>
              <w:t>Customers</w:t>
            </w:r>
          </w:p>
        </w:tc>
        <w:tc>
          <w:tcPr>
            <w:tcW w:type="dxa" w:w="1872"/>
            <w:shd w:fill="1F4E78"/>
            <w:vAlign w:val="center"/>
            <w:tcMar>
              <w:top w:w="70" w:type="dxa"/>
              <w:start w:w="90" w:type="dxa"/>
              <w:bottom w:w="70" w:type="dxa"/>
              <w:end w:w="90" w:type="dxa"/>
            </w:tcMar>
          </w:tcPr>
          <w:p>
            <w:pPr>
              <w:jc w:val="center"/>
            </w:pPr>
            <w:r>
              <w:rPr>
                <w:b/>
                <w:color w:val="FFFFFF"/>
                <w:sz w:val="18"/>
              </w:rPr>
              <w:t>Defaults</w:t>
            </w:r>
          </w:p>
        </w:tc>
        <w:tc>
          <w:tcPr>
            <w:tcW w:type="dxa" w:w="2016"/>
            <w:shd w:fill="1F4E78"/>
            <w:vAlign w:val="center"/>
            <w:tcMar>
              <w:top w:w="70" w:type="dxa"/>
              <w:start w:w="90" w:type="dxa"/>
              <w:bottom w:w="70" w:type="dxa"/>
              <w:end w:w="90" w:type="dxa"/>
            </w:tcMar>
          </w:tcPr>
          <w:p>
            <w:pPr>
              <w:jc w:val="center"/>
            </w:pPr>
            <w:r>
              <w:rPr>
                <w:b/>
                <w:color w:val="FFFFFF"/>
                <w:sz w:val="18"/>
              </w:rPr>
              <w:t>Default rate</w:t>
            </w:r>
          </w:p>
        </w:tc>
      </w:tr>
      <w:tr>
        <w:tc>
          <w:tcPr>
            <w:tcW w:type="dxa" w:w="2880"/>
            <w:vAlign w:val="center"/>
            <w:tcMar>
              <w:top w:w="70" w:type="dxa"/>
              <w:start w:w="90" w:type="dxa"/>
              <w:bottom w:w="70" w:type="dxa"/>
              <w:end w:w="90" w:type="dxa"/>
            </w:tcMar>
          </w:tcPr>
          <w:p>
            <w:pPr>
              <w:jc w:val="left"/>
            </w:pPr>
            <w:r>
              <w:rPr>
                <w:sz w:val="17"/>
              </w:rPr>
              <w:t>Very Low</w:t>
            </w:r>
          </w:p>
        </w:tc>
        <w:tc>
          <w:tcPr>
            <w:tcW w:type="dxa" w:w="2016"/>
            <w:vAlign w:val="center"/>
            <w:tcMar>
              <w:top w:w="70" w:type="dxa"/>
              <w:start w:w="90" w:type="dxa"/>
              <w:bottom w:w="70" w:type="dxa"/>
              <w:end w:w="90" w:type="dxa"/>
            </w:tcMar>
          </w:tcPr>
          <w:p>
            <w:pPr>
              <w:jc w:val="center"/>
            </w:pPr>
            <w:r>
              <w:rPr>
                <w:sz w:val="17"/>
              </w:rPr>
              <w:t>7,676</w:t>
            </w:r>
          </w:p>
        </w:tc>
        <w:tc>
          <w:tcPr>
            <w:tcW w:type="dxa" w:w="1872"/>
            <w:vAlign w:val="center"/>
            <w:tcMar>
              <w:top w:w="70" w:type="dxa"/>
              <w:start w:w="90" w:type="dxa"/>
              <w:bottom w:w="70" w:type="dxa"/>
              <w:end w:w="90" w:type="dxa"/>
            </w:tcMar>
          </w:tcPr>
          <w:p>
            <w:pPr>
              <w:jc w:val="center"/>
            </w:pPr>
            <w:r>
              <w:rPr>
                <w:sz w:val="17"/>
              </w:rPr>
              <w:t>2,440</w:t>
            </w:r>
          </w:p>
        </w:tc>
        <w:tc>
          <w:tcPr>
            <w:tcW w:type="dxa" w:w="2016"/>
            <w:vAlign w:val="center"/>
            <w:tcMar>
              <w:top w:w="70" w:type="dxa"/>
              <w:start w:w="90" w:type="dxa"/>
              <w:bottom w:w="70" w:type="dxa"/>
              <w:end w:w="90" w:type="dxa"/>
            </w:tcMar>
          </w:tcPr>
          <w:p>
            <w:pPr>
              <w:jc w:val="center"/>
            </w:pPr>
            <w:r>
              <w:rPr>
                <w:sz w:val="17"/>
              </w:rPr>
              <w:t>31.79%</w:t>
            </w:r>
          </w:p>
        </w:tc>
      </w:tr>
      <w:tr>
        <w:tc>
          <w:tcPr>
            <w:tcW w:type="dxa" w:w="2880"/>
            <w:vAlign w:val="center"/>
            <w:shd w:fill="EAF2F8"/>
            <w:tcMar>
              <w:top w:w="70" w:type="dxa"/>
              <w:start w:w="90" w:type="dxa"/>
              <w:bottom w:w="70" w:type="dxa"/>
              <w:end w:w="90" w:type="dxa"/>
            </w:tcMar>
          </w:tcPr>
          <w:p>
            <w:pPr>
              <w:jc w:val="left"/>
            </w:pPr>
            <w:r>
              <w:rPr>
                <w:sz w:val="17"/>
              </w:rPr>
              <w:t>Low</w:t>
            </w:r>
          </w:p>
        </w:tc>
        <w:tc>
          <w:tcPr>
            <w:tcW w:type="dxa" w:w="2016"/>
            <w:vAlign w:val="center"/>
            <w:shd w:fill="EAF2F8"/>
            <w:tcMar>
              <w:top w:w="70" w:type="dxa"/>
              <w:start w:w="90" w:type="dxa"/>
              <w:bottom w:w="70" w:type="dxa"/>
              <w:end w:w="90" w:type="dxa"/>
            </w:tcMar>
          </w:tcPr>
          <w:p>
            <w:pPr>
              <w:jc w:val="center"/>
            </w:pPr>
            <w:r>
              <w:rPr>
                <w:sz w:val="17"/>
              </w:rPr>
              <w:t>4,822</w:t>
            </w:r>
          </w:p>
        </w:tc>
        <w:tc>
          <w:tcPr>
            <w:tcW w:type="dxa" w:w="1872"/>
            <w:vAlign w:val="center"/>
            <w:shd w:fill="EAF2F8"/>
            <w:tcMar>
              <w:top w:w="70" w:type="dxa"/>
              <w:start w:w="90" w:type="dxa"/>
              <w:bottom w:w="70" w:type="dxa"/>
              <w:end w:w="90" w:type="dxa"/>
            </w:tcMar>
          </w:tcPr>
          <w:p>
            <w:pPr>
              <w:jc w:val="center"/>
            </w:pPr>
            <w:r>
              <w:rPr>
                <w:sz w:val="17"/>
              </w:rPr>
              <w:t>1,244</w:t>
            </w:r>
          </w:p>
        </w:tc>
        <w:tc>
          <w:tcPr>
            <w:tcW w:type="dxa" w:w="2016"/>
            <w:vAlign w:val="center"/>
            <w:shd w:fill="EAF2F8"/>
            <w:tcMar>
              <w:top w:w="70" w:type="dxa"/>
              <w:start w:w="90" w:type="dxa"/>
              <w:bottom w:w="70" w:type="dxa"/>
              <w:end w:w="90" w:type="dxa"/>
            </w:tcMar>
          </w:tcPr>
          <w:p>
            <w:pPr>
              <w:jc w:val="center"/>
            </w:pPr>
            <w:r>
              <w:rPr>
                <w:sz w:val="17"/>
              </w:rPr>
              <w:t>25.80%</w:t>
            </w:r>
          </w:p>
        </w:tc>
      </w:tr>
      <w:tr>
        <w:tc>
          <w:tcPr>
            <w:tcW w:type="dxa" w:w="2880"/>
            <w:vAlign w:val="center"/>
            <w:tcMar>
              <w:top w:w="70" w:type="dxa"/>
              <w:start w:w="90" w:type="dxa"/>
              <w:bottom w:w="70" w:type="dxa"/>
              <w:end w:w="90" w:type="dxa"/>
            </w:tcMar>
          </w:tcPr>
          <w:p>
            <w:pPr>
              <w:jc w:val="left"/>
            </w:pPr>
            <w:r>
              <w:rPr>
                <w:sz w:val="17"/>
              </w:rPr>
              <w:t>Medium</w:t>
            </w:r>
          </w:p>
        </w:tc>
        <w:tc>
          <w:tcPr>
            <w:tcW w:type="dxa" w:w="2016"/>
            <w:vAlign w:val="center"/>
            <w:tcMar>
              <w:top w:w="70" w:type="dxa"/>
              <w:start w:w="90" w:type="dxa"/>
              <w:bottom w:w="70" w:type="dxa"/>
              <w:end w:w="90" w:type="dxa"/>
            </w:tcMar>
          </w:tcPr>
          <w:p>
            <w:pPr>
              <w:jc w:val="center"/>
            </w:pPr>
            <w:r>
              <w:rPr>
                <w:sz w:val="17"/>
              </w:rPr>
              <w:t>7,880</w:t>
            </w:r>
          </w:p>
        </w:tc>
        <w:tc>
          <w:tcPr>
            <w:tcW w:type="dxa" w:w="1872"/>
            <w:vAlign w:val="center"/>
            <w:tcMar>
              <w:top w:w="70" w:type="dxa"/>
              <w:start w:w="90" w:type="dxa"/>
              <w:bottom w:w="70" w:type="dxa"/>
              <w:end w:w="90" w:type="dxa"/>
            </w:tcMar>
          </w:tcPr>
          <w:p>
            <w:pPr>
              <w:jc w:val="center"/>
            </w:pPr>
            <w:r>
              <w:rPr>
                <w:sz w:val="17"/>
              </w:rPr>
              <w:t>1,535</w:t>
            </w:r>
          </w:p>
        </w:tc>
        <w:tc>
          <w:tcPr>
            <w:tcW w:type="dxa" w:w="2016"/>
            <w:vAlign w:val="center"/>
            <w:tcMar>
              <w:top w:w="70" w:type="dxa"/>
              <w:start w:w="90" w:type="dxa"/>
              <w:bottom w:w="70" w:type="dxa"/>
              <w:end w:w="90" w:type="dxa"/>
            </w:tcMar>
          </w:tcPr>
          <w:p>
            <w:pPr>
              <w:jc w:val="center"/>
            </w:pPr>
            <w:r>
              <w:rPr>
                <w:sz w:val="17"/>
              </w:rPr>
              <w:t>19.48%</w:t>
            </w:r>
          </w:p>
        </w:tc>
      </w:tr>
      <w:tr>
        <w:tc>
          <w:tcPr>
            <w:tcW w:type="dxa" w:w="2880"/>
            <w:vAlign w:val="center"/>
            <w:shd w:fill="EAF2F8"/>
            <w:tcMar>
              <w:top w:w="70" w:type="dxa"/>
              <w:start w:w="90" w:type="dxa"/>
              <w:bottom w:w="70" w:type="dxa"/>
              <w:end w:w="90" w:type="dxa"/>
            </w:tcMar>
          </w:tcPr>
          <w:p>
            <w:pPr>
              <w:jc w:val="left"/>
            </w:pPr>
            <w:r>
              <w:rPr>
                <w:sz w:val="17"/>
              </w:rPr>
              <w:t>High</w:t>
            </w:r>
          </w:p>
        </w:tc>
        <w:tc>
          <w:tcPr>
            <w:tcW w:type="dxa" w:w="2016"/>
            <w:vAlign w:val="center"/>
            <w:shd w:fill="EAF2F8"/>
            <w:tcMar>
              <w:top w:w="70" w:type="dxa"/>
              <w:start w:w="90" w:type="dxa"/>
              <w:bottom w:w="70" w:type="dxa"/>
              <w:end w:w="90" w:type="dxa"/>
            </w:tcMar>
          </w:tcPr>
          <w:p>
            <w:pPr>
              <w:jc w:val="center"/>
            </w:pPr>
            <w:r>
              <w:rPr>
                <w:sz w:val="17"/>
              </w:rPr>
              <w:t>9,416</w:t>
            </w:r>
          </w:p>
        </w:tc>
        <w:tc>
          <w:tcPr>
            <w:tcW w:type="dxa" w:w="1872"/>
            <w:vAlign w:val="center"/>
            <w:shd w:fill="EAF2F8"/>
            <w:tcMar>
              <w:top w:w="70" w:type="dxa"/>
              <w:start w:w="90" w:type="dxa"/>
              <w:bottom w:w="70" w:type="dxa"/>
              <w:end w:w="90" w:type="dxa"/>
            </w:tcMar>
          </w:tcPr>
          <w:p>
            <w:pPr>
              <w:jc w:val="center"/>
            </w:pPr>
            <w:r>
              <w:rPr>
                <w:sz w:val="17"/>
              </w:rPr>
              <w:t>1,394</w:t>
            </w:r>
          </w:p>
        </w:tc>
        <w:tc>
          <w:tcPr>
            <w:tcW w:type="dxa" w:w="2016"/>
            <w:vAlign w:val="center"/>
            <w:shd w:fill="EAF2F8"/>
            <w:tcMar>
              <w:top w:w="70" w:type="dxa"/>
              <w:start w:w="90" w:type="dxa"/>
              <w:bottom w:w="70" w:type="dxa"/>
              <w:end w:w="90" w:type="dxa"/>
            </w:tcMar>
          </w:tcPr>
          <w:p>
            <w:pPr>
              <w:jc w:val="center"/>
            </w:pPr>
            <w:r>
              <w:rPr>
                <w:sz w:val="17"/>
              </w:rPr>
              <w:t>14.80%</w:t>
            </w:r>
          </w:p>
        </w:tc>
      </w:tr>
      <w:tr>
        <w:tc>
          <w:tcPr>
            <w:tcW w:type="dxa" w:w="2880"/>
            <w:vAlign w:val="center"/>
            <w:tcMar>
              <w:top w:w="70" w:type="dxa"/>
              <w:start w:w="90" w:type="dxa"/>
              <w:bottom w:w="70" w:type="dxa"/>
              <w:end w:w="90" w:type="dxa"/>
            </w:tcMar>
          </w:tcPr>
          <w:p>
            <w:pPr>
              <w:jc w:val="left"/>
            </w:pPr>
            <w:r>
              <w:rPr>
                <w:sz w:val="17"/>
              </w:rPr>
              <w:t>Very High</w:t>
            </w:r>
          </w:p>
        </w:tc>
        <w:tc>
          <w:tcPr>
            <w:tcW w:type="dxa" w:w="2016"/>
            <w:vAlign w:val="center"/>
            <w:tcMar>
              <w:top w:w="70" w:type="dxa"/>
              <w:start w:w="90" w:type="dxa"/>
              <w:bottom w:w="70" w:type="dxa"/>
              <w:end w:w="90" w:type="dxa"/>
            </w:tcMar>
          </w:tcPr>
          <w:p>
            <w:pPr>
              <w:jc w:val="center"/>
            </w:pPr>
            <w:r>
              <w:rPr>
                <w:sz w:val="17"/>
              </w:rPr>
              <w:t>206</w:t>
            </w:r>
          </w:p>
        </w:tc>
        <w:tc>
          <w:tcPr>
            <w:tcW w:type="dxa" w:w="1872"/>
            <w:vAlign w:val="center"/>
            <w:tcMar>
              <w:top w:w="70" w:type="dxa"/>
              <w:start w:w="90" w:type="dxa"/>
              <w:bottom w:w="70" w:type="dxa"/>
              <w:end w:w="90" w:type="dxa"/>
            </w:tcMar>
          </w:tcPr>
          <w:p>
            <w:pPr>
              <w:jc w:val="center"/>
            </w:pPr>
            <w:r>
              <w:rPr>
                <w:sz w:val="17"/>
              </w:rPr>
              <w:t>23</w:t>
            </w:r>
          </w:p>
        </w:tc>
        <w:tc>
          <w:tcPr>
            <w:tcW w:type="dxa" w:w="2016"/>
            <w:vAlign w:val="center"/>
            <w:tcMar>
              <w:top w:w="70" w:type="dxa"/>
              <w:start w:w="90" w:type="dxa"/>
              <w:bottom w:w="70" w:type="dxa"/>
              <w:end w:w="90" w:type="dxa"/>
            </w:tcMar>
          </w:tcPr>
          <w:p>
            <w:pPr>
              <w:jc w:val="center"/>
            </w:pPr>
            <w:r>
              <w:rPr>
                <w:sz w:val="17"/>
              </w:rPr>
              <w:t>11.17%</w:t>
            </w:r>
          </w:p>
        </w:tc>
      </w:tr>
    </w:tbl>
    <w:p>
      <w:pPr>
        <w:spacing w:after="20"/>
      </w:pPr>
    </w:p>
    <w:p>
      <w:r>
        <w:t>Observed default rates decreased across the credit-limit groups, from 31.79 percent in Very Low to 11.17 percent in Very High. This is a descriptive association and should not be used alone to approve or reject credit.</w:t>
      </w:r>
    </w:p>
    <w:p>
      <w:r>
        <w:br w:type="page"/>
      </w:r>
    </w:p>
    <w:p>
      <w:pPr>
        <w:pStyle w:val="Heading1"/>
        <w:keepNext/>
        <w:keepLines/>
      </w:pPr>
      <w:r>
        <w:t>Correlation and Outlier Strategy</w:t>
      </w:r>
    </w:p>
    <w:p>
      <w:pPr>
        <w:pStyle w:val="Heading2"/>
        <w:keepNext/>
        <w:keepLines/>
      </w:pPr>
      <w:r>
        <w:t>Correlation Analysis</w:t>
      </w:r>
    </w:p>
    <w:p>
      <w:r>
        <w:t>The heat map shows strong relationships within monthly repayment-status variables and within bill-amount variables. The strongest positive association with default was the latest repayment status PAY 0. Credit limit had a negative correlation of minus 0.154, meaning higher limits were associated with a lower observed default rate, although correlation does not prove causation.</w:t>
      </w:r>
    </w:p>
    <w:p>
      <w:pPr>
        <w:keepNext/>
        <w:jc w:val="center"/>
      </w:pPr>
      <w:r>
        <w:drawing>
          <wp:inline xmlns:a="http://schemas.openxmlformats.org/drawingml/2006/main" xmlns:pic="http://schemas.openxmlformats.org/drawingml/2006/picture">
            <wp:extent cx="5715000" cy="4759057"/>
            <wp:docPr id="9" name="Picture 9"/>
            <wp:cNvGraphicFramePr>
              <a:graphicFrameLocks noChangeAspect="1"/>
            </wp:cNvGraphicFramePr>
            <a:graphic>
              <a:graphicData uri="http://schemas.openxmlformats.org/drawingml/2006/picture">
                <pic:pic>
                  <pic:nvPicPr>
                    <pic:cNvPr id="0" name="06_correlation_heatmap.png"/>
                    <pic:cNvPicPr/>
                  </pic:nvPicPr>
                  <pic:blipFill>
                    <a:blip r:embed="rId18"/>
                    <a:stretch>
                      <a:fillRect/>
                    </a:stretch>
                  </pic:blipFill>
                  <pic:spPr>
                    <a:xfrm>
                      <a:off x="0" y="0"/>
                      <a:ext cx="5715000" cy="4759057"/>
                    </a:xfrm>
                    <a:prstGeom prst="rect"/>
                  </pic:spPr>
                </pic:pic>
              </a:graphicData>
            </a:graphic>
          </wp:inline>
        </w:drawing>
      </w:r>
    </w:p>
    <w:p>
      <w:pPr>
        <w:pStyle w:val="CaptionText"/>
        <w:jc w:val="center"/>
      </w:pPr>
      <w:r>
        <w:t>Figure 9  Correlation heat map of numerical variables</w:t>
      </w:r>
    </w:p>
    <w:p>
      <w:pPr>
        <w:pStyle w:val="Heading2"/>
        <w:keepNext/>
        <w:keepLines/>
      </w:pPr>
      <w:r>
        <w:t>Outlier Treatment</w:t>
      </w:r>
    </w:p>
    <w:p>
      <w:r>
        <w:t>The IQR method was applied to age, credit limit, six bill amounts and six payment amounts. Outliers were flagged rather than deleted because unusually high limits, bills or payments can be genuine financial behaviour. For example, 167 credit-limit observations and 272 age observations fell outside the calculated IQR limits; monthly payment outlier counts ranged from 2,598 to 2,994. Keeping flags preserves information while allowing sensitivity checks.</w:t>
      </w:r>
    </w:p>
    <w:p>
      <w:r>
        <w:br w:type="page"/>
      </w:r>
    </w:p>
    <w:p>
      <w:pPr>
        <w:pStyle w:val="Heading1"/>
        <w:keepNext/>
        <w:keepLines/>
      </w:pPr>
      <w:r>
        <w:t>Visualization Strategy</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31"/>
        <w:gridCol w:w="3331"/>
        <w:gridCol w:w="3331"/>
      </w:tblGrid>
      <w:tr>
        <w:trPr>
          <w:tblHeader w:val="true"/>
        </w:trPr>
        <w:tc>
          <w:tcPr>
            <w:tcW w:type="dxa" w:w="1944"/>
            <w:shd w:fill="1F4E78"/>
            <w:vAlign w:val="center"/>
            <w:tcMar>
              <w:top w:w="70" w:type="dxa"/>
              <w:start w:w="90" w:type="dxa"/>
              <w:bottom w:w="70" w:type="dxa"/>
              <w:end w:w="90" w:type="dxa"/>
            </w:tcMar>
          </w:tcPr>
          <w:p>
            <w:pPr>
              <w:jc w:val="center"/>
            </w:pPr>
            <w:r>
              <w:rPr>
                <w:b/>
                <w:color w:val="FFFFFF"/>
                <w:sz w:val="18"/>
              </w:rPr>
              <w:t>Visual</w:t>
            </w:r>
          </w:p>
        </w:tc>
        <w:tc>
          <w:tcPr>
            <w:tcW w:type="dxa" w:w="3456"/>
            <w:shd w:fill="1F4E78"/>
            <w:vAlign w:val="center"/>
            <w:tcMar>
              <w:top w:w="70" w:type="dxa"/>
              <w:start w:w="90" w:type="dxa"/>
              <w:bottom w:w="70" w:type="dxa"/>
              <w:end w:w="90" w:type="dxa"/>
            </w:tcMar>
          </w:tcPr>
          <w:p>
            <w:pPr>
              <w:jc w:val="center"/>
            </w:pPr>
            <w:r>
              <w:rPr>
                <w:b/>
                <w:color w:val="FFFFFF"/>
                <w:sz w:val="18"/>
              </w:rPr>
              <w:t>Use in this project</w:t>
            </w:r>
          </w:p>
        </w:tc>
        <w:tc>
          <w:tcPr>
            <w:tcW w:type="dxa" w:w="4104"/>
            <w:shd w:fill="1F4E78"/>
            <w:vAlign w:val="center"/>
            <w:tcMar>
              <w:top w:w="70" w:type="dxa"/>
              <w:start w:w="90" w:type="dxa"/>
              <w:bottom w:w="70" w:type="dxa"/>
              <w:end w:w="90" w:type="dxa"/>
            </w:tcMar>
          </w:tcPr>
          <w:p>
            <w:pPr>
              <w:jc w:val="center"/>
            </w:pPr>
            <w:r>
              <w:rPr>
                <w:b/>
                <w:color w:val="FFFFFF"/>
                <w:sz w:val="18"/>
              </w:rPr>
              <w:t>Why it is effective</w:t>
            </w:r>
          </w:p>
        </w:tc>
      </w:tr>
      <w:tr>
        <w:tc>
          <w:tcPr>
            <w:tcW w:type="dxa" w:w="1944"/>
            <w:vAlign w:val="center"/>
            <w:tcMar>
              <w:top w:w="70" w:type="dxa"/>
              <w:start w:w="90" w:type="dxa"/>
              <w:bottom w:w="70" w:type="dxa"/>
              <w:end w:w="90" w:type="dxa"/>
            </w:tcMar>
          </w:tcPr>
          <w:p>
            <w:pPr>
              <w:jc w:val="left"/>
            </w:pPr>
            <w:r>
              <w:rPr>
                <w:sz w:val="17"/>
              </w:rPr>
              <w:t>Bar chart</w:t>
            </w:r>
          </w:p>
        </w:tc>
        <w:tc>
          <w:tcPr>
            <w:tcW w:type="dxa" w:w="3456"/>
            <w:vAlign w:val="center"/>
            <w:tcMar>
              <w:top w:w="70" w:type="dxa"/>
              <w:start w:w="90" w:type="dxa"/>
              <w:bottom w:w="70" w:type="dxa"/>
              <w:end w:w="90" w:type="dxa"/>
            </w:tcMar>
          </w:tcPr>
          <w:p>
            <w:pPr>
              <w:jc w:val="center"/>
            </w:pPr>
            <w:r>
              <w:rPr>
                <w:sz w:val="17"/>
              </w:rPr>
              <w:t>Default counts and group default rates</w:t>
            </w:r>
          </w:p>
        </w:tc>
        <w:tc>
          <w:tcPr>
            <w:tcW w:type="dxa" w:w="4104"/>
            <w:vAlign w:val="center"/>
            <w:tcMar>
              <w:top w:w="70" w:type="dxa"/>
              <w:start w:w="90" w:type="dxa"/>
              <w:bottom w:w="70" w:type="dxa"/>
              <w:end w:w="90" w:type="dxa"/>
            </w:tcMar>
          </w:tcPr>
          <w:p>
            <w:pPr>
              <w:jc w:val="center"/>
            </w:pPr>
            <w:r>
              <w:rPr>
                <w:sz w:val="17"/>
              </w:rPr>
              <w:t>Makes category differences easy to compare</w:t>
            </w:r>
          </w:p>
        </w:tc>
      </w:tr>
      <w:tr>
        <w:tc>
          <w:tcPr>
            <w:tcW w:type="dxa" w:w="1944"/>
            <w:vAlign w:val="center"/>
            <w:shd w:fill="EAF2F8"/>
            <w:tcMar>
              <w:top w:w="70" w:type="dxa"/>
              <w:start w:w="90" w:type="dxa"/>
              <w:bottom w:w="70" w:type="dxa"/>
              <w:end w:w="90" w:type="dxa"/>
            </w:tcMar>
          </w:tcPr>
          <w:p>
            <w:pPr>
              <w:jc w:val="left"/>
            </w:pPr>
            <w:r>
              <w:rPr>
                <w:sz w:val="17"/>
              </w:rPr>
              <w:t>Histogram with density line</w:t>
            </w:r>
          </w:p>
        </w:tc>
        <w:tc>
          <w:tcPr>
            <w:tcW w:type="dxa" w:w="3456"/>
            <w:vAlign w:val="center"/>
            <w:shd w:fill="EAF2F8"/>
            <w:tcMar>
              <w:top w:w="70" w:type="dxa"/>
              <w:start w:w="90" w:type="dxa"/>
              <w:bottom w:w="70" w:type="dxa"/>
              <w:end w:w="90" w:type="dxa"/>
            </w:tcMar>
          </w:tcPr>
          <w:p>
            <w:pPr>
              <w:jc w:val="center"/>
            </w:pPr>
            <w:r>
              <w:rPr>
                <w:sz w:val="17"/>
              </w:rPr>
              <w:t>Age and credit-limit distributions</w:t>
            </w:r>
          </w:p>
        </w:tc>
        <w:tc>
          <w:tcPr>
            <w:tcW w:type="dxa" w:w="4104"/>
            <w:vAlign w:val="center"/>
            <w:shd w:fill="EAF2F8"/>
            <w:tcMar>
              <w:top w:w="70" w:type="dxa"/>
              <w:start w:w="90" w:type="dxa"/>
              <w:bottom w:w="70" w:type="dxa"/>
              <w:end w:w="90" w:type="dxa"/>
            </w:tcMar>
          </w:tcPr>
          <w:p>
            <w:pPr>
              <w:jc w:val="center"/>
            </w:pPr>
            <w:r>
              <w:rPr>
                <w:sz w:val="17"/>
              </w:rPr>
              <w:t>Shows shape, concentration and skewness</w:t>
            </w:r>
          </w:p>
        </w:tc>
      </w:tr>
      <w:tr>
        <w:tc>
          <w:tcPr>
            <w:tcW w:type="dxa" w:w="1944"/>
            <w:vAlign w:val="center"/>
            <w:tcMar>
              <w:top w:w="70" w:type="dxa"/>
              <w:start w:w="90" w:type="dxa"/>
              <w:bottom w:w="70" w:type="dxa"/>
              <w:end w:w="90" w:type="dxa"/>
            </w:tcMar>
          </w:tcPr>
          <w:p>
            <w:pPr>
              <w:jc w:val="left"/>
            </w:pPr>
            <w:r>
              <w:rPr>
                <w:sz w:val="17"/>
              </w:rPr>
              <w:t>Line chart</w:t>
            </w:r>
          </w:p>
        </w:tc>
        <w:tc>
          <w:tcPr>
            <w:tcW w:type="dxa" w:w="3456"/>
            <w:vAlign w:val="center"/>
            <w:tcMar>
              <w:top w:w="70" w:type="dxa"/>
              <w:start w:w="90" w:type="dxa"/>
              <w:bottom w:w="70" w:type="dxa"/>
              <w:end w:w="90" w:type="dxa"/>
            </w:tcMar>
          </w:tcPr>
          <w:p>
            <w:pPr>
              <w:jc w:val="center"/>
            </w:pPr>
            <w:r>
              <w:rPr>
                <w:sz w:val="17"/>
              </w:rPr>
              <w:t>Default rate across delayed-month count</w:t>
            </w:r>
          </w:p>
        </w:tc>
        <w:tc>
          <w:tcPr>
            <w:tcW w:type="dxa" w:w="4104"/>
            <w:vAlign w:val="center"/>
            <w:tcMar>
              <w:top w:w="70" w:type="dxa"/>
              <w:start w:w="90" w:type="dxa"/>
              <w:bottom w:w="70" w:type="dxa"/>
              <w:end w:w="90" w:type="dxa"/>
            </w:tcMar>
          </w:tcPr>
          <w:p>
            <w:pPr>
              <w:jc w:val="center"/>
            </w:pPr>
            <w:r>
              <w:rPr>
                <w:sz w:val="17"/>
              </w:rPr>
              <w:t>Communicates a clear ordered trend</w:t>
            </w:r>
          </w:p>
        </w:tc>
      </w:tr>
      <w:tr>
        <w:tc>
          <w:tcPr>
            <w:tcW w:type="dxa" w:w="1944"/>
            <w:vAlign w:val="center"/>
            <w:shd w:fill="EAF2F8"/>
            <w:tcMar>
              <w:top w:w="70" w:type="dxa"/>
              <w:start w:w="90" w:type="dxa"/>
              <w:bottom w:w="70" w:type="dxa"/>
              <w:end w:w="90" w:type="dxa"/>
            </w:tcMar>
          </w:tcPr>
          <w:p>
            <w:pPr>
              <w:jc w:val="left"/>
            </w:pPr>
            <w:r>
              <w:rPr>
                <w:sz w:val="17"/>
              </w:rPr>
              <w:t>Heat map</w:t>
            </w:r>
          </w:p>
        </w:tc>
        <w:tc>
          <w:tcPr>
            <w:tcW w:type="dxa" w:w="3456"/>
            <w:vAlign w:val="center"/>
            <w:shd w:fill="EAF2F8"/>
            <w:tcMar>
              <w:top w:w="70" w:type="dxa"/>
              <w:start w:w="90" w:type="dxa"/>
              <w:bottom w:w="70" w:type="dxa"/>
              <w:end w:w="90" w:type="dxa"/>
            </w:tcMar>
          </w:tcPr>
          <w:p>
            <w:pPr>
              <w:jc w:val="center"/>
            </w:pPr>
            <w:r>
              <w:rPr>
                <w:sz w:val="17"/>
              </w:rPr>
              <w:t>Correlation matrix</w:t>
            </w:r>
          </w:p>
        </w:tc>
        <w:tc>
          <w:tcPr>
            <w:tcW w:type="dxa" w:w="4104"/>
            <w:vAlign w:val="center"/>
            <w:shd w:fill="EAF2F8"/>
            <w:tcMar>
              <w:top w:w="70" w:type="dxa"/>
              <w:start w:w="90" w:type="dxa"/>
              <w:bottom w:w="70" w:type="dxa"/>
              <w:end w:w="90" w:type="dxa"/>
            </w:tcMar>
          </w:tcPr>
          <w:p>
            <w:pPr>
              <w:jc w:val="center"/>
            </w:pPr>
            <w:r>
              <w:rPr>
                <w:sz w:val="17"/>
              </w:rPr>
              <w:t>Summarises many pairwise relationships in one view</w:t>
            </w:r>
          </w:p>
        </w:tc>
      </w:tr>
      <w:tr>
        <w:tc>
          <w:tcPr>
            <w:tcW w:type="dxa" w:w="1944"/>
            <w:vAlign w:val="center"/>
            <w:tcMar>
              <w:top w:w="70" w:type="dxa"/>
              <w:start w:w="90" w:type="dxa"/>
              <w:bottom w:w="70" w:type="dxa"/>
              <w:end w:w="90" w:type="dxa"/>
            </w:tcMar>
          </w:tcPr>
          <w:p>
            <w:pPr>
              <w:jc w:val="left"/>
            </w:pPr>
            <w:r>
              <w:rPr>
                <w:sz w:val="17"/>
              </w:rPr>
              <w:t>Summary table</w:t>
            </w:r>
          </w:p>
        </w:tc>
        <w:tc>
          <w:tcPr>
            <w:tcW w:type="dxa" w:w="3456"/>
            <w:vAlign w:val="center"/>
            <w:tcMar>
              <w:top w:w="70" w:type="dxa"/>
              <w:start w:w="90" w:type="dxa"/>
              <w:bottom w:w="70" w:type="dxa"/>
              <w:end w:w="90" w:type="dxa"/>
            </w:tcMar>
          </w:tcPr>
          <w:p>
            <w:pPr>
              <w:jc w:val="center"/>
            </w:pPr>
            <w:r>
              <w:rPr>
                <w:sz w:val="17"/>
              </w:rPr>
              <w:t>SQL results and KPIs</w:t>
            </w:r>
          </w:p>
        </w:tc>
        <w:tc>
          <w:tcPr>
            <w:tcW w:type="dxa" w:w="4104"/>
            <w:vAlign w:val="center"/>
            <w:tcMar>
              <w:top w:w="70" w:type="dxa"/>
              <w:start w:w="90" w:type="dxa"/>
              <w:bottom w:w="70" w:type="dxa"/>
              <w:end w:w="90" w:type="dxa"/>
            </w:tcMar>
          </w:tcPr>
          <w:p>
            <w:pPr>
              <w:jc w:val="center"/>
            </w:pPr>
            <w:r>
              <w:rPr>
                <w:sz w:val="17"/>
              </w:rPr>
              <w:t>Provides exact values needed for review and decisions</w:t>
            </w:r>
          </w:p>
        </w:tc>
      </w:tr>
    </w:tbl>
    <w:p>
      <w:pPr>
        <w:spacing w:after="20"/>
      </w:pPr>
    </w:p>
    <w:p>
      <w:r>
        <w:t>Each visual answers one question and uses direct labels, readable axes and limited colours. Counts are used for population size, while percentages are used for fair comparison between unequal groups. The narrative beside each chart states the practical meaning and any sample-size caution.</w:t>
      </w:r>
    </w:p>
    <w:p>
      <w:pPr>
        <w:pStyle w:val="Heading1"/>
        <w:keepNext/>
        <w:keepLines/>
      </w:pPr>
      <w:r>
        <w:t>SQL Implementation</w:t>
      </w:r>
    </w:p>
    <w:p>
      <w:r>
        <w:t>The analysis-ready dataset was loaded into SQLite as credit_card_customers. Eleven queries were executed to calculate overall KPIs, compare demographic groups, analyse credit-limit groups, rank risk segments, review payment behaviour and list selected high-risk records. A common table expression and window ranking were also used. The SQL results matched the Python summaries, providing an independent validation layer.</w:t>
      </w:r>
    </w:p>
    <w:p>
      <w:pPr>
        <w:pStyle w:val="ListBullet"/>
        <w:spacing w:after="60"/>
      </w:pPr>
      <w:r>
        <w:t>Overall KPI query confirmed 30,000 customers and a 22.12 percent default rate.</w:t>
      </w:r>
    </w:p>
    <w:p>
      <w:pPr>
        <w:pStyle w:val="ListBullet"/>
        <w:spacing w:after="60"/>
      </w:pPr>
      <w:r>
        <w:t>Credit-limit analysis found default rates of 31.79 percent for Very Low limits and 11.17 percent for Very High limits.</w:t>
      </w:r>
    </w:p>
    <w:p>
      <w:pPr>
        <w:pStyle w:val="ListBullet"/>
        <w:spacing w:after="60"/>
      </w:pPr>
      <w:r>
        <w:t>Risk ranking placed High Risk first at 46.94 percent, Medium Risk second at 24.38 percent and Low Risk third at 10.89 percent.</w:t>
      </w:r>
    </w:p>
    <w:p>
      <w:pPr>
        <w:pStyle w:val="ListBullet"/>
        <w:spacing w:after="60"/>
      </w:pPr>
      <w:r>
        <w:t>Payment-behaviour SQL confirmed lower payments and more delayed months among default customers.</w:t>
      </w:r>
    </w:p>
    <w:p>
      <w:r>
        <w:br w:type="page"/>
      </w:r>
    </w:p>
    <w:p>
      <w:pPr>
        <w:pStyle w:val="Heading1"/>
        <w:keepNext/>
        <w:keepLines/>
      </w:pPr>
      <w:r>
        <w:t>Business Insights and Recommendations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31"/>
        <w:gridCol w:w="3331"/>
        <w:gridCol w:w="3331"/>
      </w:tblGrid>
      <w:tr>
        <w:trPr>
          <w:tblHeader w:val="true"/>
        </w:trPr>
        <w:tc>
          <w:tcPr>
            <w:tcW w:type="dxa" w:w="3024"/>
            <w:shd w:fill="1F4E78"/>
            <w:vAlign w:val="center"/>
            <w:tcMar>
              <w:top w:w="70" w:type="dxa"/>
              <w:start w:w="90" w:type="dxa"/>
              <w:bottom w:w="70" w:type="dxa"/>
              <w:end w:w="90" w:type="dxa"/>
            </w:tcMar>
          </w:tcPr>
          <w:p>
            <w:pPr>
              <w:jc w:val="center"/>
            </w:pPr>
            <w:r>
              <w:rPr>
                <w:b/>
                <w:color w:val="FFFFFF"/>
                <w:sz w:val="18"/>
              </w:rPr>
              <w:t>Evidence</w:t>
            </w:r>
          </w:p>
        </w:tc>
        <w:tc>
          <w:tcPr>
            <w:tcW w:type="dxa" w:w="3024"/>
            <w:shd w:fill="1F4E78"/>
            <w:vAlign w:val="center"/>
            <w:tcMar>
              <w:top w:w="70" w:type="dxa"/>
              <w:start w:w="90" w:type="dxa"/>
              <w:bottom w:w="70" w:type="dxa"/>
              <w:end w:w="90" w:type="dxa"/>
            </w:tcMar>
          </w:tcPr>
          <w:p>
            <w:pPr>
              <w:jc w:val="center"/>
            </w:pPr>
            <w:r>
              <w:rPr>
                <w:b/>
                <w:color w:val="FFFFFF"/>
                <w:sz w:val="18"/>
              </w:rPr>
              <w:t>Interpretation</w:t>
            </w:r>
          </w:p>
        </w:tc>
        <w:tc>
          <w:tcPr>
            <w:tcW w:type="dxa" w:w="3600"/>
            <w:shd w:fill="1F4E78"/>
            <w:vAlign w:val="center"/>
            <w:tcMar>
              <w:top w:w="70" w:type="dxa"/>
              <w:start w:w="90" w:type="dxa"/>
              <w:bottom w:w="70" w:type="dxa"/>
              <w:end w:w="90" w:type="dxa"/>
            </w:tcMar>
          </w:tcPr>
          <w:p>
            <w:pPr>
              <w:jc w:val="center"/>
            </w:pPr>
            <w:r>
              <w:rPr>
                <w:b/>
                <w:color w:val="FFFFFF"/>
                <w:sz w:val="18"/>
              </w:rPr>
              <w:t>Recommended use</w:t>
            </w:r>
          </w:p>
        </w:tc>
      </w:tr>
      <w:tr>
        <w:tc>
          <w:tcPr>
            <w:tcW w:type="dxa" w:w="3024"/>
            <w:vAlign w:val="center"/>
            <w:tcMar>
              <w:top w:w="70" w:type="dxa"/>
              <w:start w:w="90" w:type="dxa"/>
              <w:bottom w:w="70" w:type="dxa"/>
              <w:end w:w="90" w:type="dxa"/>
            </w:tcMar>
          </w:tcPr>
          <w:p>
            <w:pPr>
              <w:jc w:val="left"/>
            </w:pPr>
            <w:r>
              <w:rPr>
                <w:sz w:val="17"/>
              </w:rPr>
              <w:t>Default rate rises from 11.71% to 70.32% as delayed months rise from 0 to 6</w:t>
            </w:r>
          </w:p>
        </w:tc>
        <w:tc>
          <w:tcPr>
            <w:tcW w:type="dxa" w:w="3024"/>
            <w:vAlign w:val="center"/>
            <w:tcMar>
              <w:top w:w="70" w:type="dxa"/>
              <w:start w:w="90" w:type="dxa"/>
              <w:bottom w:w="70" w:type="dxa"/>
              <w:end w:w="90" w:type="dxa"/>
            </w:tcMar>
          </w:tcPr>
          <w:p>
            <w:pPr>
              <w:jc w:val="center"/>
            </w:pPr>
            <w:r>
              <w:rPr>
                <w:sz w:val="17"/>
              </w:rPr>
              <w:t>Repeated delay is the clearest warning signal</w:t>
            </w:r>
          </w:p>
        </w:tc>
        <w:tc>
          <w:tcPr>
            <w:tcW w:type="dxa" w:w="3600"/>
            <w:vAlign w:val="center"/>
            <w:tcMar>
              <w:top w:w="70" w:type="dxa"/>
              <w:start w:w="90" w:type="dxa"/>
              <w:bottom w:w="70" w:type="dxa"/>
              <w:end w:w="90" w:type="dxa"/>
            </w:tcMar>
          </w:tcPr>
          <w:p>
            <w:pPr>
              <w:jc w:val="center"/>
            </w:pPr>
            <w:r>
              <w:rPr>
                <w:sz w:val="17"/>
              </w:rPr>
              <w:t>Create early reminders after the first delay and escalate repeated delays</w:t>
            </w:r>
          </w:p>
        </w:tc>
      </w:tr>
      <w:tr>
        <w:tc>
          <w:tcPr>
            <w:tcW w:type="dxa" w:w="3024"/>
            <w:vAlign w:val="center"/>
            <w:shd w:fill="EAF2F8"/>
            <w:tcMar>
              <w:top w:w="70" w:type="dxa"/>
              <w:start w:w="90" w:type="dxa"/>
              <w:bottom w:w="70" w:type="dxa"/>
              <w:end w:w="90" w:type="dxa"/>
            </w:tcMar>
          </w:tcPr>
          <w:p>
            <w:pPr>
              <w:jc w:val="left"/>
            </w:pPr>
            <w:r>
              <w:rPr>
                <w:sz w:val="17"/>
              </w:rPr>
              <w:t>High Risk segment default rate is 46.94%</w:t>
            </w:r>
          </w:p>
        </w:tc>
        <w:tc>
          <w:tcPr>
            <w:tcW w:type="dxa" w:w="3024"/>
            <w:vAlign w:val="center"/>
            <w:shd w:fill="EAF2F8"/>
            <w:tcMar>
              <w:top w:w="70" w:type="dxa"/>
              <w:start w:w="90" w:type="dxa"/>
              <w:bottom w:w="70" w:type="dxa"/>
              <w:end w:w="90" w:type="dxa"/>
            </w:tcMar>
          </w:tcPr>
          <w:p>
            <w:pPr>
              <w:jc w:val="center"/>
            </w:pPr>
            <w:r>
              <w:rPr>
                <w:sz w:val="17"/>
              </w:rPr>
              <w:t>Rule-based segmentation separates risk meaningfully</w:t>
            </w:r>
          </w:p>
        </w:tc>
        <w:tc>
          <w:tcPr>
            <w:tcW w:type="dxa" w:w="3600"/>
            <w:vAlign w:val="center"/>
            <w:shd w:fill="EAF2F8"/>
            <w:tcMar>
              <w:top w:w="70" w:type="dxa"/>
              <w:start w:w="90" w:type="dxa"/>
              <w:bottom w:w="70" w:type="dxa"/>
              <w:end w:w="90" w:type="dxa"/>
            </w:tcMar>
          </w:tcPr>
          <w:p>
            <w:pPr>
              <w:jc w:val="center"/>
            </w:pPr>
            <w:r>
              <w:rPr>
                <w:sz w:val="17"/>
              </w:rPr>
              <w:t>Use the segment for review priority, not automatic rejection</w:t>
            </w:r>
          </w:p>
        </w:tc>
      </w:tr>
      <w:tr>
        <w:tc>
          <w:tcPr>
            <w:tcW w:type="dxa" w:w="3024"/>
            <w:vAlign w:val="center"/>
            <w:tcMar>
              <w:top w:w="70" w:type="dxa"/>
              <w:start w:w="90" w:type="dxa"/>
              <w:bottom w:w="70" w:type="dxa"/>
              <w:end w:w="90" w:type="dxa"/>
            </w:tcMar>
          </w:tcPr>
          <w:p>
            <w:pPr>
              <w:jc w:val="left"/>
            </w:pPr>
            <w:r>
              <w:rPr>
                <w:sz w:val="17"/>
              </w:rPr>
              <w:t>Very Low credit-limit group defaults at 31.79%</w:t>
            </w:r>
          </w:p>
        </w:tc>
        <w:tc>
          <w:tcPr>
            <w:tcW w:type="dxa" w:w="3024"/>
            <w:vAlign w:val="center"/>
            <w:tcMar>
              <w:top w:w="70" w:type="dxa"/>
              <w:start w:w="90" w:type="dxa"/>
              <w:bottom w:w="70" w:type="dxa"/>
              <w:end w:w="90" w:type="dxa"/>
            </w:tcMar>
          </w:tcPr>
          <w:p>
            <w:pPr>
              <w:jc w:val="center"/>
            </w:pPr>
            <w:r>
              <w:rPr>
                <w:sz w:val="17"/>
              </w:rPr>
              <w:t>Lower-limit customers show higher observed risk</w:t>
            </w:r>
          </w:p>
        </w:tc>
        <w:tc>
          <w:tcPr>
            <w:tcW w:type="dxa" w:w="3600"/>
            <w:vAlign w:val="center"/>
            <w:tcMar>
              <w:top w:w="70" w:type="dxa"/>
              <w:start w:w="90" w:type="dxa"/>
              <w:bottom w:w="70" w:type="dxa"/>
              <w:end w:w="90" w:type="dxa"/>
            </w:tcMar>
          </w:tcPr>
          <w:p>
            <w:pPr>
              <w:jc w:val="center"/>
            </w:pPr>
            <w:r>
              <w:rPr>
                <w:sz w:val="17"/>
              </w:rPr>
              <w:t>Offer suitable repayment support and monitor affordability</w:t>
            </w:r>
          </w:p>
        </w:tc>
      </w:tr>
      <w:tr>
        <w:tc>
          <w:tcPr>
            <w:tcW w:type="dxa" w:w="3024"/>
            <w:vAlign w:val="center"/>
            <w:shd w:fill="EAF2F8"/>
            <w:tcMar>
              <w:top w:w="70" w:type="dxa"/>
              <w:start w:w="90" w:type="dxa"/>
              <w:bottom w:w="70" w:type="dxa"/>
              <w:end w:w="90" w:type="dxa"/>
            </w:tcMar>
          </w:tcPr>
          <w:p>
            <w:pPr>
              <w:jc w:val="left"/>
            </w:pPr>
            <w:r>
              <w:rPr>
                <w:sz w:val="17"/>
              </w:rPr>
              <w:t>Default customers pay 3,328 on average versus 5,828 for non-defaults</w:t>
            </w:r>
          </w:p>
        </w:tc>
        <w:tc>
          <w:tcPr>
            <w:tcW w:type="dxa" w:w="3024"/>
            <w:vAlign w:val="center"/>
            <w:shd w:fill="EAF2F8"/>
            <w:tcMar>
              <w:top w:w="70" w:type="dxa"/>
              <w:start w:w="90" w:type="dxa"/>
              <w:bottom w:w="70" w:type="dxa"/>
              <w:end w:w="90" w:type="dxa"/>
            </w:tcMar>
          </w:tcPr>
          <w:p>
            <w:pPr>
              <w:jc w:val="center"/>
            </w:pPr>
            <w:r>
              <w:rPr>
                <w:sz w:val="17"/>
              </w:rPr>
              <w:t>Payment capacity or behaviour differs before default</w:t>
            </w:r>
          </w:p>
        </w:tc>
        <w:tc>
          <w:tcPr>
            <w:tcW w:type="dxa" w:w="3600"/>
            <w:vAlign w:val="center"/>
            <w:shd w:fill="EAF2F8"/>
            <w:tcMar>
              <w:top w:w="70" w:type="dxa"/>
              <w:start w:w="90" w:type="dxa"/>
              <w:bottom w:w="70" w:type="dxa"/>
              <w:end w:w="90" w:type="dxa"/>
            </w:tcMar>
          </w:tcPr>
          <w:p>
            <w:pPr>
              <w:jc w:val="center"/>
            </w:pPr>
            <w:r>
              <w:rPr>
                <w:sz w:val="17"/>
              </w:rPr>
              <w:t>Track payment-to-bill ratio and falling payment amounts</w:t>
            </w:r>
          </w:p>
        </w:tc>
      </w:tr>
      <w:tr>
        <w:tc>
          <w:tcPr>
            <w:tcW w:type="dxa" w:w="3024"/>
            <w:vAlign w:val="center"/>
            <w:tcMar>
              <w:top w:w="70" w:type="dxa"/>
              <w:start w:w="90" w:type="dxa"/>
              <w:bottom w:w="70" w:type="dxa"/>
              <w:end w:w="90" w:type="dxa"/>
            </w:tcMar>
          </w:tcPr>
          <w:p>
            <w:pPr>
              <w:jc w:val="left"/>
            </w:pPr>
            <w:r>
              <w:rPr>
                <w:sz w:val="17"/>
              </w:rPr>
              <w:t>Male default rate is 24.17% versus 20.78% for females</w:t>
            </w:r>
          </w:p>
        </w:tc>
        <w:tc>
          <w:tcPr>
            <w:tcW w:type="dxa" w:w="3024"/>
            <w:vAlign w:val="center"/>
            <w:tcMar>
              <w:top w:w="70" w:type="dxa"/>
              <w:start w:w="90" w:type="dxa"/>
              <w:bottom w:w="70" w:type="dxa"/>
              <w:end w:w="90" w:type="dxa"/>
            </w:tcMar>
          </w:tcPr>
          <w:p>
            <w:pPr>
              <w:jc w:val="center"/>
            </w:pPr>
            <w:r>
              <w:rPr>
                <w:sz w:val="17"/>
              </w:rPr>
              <w:t>A demographic difference exists in this sample</w:t>
            </w:r>
          </w:p>
        </w:tc>
        <w:tc>
          <w:tcPr>
            <w:tcW w:type="dxa" w:w="3600"/>
            <w:vAlign w:val="center"/>
            <w:tcMar>
              <w:top w:w="70" w:type="dxa"/>
              <w:start w:w="90" w:type="dxa"/>
              <w:bottom w:w="70" w:type="dxa"/>
              <w:end w:w="90" w:type="dxa"/>
            </w:tcMar>
          </w:tcPr>
          <w:p>
            <w:pPr>
              <w:jc w:val="center"/>
            </w:pPr>
            <w:r>
              <w:rPr>
                <w:sz w:val="17"/>
              </w:rPr>
              <w:t>Report the pattern but avoid discriminatory decisions</w:t>
            </w:r>
          </w:p>
        </w:tc>
      </w:tr>
    </w:tbl>
    <w:p>
      <w:pPr>
        <w:spacing w:after="20"/>
      </w:pPr>
    </w:p>
    <w:p>
      <w:pPr>
        <w:pStyle w:val="Heading1"/>
        <w:keepNext/>
        <w:keepLines/>
      </w:pPr>
      <w:r>
        <w:t>Risk Mitigation and Data Governance</w:t>
      </w:r>
    </w:p>
    <w:p>
      <w:pPr>
        <w:pStyle w:val="ListBullet"/>
        <w:spacing w:after="60"/>
      </w:pPr>
      <w:r>
        <w:t>Preserve the original file and perform transformations on a separate copy.</w:t>
      </w:r>
    </w:p>
    <w:p>
      <w:pPr>
        <w:pStyle w:val="ListBullet"/>
        <w:spacing w:after="60"/>
      </w:pPr>
      <w:r>
        <w:t>Document category consolidation, derived formulas and risk-segment rules.</w:t>
      </w:r>
    </w:p>
    <w:p>
      <w:pPr>
        <w:pStyle w:val="ListBullet"/>
        <w:spacing w:after="60"/>
      </w:pPr>
      <w:r>
        <w:t>Keep outlier flags instead of silently deleting genuine high-value records.</w:t>
      </w:r>
    </w:p>
    <w:p>
      <w:pPr>
        <w:pStyle w:val="ListBullet"/>
        <w:spacing w:after="60"/>
      </w:pPr>
      <w:r>
        <w:t>Do not expose customer-level identifiers in public charts or reports.</w:t>
      </w:r>
    </w:p>
    <w:p>
      <w:pPr>
        <w:pStyle w:val="ListBullet"/>
        <w:spacing w:after="60"/>
      </w:pPr>
      <w:r>
        <w:t>Use demographic variables for fairness monitoring, not automatic adverse decisions.</w:t>
      </w:r>
    </w:p>
    <w:p>
      <w:pPr>
        <w:pStyle w:val="ListBullet"/>
        <w:spacing w:after="60"/>
      </w:pPr>
      <w:r>
        <w:t>Validate totals between Python, SQL and Excel before submission or operational use.</w:t>
      </w:r>
    </w:p>
    <w:p>
      <w:pPr>
        <w:pStyle w:val="ListBullet"/>
        <w:spacing w:after="60"/>
      </w:pPr>
      <w:r>
        <w:t>Review segment thresholds periodically because behaviour and portfolios can change.</w:t>
      </w:r>
    </w:p>
    <w:p>
      <w:pPr>
        <w:pStyle w:val="Heading1"/>
        <w:keepNext/>
        <w:keepLines/>
      </w:pPr>
      <w:r>
        <w:t>Limitations</w:t>
      </w:r>
    </w:p>
    <w:p>
      <w:r>
        <w:t>The dataset represents a historical credit-card population from Taiwan and may not reflect current customers, products or regulations in another market. The analysis is observational, so correlations should not be treated as causes. Small categories, especially the 65 plus and Others groups, produce less stable percentages. The engineered risk segment is an explanatory rule and has not been calibrated or validated as a predictive model.</w:t>
      </w:r>
    </w:p>
    <w:p>
      <w:r>
        <w:br w:type="page"/>
      </w:r>
    </w:p>
    <w:p>
      <w:pPr>
        <w:pStyle w:val="Heading1"/>
        <w:keepNext/>
        <w:keepLines/>
      </w:pPr>
      <w:r>
        <w:t>Conclusion</w:t>
      </w:r>
    </w:p>
    <w:p>
      <w:r>
        <w:t>The project demonstrates a complete and reproducible EDA process using Python, SQL and Excel. The strongest result is the consistent rise in default risk with repeated payment delays. The final dataset, charts, SQL database and query workbook provide a practical base for further modelling or business review. For the present task, the evidence supports early intervention, transparent segmentation and careful governance rather than automatic decisions.</w:t>
      </w:r>
    </w:p>
    <w:p>
      <w:pPr>
        <w:pStyle w:val="Heading2"/>
        <w:keepNext/>
        <w:keepLines/>
      </w:pPr>
      <w:r>
        <w:t>Deliverables Produced</w:t>
      </w:r>
    </w:p>
    <w:p>
      <w:pPr>
        <w:pStyle w:val="ListBullet"/>
        <w:spacing w:after="60"/>
      </w:pPr>
      <w:r>
        <w:t>Google Colab notebook containing the Python workflow</w:t>
      </w:r>
    </w:p>
    <w:p>
      <w:pPr>
        <w:pStyle w:val="ListBullet"/>
        <w:spacing w:after="60"/>
      </w:pPr>
      <w:r>
        <w:t>Analysis-ready CSV and Excel datasets</w:t>
      </w:r>
    </w:p>
    <w:p>
      <w:pPr>
        <w:pStyle w:val="ListBullet"/>
        <w:spacing w:after="60"/>
      </w:pPr>
      <w:r>
        <w:t>Nine PNG visualizations</w:t>
      </w:r>
    </w:p>
    <w:p>
      <w:pPr>
        <w:pStyle w:val="ListBullet"/>
        <w:spacing w:after="60"/>
      </w:pPr>
      <w:r>
        <w:t>SQLite database and eleven SQL queries</w:t>
      </w:r>
    </w:p>
    <w:p>
      <w:pPr>
        <w:pStyle w:val="ListBullet"/>
        <w:spacing w:after="60"/>
      </w:pPr>
      <w:r>
        <w:t>Excel workbook containing SQL analysis outputs</w:t>
      </w:r>
    </w:p>
    <w:p>
      <w:pPr>
        <w:pStyle w:val="ListBullet"/>
        <w:spacing w:after="60"/>
      </w:pPr>
      <w:r>
        <w:t>This Week 3 report</w:t>
      </w:r>
    </w:p>
    <w:sectPr w:rsidR="00FC693F" w:rsidRPr="0006063C" w:rsidSect="00034616">
      <w:footerReference w:type="default" r:id="rId9"/>
      <w:pgSz w:w="12240" w:h="15840"/>
      <w:pgMar w:top="1037"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A5A5A"/>
        <w:sz w:val="18"/>
      </w:rP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Aptos" w:hAnsi="Aptos"/>
      <w:color w:val="1E1E1E"/>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Aptos Display" w:hAnsi="Aptos Display"/>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Display" w:hAnsi="Aptos Display"/>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Display" w:hAnsi="Aptos Display"/>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80" w:line="240" w:lineRule="auto" w:before="0"/>
      <w:contextualSpacing/>
    </w:pPr>
    <w:rPr>
      <w:rFonts w:asciiTheme="majorHAnsi" w:eastAsiaTheme="majorEastAsia" w:hAnsiTheme="majorHAnsi" w:cstheme="majorBidi" w:ascii="Aptos Display" w:hAnsi="Aptos Display"/>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Text">
    <w:name w:val="Caption Text"/>
    <w:pPr>
      <w:keepNext w:val="0"/>
      <w:spacing w:before="60" w:after="180"/>
    </w:pPr>
    <w:rPr>
      <w:rFonts w:ascii="Aptos" w:hAnsi="Aptos"/>
      <w:i/>
      <w:color w:val="464646"/>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Exploratory Data Analysis and Visualization Strategy</dc:title>
  <dc:subject>Yuva Intern Week 3 Credit Card Default Risk Analysis</dc:subject>
  <dc:creator>Tanmay Pandey</dc:creator>
  <cp:keywords/>
  <dc:description>generated by python-docx</dc:description>
  <cp:lastModifiedBy/>
  <cp:revision>1</cp:revision>
  <dcterms:created xsi:type="dcterms:W3CDTF">2013-12-23T23:15:00Z</dcterms:created>
  <dcterms:modified xsi:type="dcterms:W3CDTF">2013-12-23T23:15:00Z</dcterms:modified>
  <cp:category/>
</cp:coreProperties>
</file>