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318" w:rsidRDefault="00E86318" w:rsidP="00414B1E">
      <w:pPr>
        <w:shd w:val="clear" w:color="auto" w:fill="FFFFFF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Didn’t get this implemented but we got some functions that we planned to use to calculate heading from subsequent (</w:t>
      </w:r>
      <w:proofErr w:type="spellStart"/>
      <w:r>
        <w:rPr>
          <w:rFonts w:ascii="Arial" w:eastAsia="Times New Roman" w:hAnsi="Arial" w:cs="Arial"/>
          <w:bCs/>
          <w:color w:val="222222"/>
        </w:rPr>
        <w:t>Lat,Long</w:t>
      </w:r>
      <w:proofErr w:type="spellEnd"/>
      <w:r>
        <w:rPr>
          <w:rFonts w:ascii="Arial" w:eastAsia="Times New Roman" w:hAnsi="Arial" w:cs="Arial"/>
          <w:bCs/>
          <w:color w:val="222222"/>
        </w:rPr>
        <w:t>) positions for each vessel in the data set and then calculate the angle difference between the headings of each ship in our possible COLREG interaction</w:t>
      </w:r>
      <w:bookmarkStart w:id="0" w:name="_GoBack"/>
      <w:bookmarkEnd w:id="0"/>
    </w:p>
    <w:p w:rsidR="00E86318" w:rsidRPr="00E86318" w:rsidRDefault="00E86318" w:rsidP="00414B1E">
      <w:pPr>
        <w:shd w:val="clear" w:color="auto" w:fill="FFFFFF"/>
        <w:rPr>
          <w:rFonts w:ascii="Arial" w:eastAsia="Times New Roman" w:hAnsi="Arial" w:cs="Arial"/>
          <w:bCs/>
          <w:color w:val="222222"/>
        </w:rPr>
      </w:pP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14B1E">
        <w:rPr>
          <w:rFonts w:ascii="Arial" w:eastAsia="Times New Roman" w:hAnsi="Arial" w:cs="Arial"/>
          <w:b/>
          <w:bCs/>
          <w:color w:val="222222"/>
          <w:sz w:val="36"/>
          <w:szCs w:val="36"/>
        </w:rPr>
        <w:t>Using 4 input variables (lon1, lat1, lon2, lat2)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14B1E">
        <w:rPr>
          <w:rFonts w:ascii="Arial" w:eastAsia="Times New Roman" w:hAnsi="Arial" w:cs="Arial"/>
          <w:color w:val="222222"/>
        </w:rPr>
        <w:t> 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 xml:space="preserve">from math import radians, cos, sin, </w:t>
      </w:r>
      <w:proofErr w:type="spell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asin</w:t>
      </w:r>
      <w:proofErr w:type="spellEnd"/>
      <w:r w:rsidRPr="00414B1E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sqrt</w:t>
      </w:r>
      <w:proofErr w:type="spellEnd"/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def</w:t>
      </w:r>
      <w:proofErr w:type="spellEnd"/>
      <w:r w:rsidRPr="00414B1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haversine</w:t>
      </w:r>
      <w:proofErr w:type="spellEnd"/>
      <w:r w:rsidRPr="00414B1E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414B1E">
        <w:rPr>
          <w:rFonts w:ascii="Arial" w:eastAsia="Times New Roman" w:hAnsi="Arial" w:cs="Arial"/>
          <w:color w:val="222222"/>
          <w:sz w:val="20"/>
          <w:szCs w:val="20"/>
        </w:rPr>
        <w:t>lon1, lat1, lon2, lat2):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   """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   Calculate the great circle distance between two points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   on the earth (specified in decimal degrees)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   """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   # convert decimal degrees to radians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 xml:space="preserve">    lon1, lat1, lon2, lat2 = </w:t>
      </w:r>
      <w:proofErr w:type="gram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map(</w:t>
      </w:r>
      <w:proofErr w:type="gramEnd"/>
      <w:r w:rsidRPr="00414B1E">
        <w:rPr>
          <w:rFonts w:ascii="Arial" w:eastAsia="Times New Roman" w:hAnsi="Arial" w:cs="Arial"/>
          <w:color w:val="222222"/>
          <w:sz w:val="20"/>
          <w:szCs w:val="20"/>
        </w:rPr>
        <w:t>radians, [lon1, lat1, lon2, lat2])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 xml:space="preserve">    # </w:t>
      </w:r>
      <w:proofErr w:type="spell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haversine</w:t>
      </w:r>
      <w:proofErr w:type="spellEnd"/>
      <w:r w:rsidRPr="00414B1E">
        <w:rPr>
          <w:rFonts w:ascii="Arial" w:eastAsia="Times New Roman" w:hAnsi="Arial" w:cs="Arial"/>
          <w:color w:val="222222"/>
          <w:sz w:val="20"/>
          <w:szCs w:val="20"/>
        </w:rPr>
        <w:t xml:space="preserve"> formula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   </w:t>
      </w:r>
      <w:proofErr w:type="spell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dlon</w:t>
      </w:r>
      <w:proofErr w:type="spellEnd"/>
      <w:r w:rsidRPr="00414B1E">
        <w:rPr>
          <w:rFonts w:ascii="Arial" w:eastAsia="Times New Roman" w:hAnsi="Arial" w:cs="Arial"/>
          <w:color w:val="222222"/>
          <w:sz w:val="20"/>
          <w:szCs w:val="20"/>
        </w:rPr>
        <w:t xml:space="preserve"> = lon2 - lon1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   </w:t>
      </w:r>
      <w:proofErr w:type="spell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dlat</w:t>
      </w:r>
      <w:proofErr w:type="spellEnd"/>
      <w:r w:rsidRPr="00414B1E">
        <w:rPr>
          <w:rFonts w:ascii="Arial" w:eastAsia="Times New Roman" w:hAnsi="Arial" w:cs="Arial"/>
          <w:color w:val="222222"/>
          <w:sz w:val="20"/>
          <w:szCs w:val="20"/>
        </w:rPr>
        <w:t xml:space="preserve"> = lat2 - lat1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   a = sin(</w:t>
      </w:r>
      <w:proofErr w:type="spell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dlat</w:t>
      </w:r>
      <w:proofErr w:type="spellEnd"/>
      <w:r w:rsidRPr="00414B1E"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gram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2)*</w:t>
      </w:r>
      <w:proofErr w:type="gramEnd"/>
      <w:r w:rsidRPr="00414B1E">
        <w:rPr>
          <w:rFonts w:ascii="Arial" w:eastAsia="Times New Roman" w:hAnsi="Arial" w:cs="Arial"/>
          <w:color w:val="222222"/>
          <w:sz w:val="20"/>
          <w:szCs w:val="20"/>
        </w:rPr>
        <w:t>*2 + cos(lat1) * cos(lat2) * sin(</w:t>
      </w:r>
      <w:proofErr w:type="spell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dlon</w:t>
      </w:r>
      <w:proofErr w:type="spellEnd"/>
      <w:r w:rsidRPr="00414B1E">
        <w:rPr>
          <w:rFonts w:ascii="Arial" w:eastAsia="Times New Roman" w:hAnsi="Arial" w:cs="Arial"/>
          <w:color w:val="222222"/>
          <w:sz w:val="20"/>
          <w:szCs w:val="20"/>
        </w:rPr>
        <w:t>/2)**2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 xml:space="preserve">    c = 2 * </w:t>
      </w:r>
      <w:proofErr w:type="spell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asin</w:t>
      </w:r>
      <w:proofErr w:type="spellEnd"/>
      <w:r w:rsidRPr="00414B1E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414B1E">
        <w:rPr>
          <w:rFonts w:ascii="Arial" w:eastAsia="Times New Roman" w:hAnsi="Arial" w:cs="Arial"/>
          <w:color w:val="222222"/>
          <w:sz w:val="20"/>
          <w:szCs w:val="20"/>
        </w:rPr>
        <w:t>sqrt</w:t>
      </w:r>
      <w:proofErr w:type="spellEnd"/>
      <w:r w:rsidRPr="00414B1E">
        <w:rPr>
          <w:rFonts w:ascii="Arial" w:eastAsia="Times New Roman" w:hAnsi="Arial" w:cs="Arial"/>
          <w:color w:val="222222"/>
          <w:sz w:val="20"/>
          <w:szCs w:val="20"/>
        </w:rPr>
        <w:t>(a))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   r = 6371 # Radius of earth in kilometers. Use 3956 for miles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14B1E">
        <w:rPr>
          <w:rFonts w:ascii="Arial" w:eastAsia="Times New Roman" w:hAnsi="Arial" w:cs="Arial"/>
          <w:color w:val="222222"/>
          <w:sz w:val="20"/>
          <w:szCs w:val="20"/>
        </w:rPr>
        <w:t>    return c * r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14B1E">
        <w:rPr>
          <w:rFonts w:ascii="Arial" w:eastAsia="Times New Roman" w:hAnsi="Arial" w:cs="Arial"/>
          <w:color w:val="222222"/>
        </w:rPr>
        <w:t> 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14B1E">
        <w:rPr>
          <w:rFonts w:ascii="Arial" w:eastAsia="Times New Roman" w:hAnsi="Arial" w:cs="Arial"/>
          <w:b/>
          <w:bCs/>
          <w:color w:val="222222"/>
          <w:sz w:val="32"/>
          <w:szCs w:val="32"/>
        </w:rPr>
        <w:t>Bearing with two input variables (</w:t>
      </w:r>
      <w:proofErr w:type="spellStart"/>
      <w:r w:rsidRPr="00414B1E">
        <w:rPr>
          <w:rFonts w:ascii="Arial" w:eastAsia="Times New Roman" w:hAnsi="Arial" w:cs="Arial"/>
          <w:b/>
          <w:bCs/>
          <w:color w:val="222222"/>
          <w:sz w:val="32"/>
          <w:szCs w:val="32"/>
        </w:rPr>
        <w:t>pointA</w:t>
      </w:r>
      <w:proofErr w:type="spellEnd"/>
      <w:r w:rsidRPr="00414B1E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, </w:t>
      </w:r>
      <w:proofErr w:type="spellStart"/>
      <w:r w:rsidRPr="00414B1E">
        <w:rPr>
          <w:rFonts w:ascii="Arial" w:eastAsia="Times New Roman" w:hAnsi="Arial" w:cs="Arial"/>
          <w:b/>
          <w:bCs/>
          <w:color w:val="222222"/>
          <w:sz w:val="32"/>
          <w:szCs w:val="32"/>
        </w:rPr>
        <w:t>pointB</w:t>
      </w:r>
      <w:proofErr w:type="spellEnd"/>
      <w:r w:rsidRPr="00414B1E">
        <w:rPr>
          <w:rFonts w:ascii="Arial" w:eastAsia="Times New Roman" w:hAnsi="Arial" w:cs="Arial"/>
          <w:b/>
          <w:bCs/>
          <w:color w:val="222222"/>
          <w:sz w:val="32"/>
          <w:szCs w:val="32"/>
        </w:rPr>
        <w:t>).</w:t>
      </w:r>
    </w:p>
    <w:p w:rsidR="00414B1E" w:rsidRPr="00414B1E" w:rsidRDefault="00414B1E" w:rsidP="00414B1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14B1E">
        <w:rPr>
          <w:rFonts w:ascii="Arial" w:eastAsia="Times New Roman" w:hAnsi="Arial" w:cs="Arial"/>
          <w:color w:val="222222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9"/>
        <w:gridCol w:w="5281"/>
      </w:tblGrid>
      <w:tr w:rsidR="00414B1E" w:rsidRPr="00414B1E" w:rsidTr="00414B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proofErr w:type="spellStart"/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r w:rsidRPr="00414B1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calculate_initial_compass_</w:t>
            </w:r>
            <w:proofErr w:type="gramStart"/>
            <w:r w:rsidRPr="00414B1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bearing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pointA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pointB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 </w:t>
            </w: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"""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    Calculates the bearing between two points.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    The formulae used is the following: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        θ = atan2(sin(</w:t>
            </w:r>
            <w:proofErr w:type="spellStart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Δlong</w:t>
            </w:r>
            <w:proofErr w:type="spellEnd"/>
            <w:proofErr w:type="gramStart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).cos</w:t>
            </w:r>
            <w:proofErr w:type="gramEnd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(lat2),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                  cos(lat1</w:t>
            </w:r>
            <w:proofErr w:type="gramStart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).sin</w:t>
            </w:r>
            <w:proofErr w:type="gramEnd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(lat2) − sin(lat1).cos(lat2).cos(</w:t>
            </w:r>
            <w:proofErr w:type="spellStart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Δlong</w:t>
            </w:r>
            <w:proofErr w:type="spellEnd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))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    </w:t>
            </w:r>
            <w:proofErr w:type="gramStart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:Parameters</w:t>
            </w:r>
            <w:proofErr w:type="gramEnd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      - `</w:t>
            </w:r>
            <w:proofErr w:type="spellStart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pointA</w:t>
            </w:r>
            <w:proofErr w:type="spellEnd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 The tuple representing the latitude/longitude for the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        first point. Latitude and longitude must be in decimal degrees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      - `</w:t>
            </w:r>
            <w:proofErr w:type="spellStart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pointB</w:t>
            </w:r>
            <w:proofErr w:type="spellEnd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 The tuple representing the latitude/longitude for the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        second point. Latitude and longitude must be in decimal degrees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    </w:t>
            </w:r>
            <w:proofErr w:type="gramStart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:Returns</w:t>
            </w:r>
            <w:proofErr w:type="gramEnd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      The bearing in degrees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    </w:t>
            </w:r>
            <w:proofErr w:type="gramStart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:Returns</w:t>
            </w:r>
            <w:proofErr w:type="gramEnd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Type: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      float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    """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(</w:t>
            </w:r>
            <w:r w:rsidRPr="00414B1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type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pointA</w:t>
            </w:r>
            <w:proofErr w:type="spellEnd"/>
            <w:proofErr w:type="gram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</w:t>
            </w:r>
            <w:proofErr w:type="gramEnd"/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r w:rsidRPr="00414B1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tuple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or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(</w:t>
            </w:r>
            <w:r w:rsidRPr="00414B1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type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pointB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r w:rsidRPr="00414B1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tuple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    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raise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proofErr w:type="gramStart"/>
            <w:r w:rsidRPr="00414B1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TypeError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14B1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"Only tuples are supported as arguments"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 lat1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proofErr w:type="gram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math.radians</w:t>
            </w:r>
            <w:proofErr w:type="spellEnd"/>
            <w:proofErr w:type="gram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pointA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14B1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 lat2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proofErr w:type="gram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math.radians</w:t>
            </w:r>
            <w:proofErr w:type="spellEnd"/>
            <w:proofErr w:type="gram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pointB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14B1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    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diffLong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proofErr w:type="gram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math.radians</w:t>
            </w:r>
            <w:proofErr w:type="spellEnd"/>
            <w:proofErr w:type="gram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pointB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14B1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pointA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14B1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 x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math.sin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diffLong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math.cos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(lat2)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 y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math.cos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(lat1)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math.sin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(lat2)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(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math.sin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(lat1)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        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math.cos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(lat2)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math.cos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diffLong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    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initial_bearing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gram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math.atan</w:t>
            </w:r>
            <w:proofErr w:type="gram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2(x, y)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 </w:t>
            </w:r>
            <w:r w:rsidRPr="00414B1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Now we have the initial bearing but </w:t>
            </w:r>
            <w:proofErr w:type="gramStart"/>
            <w:r w:rsidRPr="00414B1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math.atan</w:t>
            </w:r>
            <w:proofErr w:type="gramEnd"/>
            <w:r w:rsidRPr="00414B1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2 return values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 </w:t>
            </w:r>
            <w:r w:rsidRPr="00414B1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from -180° to + 180° which is not what we want for a compass bearing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 </w:t>
            </w:r>
            <w:r w:rsidRPr="00414B1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The solution is to normalize the initial bearing as shown below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    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initial_bearing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proofErr w:type="gram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math.degrees</w:t>
            </w:r>
            <w:proofErr w:type="spellEnd"/>
            <w:proofErr w:type="gram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initial_bearing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    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compass_bearing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(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initial_bearing</w:t>
            </w:r>
            <w:proofErr w:type="spellEnd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r w:rsidRPr="00414B1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360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r w:rsidRPr="00414B1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360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</w:p>
        </w:tc>
      </w:tr>
      <w:tr w:rsidR="00414B1E" w:rsidRPr="00414B1E" w:rsidTr="00414B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rPr>
                <w:rFonts w:ascii="Helvetica" w:eastAsia="Times New Roman" w:hAnsi="Helvetica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4B1E" w:rsidRPr="00414B1E" w:rsidRDefault="00414B1E" w:rsidP="00414B1E">
            <w:pPr>
              <w:spacing w:line="300" w:lineRule="atLeast"/>
              <w:rPr>
                <w:rFonts w:ascii="Helvetica" w:eastAsia="Times New Roman" w:hAnsi="Helvetica" w:cs="Arial"/>
                <w:color w:val="222222"/>
              </w:rPr>
            </w:pP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   </w:t>
            </w:r>
            <w:r w:rsidRPr="00414B1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 </w:t>
            </w:r>
            <w:proofErr w:type="spellStart"/>
            <w:r w:rsidRPr="00414B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compass_bearing</w:t>
            </w:r>
            <w:proofErr w:type="spellEnd"/>
          </w:p>
        </w:tc>
      </w:tr>
    </w:tbl>
    <w:p w:rsidR="00414B1E" w:rsidRPr="00414B1E" w:rsidRDefault="00414B1E" w:rsidP="00414B1E">
      <w:pPr>
        <w:rPr>
          <w:rFonts w:ascii="Times New Roman" w:eastAsia="Times New Roman" w:hAnsi="Times New Roman" w:cs="Times New Roman"/>
        </w:rPr>
      </w:pPr>
    </w:p>
    <w:p w:rsidR="0090153F" w:rsidRDefault="00E86318"/>
    <w:sectPr w:rsidR="0090153F" w:rsidSect="00E4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1E"/>
    <w:rsid w:val="00414B1E"/>
    <w:rsid w:val="00C023D0"/>
    <w:rsid w:val="00E4737C"/>
    <w:rsid w:val="00E8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15C92"/>
  <w15:chartTrackingRefBased/>
  <w15:docId w15:val="{714EE9E3-B36F-EF4C-B83B-9CDC592D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David Coon</dc:creator>
  <cp:keywords/>
  <dc:description/>
  <cp:lastModifiedBy>Tanner David Coon</cp:lastModifiedBy>
  <cp:revision>2</cp:revision>
  <dcterms:created xsi:type="dcterms:W3CDTF">2018-09-23T20:00:00Z</dcterms:created>
  <dcterms:modified xsi:type="dcterms:W3CDTF">2018-09-23T20:04:00Z</dcterms:modified>
</cp:coreProperties>
</file>