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Done: 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Done: 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Done: 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 xml:space="preserve">Done: </w:t>
      </w:r>
      <w:r>
        <w:rPr>
          <w:b/>
        </w:rPr>
        <w:t>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TODO: Also, please make sure the supplementary materials are truly necessary. Reviewer #1 had a comment questioning the usefulness of some of the supplementary materials.</w:t>
      </w:r>
      <w:r>
        <w:rPr/>
        <w:t xml:space="preserve"> </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Done: 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Done: 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b/>
          <w:b/>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Done: 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Done</w:t>
      </w:r>
      <w:r>
        <w:rPr>
          <w:b/>
        </w:rPr>
        <w:t>: 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Forthcoming work from our group follows up on these inter-speaker similarities in factors of vocal tract shaping. </w:t>
      </w:r>
    </w:p>
    <w:p>
      <w:pPr>
        <w:pStyle w:val="ListParagraph"/>
        <w:numPr>
          <w:ilvl w:val="0"/>
          <w:numId w:val="1"/>
        </w:numPr>
        <w:rPr/>
      </w:pPr>
      <w:r>
        <w:rPr>
          <w:b/>
        </w:rPr>
        <w:t xml:space="preserve">Done: </w:t>
      </w:r>
      <w:r>
        <w:rPr>
          <w:b/>
        </w:rPr>
        <w:t>How does the assumption of linearity in the guided PCA approach affect the results?</w:t>
      </w:r>
    </w:p>
    <w:p>
      <w:pPr>
        <w:pStyle w:val="ListParagraph"/>
        <w:rPr>
          <w:b w:val="false"/>
          <w:b w:val="false"/>
          <w:bCs w:val="false"/>
        </w:rPr>
      </w:pPr>
      <w:r>
        <w:rPr>
          <w:b w:val="false"/>
          <w:bCs w:val="false"/>
        </w:rPr>
        <w:t xml:space="preserve">The revised manuscript quantifies the percent variance explained by each factor as a measure of model performance (cf. Fig. 4). </w:t>
      </w:r>
    </w:p>
    <w:p>
      <w:pPr>
        <w:pStyle w:val="ListParagraph"/>
        <w:numPr>
          <w:ilvl w:val="0"/>
          <w:numId w:val="1"/>
        </w:numPr>
        <w:rPr/>
      </w:pPr>
      <w:r>
        <w:rPr>
          <w:b/>
        </w:rPr>
        <w:t xml:space="preserve">Done: </w:t>
      </w: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Done: 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Done: 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Done: 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The revised manuscript adds the following sentence for explanation after the quoted text: “This may be due to the hinge-like motion of the jaw, whose rotational motion generates greater displacement in the anterior part vocal tract than in the posterior part of the vocal tract.”</w:t>
      </w:r>
    </w:p>
    <w:p>
      <w:pPr>
        <w:pStyle w:val="ListParagraph"/>
        <w:numPr>
          <w:ilvl w:val="0"/>
          <w:numId w:val="1"/>
        </w:numPr>
        <w:rPr/>
      </w:pPr>
      <w:r>
        <w:rPr>
          <w:b/>
        </w:rPr>
        <w:t>Done: 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Done: 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Done: 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(TODO: give line numbers for first mention of the following: constriction degree; articulatory modeling; direct and differential kinematics; articulator synergy biomarker).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Done: 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Done: 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Done: 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Done: 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Done: 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Done: 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TODO: 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 xml:space="preserve">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w:t>
      </w:r>
      <w:r>
        <w:rPr/>
        <w:t>The revised manuscript includes an explanation of</w:t>
      </w:r>
      <w:r>
        <w:rPr/>
        <w:t xml:space="preserve"> this in the discussion section.</w:t>
      </w:r>
    </w:p>
    <w:p>
      <w:pPr>
        <w:pStyle w:val="ListParagraph"/>
        <w:numPr>
          <w:ilvl w:val="0"/>
          <w:numId w:val="1"/>
        </w:numPr>
        <w:rPr/>
      </w:pPr>
      <w:r>
        <w:rPr>
          <w:b/>
        </w:rPr>
        <w:t>Done</w:t>
      </w:r>
      <w:r>
        <w:rPr>
          <w:b/>
        </w:rPr>
        <w:t>: 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w:t>
      </w:r>
      <w:r>
        <w:rPr/>
        <w:t>(see above response)</w:t>
      </w:r>
      <w:r>
        <w:rPr/>
        <w:t xml:space="preserve">. </w:t>
      </w:r>
    </w:p>
    <w:p>
      <w:pPr>
        <w:pStyle w:val="ListParagraph"/>
        <w:numPr>
          <w:ilvl w:val="0"/>
          <w:numId w:val="1"/>
        </w:numPr>
        <w:rPr/>
      </w:pPr>
      <w:r>
        <w:rPr>
          <w:b/>
        </w:rPr>
        <w:t>Done: 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Done: 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Done: 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present study tested whether synergies with different places of articulation (bilabial closure, alveolar closure, palatal approximation, velar closure, and pharyngeal approximation) differed in terms of inter-articulator coordination.” The conclusion now includes the modified sentence, “The analysis showed that articulator synergies vary for the following gestures: bilabial closure, alveolar closure, palatal approximation, velar closure, and pharyngeal approximation and also vary by speaker.”</w:t>
      </w:r>
    </w:p>
    <w:p>
      <w:pPr>
        <w:pStyle w:val="ListParagraph"/>
        <w:numPr>
          <w:ilvl w:val="0"/>
          <w:numId w:val="1"/>
        </w:numPr>
        <w:rPr/>
      </w:pPr>
      <w:r>
        <w:rPr>
          <w:b/>
        </w:rPr>
        <w:t>Done</w:t>
      </w:r>
      <w:r>
        <w:rPr>
          <w:b/>
        </w:rPr>
        <w:t>: 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rPr/>
      </w:pPr>
      <w:r>
        <w:rPr/>
        <w:t>The revised manuscript now addresses this in the discussion section.</w:t>
      </w:r>
    </w:p>
    <w:p>
      <w:pPr>
        <w:pStyle w:val="ListParagraph"/>
        <w:numPr>
          <w:ilvl w:val="0"/>
          <w:numId w:val="1"/>
        </w:numPr>
        <w:rPr/>
      </w:pPr>
      <w:r>
        <w:rPr>
          <w:b/>
        </w:rPr>
        <w:t xml:space="preserve">Done: </w:t>
      </w: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b w:val="false"/>
          <w:b w:val="false"/>
          <w:bCs w:val="false"/>
        </w:rPr>
      </w:pPr>
      <w:r>
        <w:rPr>
          <w:b w:val="false"/>
          <w:bCs w:val="false"/>
        </w:rPr>
        <w:t>We agree that this was poorly worded. The revised text is simplified to convey only the essential point.</w:t>
      </w:r>
    </w:p>
    <w:p>
      <w:pPr>
        <w:pStyle w:val="ListParagraph"/>
        <w:numPr>
          <w:ilvl w:val="0"/>
          <w:numId w:val="1"/>
        </w:numPr>
        <w:rPr/>
      </w:pPr>
      <w:r>
        <w:rPr>
          <w:b/>
        </w:rPr>
        <w:t xml:space="preserve">Done: </w:t>
      </w: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b w:val="false"/>
          <w:b w:val="false"/>
          <w:bCs w:val="false"/>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b w:val="false"/>
          <w:b w:val="false"/>
          <w:bCs w:val="false"/>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b w:val="false"/>
          <w:b w:val="false"/>
          <w:bCs w:val="false"/>
        </w:rPr>
      </w:pPr>
      <w:r>
        <w:rPr>
          <w:b w:val="false"/>
          <w:bCs w:val="false"/>
        </w:rPr>
        <w:t xml:space="preserve">It may be that the velum is influenced by the jaw </w:t>
      </w:r>
      <w:r>
        <w:rPr>
          <w:b w:val="false"/>
          <w:bCs w:val="false"/>
        </w:rPr>
        <w:t>too</w:t>
      </w:r>
      <w:r>
        <w:rPr>
          <w:b w:val="false"/>
          <w:bCs w:val="false"/>
        </w:rPr>
        <w:t xml:space="preserve">. We consider </w:t>
      </w:r>
      <w:r>
        <w:rPr>
          <w:b w:val="false"/>
          <w:bCs w:val="false"/>
        </w:rPr>
        <w:t>it an</w:t>
      </w:r>
      <w:r>
        <w:rPr>
          <w:b w:val="false"/>
          <w:bCs w:val="false"/>
        </w:rPr>
        <w:t xml:space="preserve"> open research question </w:t>
      </w:r>
      <w:r>
        <w:rPr>
          <w:b w:val="false"/>
          <w:bCs w:val="false"/>
        </w:rPr>
        <w:t>how much of the jaw-upper lip and jaw-velum correlation</w:t>
      </w:r>
      <w:r>
        <w:rPr>
          <w:b w:val="false"/>
          <w:bCs w:val="false"/>
        </w:rPr>
        <w:t xml:space="preserve">s </w:t>
      </w:r>
      <w:r>
        <w:rPr>
          <w:b w:val="false"/>
          <w:bCs w:val="false"/>
        </w:rPr>
        <w:t>are actually biomechanical and how much are due to motor control. However, it would be somewhat beyond the scope of the present paper to investigate this explicitly, and we would prefer to leave this for future research.</w:t>
      </w:r>
    </w:p>
    <w:p>
      <w:pPr>
        <w:pStyle w:val="ListParagraph"/>
        <w:numPr>
          <w:ilvl w:val="0"/>
          <w:numId w:val="1"/>
        </w:numPr>
        <w:rPr/>
      </w:pPr>
      <w:r>
        <w:rPr>
          <w:b/>
        </w:rPr>
        <w:t xml:space="preserve">Done: </w:t>
      </w:r>
      <w:r>
        <w:rPr>
          <w:b/>
        </w:rPr>
        <w:t>Finally, it would be very useful to conclude section IV with a comparison of the performances of the Guided Factor Analysis used and more standard Guided PCA.</w:t>
      </w:r>
    </w:p>
    <w:p>
      <w:pPr>
        <w:pStyle w:val="ListParagraph"/>
        <w:numPr>
          <w:ilvl w:val="0"/>
          <w:numId w:val="0"/>
        </w:numPr>
        <w:ind w:left="1440" w:right="0" w:hanging="0"/>
        <w:rPr>
          <w:b w:val="false"/>
          <w:b w:val="false"/>
          <w:bCs w:val="false"/>
        </w:rPr>
      </w:pPr>
      <w:r>
        <w:rPr>
          <w:b w:val="false"/>
          <w:bCs w:val="false"/>
        </w:rPr>
        <w:t xml:space="preserve">The revised manuscript includes a discussion of how guided factor analysis differs from standard guided PCA. As we discuss in that section, the differences are very subtle. Given that we do not consider the technique very different from the various other techniques used, we question whether a quantitative comparison would provide  the reader with insight into a substantive issue. </w:t>
      </w:r>
    </w:p>
    <w:p>
      <w:pPr>
        <w:pStyle w:val="ListParagraph"/>
        <w:numPr>
          <w:ilvl w:val="0"/>
          <w:numId w:val="1"/>
        </w:numPr>
        <w:rPr/>
      </w:pPr>
      <w:r>
        <w:rPr>
          <w:b/>
        </w:rPr>
        <w:t xml:space="preserve">Done: </w:t>
      </w:r>
      <w:r>
        <w:rPr>
          <w:b/>
        </w:rPr>
        <w:t>It would be useful to mention more explicitly in section IV.A which organs are really modelled (jaw, tongue, velum, lips?).</w:t>
      </w:r>
    </w:p>
    <w:p>
      <w:pPr>
        <w:pStyle w:val="ListParagraph"/>
        <w:numPr>
          <w:ilvl w:val="0"/>
          <w:numId w:val="0"/>
        </w:numPr>
        <w:ind w:left="1440" w:right="0" w:hanging="0"/>
        <w:rPr>
          <w:b w:val="false"/>
          <w:b w:val="false"/>
          <w:bCs w:val="false"/>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 xml:space="preserve">Done: </w:t>
      </w:r>
      <w:r>
        <w:rPr>
          <w:b/>
        </w:rPr>
        <w:t>Are the three degrees of freedom expected for a solid object in 2D enough to represent the jaw variance?</w:t>
      </w:r>
    </w:p>
    <w:p>
      <w:pPr>
        <w:pStyle w:val="ListParagraph"/>
        <w:numPr>
          <w:ilvl w:val="0"/>
          <w:numId w:val="0"/>
        </w:numPr>
        <w:ind w:left="1440" w:right="0" w:hanging="0"/>
        <w:rPr>
          <w:b w:val="false"/>
          <w:b w:val="false"/>
          <w:bCs w:val="false"/>
        </w:rPr>
      </w:pPr>
      <w:r>
        <w:rPr>
          <w:b w:val="false"/>
          <w:bCs w:val="false"/>
        </w:rPr>
        <w:t>The revised manuscript quantifies the percent variance explained by each jaw factor (cf. Fig. 4, panel a).</w:t>
      </w:r>
    </w:p>
    <w:p>
      <w:pPr>
        <w:pStyle w:val="ListParagraph"/>
        <w:numPr>
          <w:ilvl w:val="0"/>
          <w:numId w:val="1"/>
        </w:numPr>
        <w:rPr>
          <w:b/>
          <w:b/>
        </w:rPr>
      </w:pPr>
      <w:r>
        <w:rPr>
          <w:b/>
        </w:rPr>
        <w:t>Done: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Done: 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Done: 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Done: 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Done: 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 xml:space="preserve">Done: </w:t>
      </w: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b w:val="false"/>
          <w:b w:val="false"/>
          <w:bCs w:val="false"/>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 xml:space="preserve">TODO: </w:t>
      </w: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1"/>
        </w:numPr>
        <w:rPr>
          <w:b/>
          <w:b/>
        </w:rPr>
      </w:pPr>
      <w:r>
        <w:rPr>
          <w:b/>
        </w:rPr>
        <w:t>Done: 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Done: 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Done: 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Done: 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Done: Line 548: Please, correct to “sensitivity”.</w:t>
      </w:r>
      <w:r>
        <w:rPr/>
        <w:t xml:space="preserve"> Done</w:t>
      </w:r>
    </w:p>
    <w:p>
      <w:pPr>
        <w:pStyle w:val="ListParagraph"/>
        <w:numPr>
          <w:ilvl w:val="0"/>
          <w:numId w:val="1"/>
        </w:numPr>
        <w:rPr/>
      </w:pPr>
      <w:r>
        <w:rPr>
          <w:b/>
        </w:rPr>
        <w:t xml:space="preserve">Done: </w:t>
      </w:r>
      <w:r>
        <w:rPr>
          <w:b/>
        </w:rPr>
        <w:t xml:space="preserve">Figure 4. The tick marks on the right Y-axis are hardly visible. </w:t>
      </w:r>
    </w:p>
    <w:p>
      <w:pPr>
        <w:pStyle w:val="ListParagraph"/>
        <w:numPr>
          <w:ilvl w:val="0"/>
          <w:numId w:val="0"/>
        </w:numPr>
        <w:ind w:left="1440" w:right="0" w:hanging="0"/>
        <w:rPr>
          <w:b w:val="false"/>
          <w:b w:val="false"/>
          <w:bCs w:val="false"/>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 xml:space="preserve">Done: </w:t>
      </w:r>
      <w:r>
        <w:rPr>
          <w:b/>
        </w:rPr>
        <w:t>Figure 6. Lines and symbols are too thin to be neatly visible.</w:t>
      </w:r>
    </w:p>
    <w:p>
      <w:pPr>
        <w:pStyle w:val="ListParagraph"/>
        <w:numPr>
          <w:ilvl w:val="0"/>
          <w:numId w:val="0"/>
        </w:numPr>
        <w:ind w:left="1440" w:right="0" w:hanging="0"/>
        <w:rPr>
          <w:b w:val="false"/>
          <w:b w:val="false"/>
          <w:bCs w:val="false"/>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Done: 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Done: 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 xml:space="preserve">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w:t>
      </w:r>
    </w:p>
    <w:p>
      <w:pPr>
        <w:pStyle w:val="ListParagraph"/>
        <w:numPr>
          <w:ilvl w:val="0"/>
          <w:numId w:val="3"/>
        </w:numPr>
        <w:rPr>
          <w:b/>
          <w:b/>
        </w:rPr>
      </w:pPr>
      <w:r>
        <w:rPr>
          <w:b/>
        </w:rPr>
        <w:t>Done: 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 xml:space="preserve">Done: </w:t>
      </w: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w:t>
      </w:r>
      <w:r>
        <w:rPr/>
        <w:t xml:space="preserve"> tagged MRI </w:t>
      </w:r>
      <w:r>
        <w:rPr/>
        <w:t>may</w:t>
      </w:r>
      <w:r>
        <w:rPr/>
        <w:t xml:space="preserve"> be use</w:t>
      </w:r>
      <w:r>
        <w:rPr/>
        <w:t>ful</w:t>
      </w:r>
      <w:r>
        <w:rPr/>
        <w:t xml:space="preserve"> </w:t>
      </w:r>
      <w:r>
        <w:rPr/>
        <w:t>for</w:t>
      </w:r>
      <w:r>
        <w:rPr/>
        <w:t xml:space="preserve"> extract</w:t>
      </w:r>
      <w:r>
        <w:rPr/>
        <w:t>ing</w:t>
      </w:r>
      <w:r>
        <w:rPr/>
        <w:t xml:space="preserve">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Done: 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Done: 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Normal"/>
        <w:rPr>
          <w:b/>
          <w:b/>
        </w:rPr>
      </w:pPr>
      <w:r>
        <w:rPr>
          <w:b/>
        </w:rPr>
      </w:r>
    </w:p>
    <w:p>
      <w:pPr>
        <w:pStyle w:val="ListParagraph"/>
        <w:numPr>
          <w:ilvl w:val="0"/>
          <w:numId w:val="1"/>
        </w:numPr>
        <w:rPr/>
      </w:pPr>
      <w:r>
        <w:rPr>
          <w:b/>
        </w:rPr>
        <w:t>Done: 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 xml:space="preserve">TODO: </w:t>
      </w:r>
      <w:r>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r>
        <w:rPr>
          <w:b/>
        </w:rPr>
        <w:t xml:space="preserve">Done: </w:t>
      </w: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 xml:space="preserve">Done: </w:t>
      </w: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 xml:space="preserve">Done: </w:t>
      </w: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 xml:space="preserve">Done: </w:t>
      </w:r>
      <w:r>
        <w:rPr>
          <w:b/>
        </w:rPr>
        <w:t>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Done: </w:t>
      </w:r>
      <w:r>
        <w:rPr>
          <w:b/>
        </w:rPr>
        <w:t xml:space="preserve">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 xml:space="preserve">Done: </w:t>
      </w: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 xml:space="preserve">The typo “neighborhood” has been corrected to “neighborhood”. The individual tick marks have been removed and an average over all speakers replaces them. The </w:t>
      </w:r>
      <w:r>
        <w:rPr/>
        <w:t xml:space="preserve">revised manuscript still uses </w:t>
      </w:r>
      <w:r>
        <w:rPr/>
        <w:t xml:space="preserve">2.4mm </w:t>
      </w:r>
      <w:r>
        <w:rPr/>
        <w:t>as the upper limit on all the graphs because it is a convenient value to keep them all on the same scale.</w:t>
      </w:r>
    </w:p>
    <w:p>
      <w:pPr>
        <w:pStyle w:val="ListParagraph"/>
        <w:numPr>
          <w:ilvl w:val="0"/>
          <w:numId w:val="1"/>
        </w:numPr>
        <w:rPr/>
      </w:pPr>
      <w:r>
        <w:rPr>
          <w:b/>
        </w:rPr>
        <w:t xml:space="preserve">Done: </w:t>
      </w:r>
      <w:r>
        <w:rPr>
          <w:b/>
        </w:rPr>
        <w:t>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kinsoku w:val="true"/>
      <w:overflowPunct w:val="true"/>
      <w:autoSpaceDE w:val="true"/>
      <w:bidi w:val="0"/>
      <w:jc w:val="left"/>
    </w:pPr>
    <w:rPr>
      <w:rFonts w:ascii="Times New Roman" w:hAnsi="Times New Roman" w:cs="Times New Roman" w:eastAsia="Calibri"/>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894</TotalTime>
  <Application>LibreOffice/5.1.6.2$Linux_X86_64 LibreOffice_project/10m0$Build-2</Application>
  <Pages>16</Pages>
  <Words>7395</Words>
  <Characters>40423</Characters>
  <CharactersWithSpaces>47631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2018-09-24T19:20:45Z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