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page 16, equation 13. what does the plus sign (+) mean?</w:t>
      </w:r>
      <w:r>
        <w:rPr/>
        <w:t xml:space="preserve"> </w:t>
      </w:r>
    </w:p>
    <w:p>
      <w:pPr>
        <w:pStyle w:val="ListParagraph"/>
        <w:ind w:left="1440" w:hanging="0"/>
        <w:rPr/>
      </w:pPr>
      <w:r>
        <w:rPr/>
        <w:t>The plus sign denotes the Moore-Penrose pseudoinverse. The revised manuscript includes the sentence “Superscript ``+’’ denotes the Moore-Penrose pseudoinverse” after Equation 13</w:t>
      </w:r>
      <w:r>
        <w:rPr>
          <w:b/>
        </w:rPr>
        <w:t>.</w:t>
      </w:r>
    </w:p>
    <w:p>
      <w:pPr>
        <w:pStyle w:val="ListParagraph"/>
        <w:numPr>
          <w:ilvl w:val="0"/>
          <w:numId w:val="1"/>
        </w:numPr>
        <w:rPr/>
      </w:pPr>
      <w:r>
        <w:rPr>
          <w:b/>
        </w:rPr>
        <w:t>line 429, 'velar and pharyngeal', do you mean 'pharyngeal'?</w:t>
      </w:r>
      <w:r>
        <w:rPr/>
        <w:t xml:space="preserve"> </w:t>
      </w:r>
    </w:p>
    <w:p>
      <w:pPr>
        <w:pStyle w:val="ListParagraph"/>
        <w:ind w:left="1440" w:hanging="0"/>
        <w:rPr/>
      </w:pPr>
      <w:r>
        <w:rPr/>
        <w:t>The biomarker values at the bilabial and palatal places did not significantly differ from those at the velar place (p=0.19, p=0.061) or from those at the pharyngeal place (p=0.96, p=0.5). See Table I. The quoted statement is correct. It is not amended in the revised manuscript.</w:t>
      </w:r>
    </w:p>
    <w:p>
      <w:pPr>
        <w:pStyle w:val="ListParagraph"/>
        <w:numPr>
          <w:ilvl w:val="0"/>
          <w:numId w:val="1"/>
        </w:numPr>
        <w:rPr/>
      </w:pPr>
      <w:r>
        <w:rPr>
          <w:b/>
        </w:rPr>
        <w:t>Figure 5. I might have missed it, but figure 5 does not seem to be referred to in the text.</w:t>
      </w:r>
      <w:r>
        <w:rPr/>
        <w:t xml:space="preserve"> </w:t>
      </w:r>
    </w:p>
    <w:p>
      <w:pPr>
        <w:pStyle w:val="ListParagraph"/>
        <w:ind w:left="1440" w:hanging="0"/>
        <w:rPr/>
      </w:pPr>
      <w:r>
        <w:rPr/>
        <w:t xml:space="preserve">The revised manuscript uses Fig. 5 (now Fig. 6) to explain Equation 26. </w:t>
      </w:r>
    </w:p>
    <w:p>
      <w:pPr>
        <w:pStyle w:val="ListParagraph"/>
        <w:numPr>
          <w:ilvl w:val="0"/>
          <w:numId w:val="1"/>
        </w:numPr>
        <w:rPr/>
      </w:pPr>
      <w:r>
        <w:rPr>
          <w:b/>
        </w:rPr>
        <w:t>I noticed that no separate files were submitted for the figures included in the manuscript. If this is the case, please include such figure files in your resubmission.</w:t>
      </w:r>
      <w:r>
        <w:rPr/>
        <w:t xml:space="preserve"> </w:t>
      </w:r>
    </w:p>
    <w:p>
      <w:pPr>
        <w:pStyle w:val="ListParagraph"/>
        <w:ind w:left="1440" w:hanging="0"/>
        <w:rPr/>
      </w:pPr>
      <w:r>
        <w:rPr/>
        <w:t>The revised submission includes each figure as a separate file.</w:t>
      </w:r>
    </w:p>
    <w:p>
      <w:pPr>
        <w:pStyle w:val="ListParagraph"/>
        <w:numPr>
          <w:ilvl w:val="0"/>
          <w:numId w:val="1"/>
        </w:numPr>
        <w:rPr/>
      </w:pPr>
      <w:r>
        <w:rPr>
          <w:b/>
        </w:rPr>
        <w:t xml:space="preserve">Also, please make sure the supplementary materials are truly necessary. </w:t>
      </w:r>
    </w:p>
    <w:p>
      <w:pPr>
        <w:pStyle w:val="ListParagraph"/>
        <w:ind w:left="1440" w:hanging="0"/>
        <w:rPr/>
      </w:pPr>
      <w:r>
        <w:rPr/>
        <w:t>The revised manuscript removed the following supplementary materials: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to the readers. The study retains Supplementary Materials #1, #5, and #6, which are now labeled Supplementary Materials #1, #2, and #3.</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has been revised to include this. See lines 16-19 of the revised manuscript.</w:t>
      </w:r>
    </w:p>
    <w:p>
      <w:pPr>
        <w:pStyle w:val="ListParagraph"/>
        <w:numPr>
          <w:ilvl w:val="0"/>
          <w:numId w:val="2"/>
        </w:numPr>
        <w:rPr/>
      </w:pPr>
      <w:r>
        <w:rPr>
          <w:b/>
        </w:rPr>
        <w:t xml:space="preserve">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w:t>
      </w:r>
    </w:p>
    <w:p>
      <w:pPr>
        <w:pStyle w:val="ListParagraph"/>
        <w:rPr/>
      </w:pPr>
      <w:r>
        <w:rPr/>
        <w:t xml:space="preserve">The articulator synergy biomarker involves two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task variables at the phonetic places of articulation. Both involve a reduction of dimensionality (i.e.,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q</m:t>
        </m:r>
        <m:r>
          <w:rPr>
            <w:rFonts w:ascii="Cambria Math" w:hAnsi="Cambria Math"/>
          </w:rPr>
          <m:t xml:space="preserve">&gt;</m:t>
        </m:r>
        <m:r>
          <w:rPr>
            <w:rFonts w:ascii="Cambria Math" w:hAnsi="Cambria Math"/>
          </w:rPr>
          <m:t xml:space="preserve">m</m:t>
        </m:r>
      </m:oMath>
      <w:r>
        <w:rPr/>
        <w:t>).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task variables (i.e., the reduction in dimensionality performed by the forward kinematic map) is scientifically meaningful. It is a reduction of dimensionality from the articulator degrees of freedom to the constriction task variables. This mapping is the forward kinematic map. It allows the articulator synergy biomarker to characterize how a multidimensional set of jaw, tongue, and lip factors influences the time-evolution of a unidimensional constriction task variable. Section VIII.D. of the revised manuscript addresses the connection between the proposed model and the nervous system.</w:t>
      </w:r>
    </w:p>
    <w:p>
      <w:pPr>
        <w:pStyle w:val="ListParagraph"/>
        <w:rPr/>
      </w:pPr>
      <w:r>
        <w:rPr>
          <w:b/>
        </w:rPr>
        <w:t>The definition should relate quantities obtained from real-time MRI to parameters of the task dynamics model of speech production.</w:t>
      </w:r>
      <w:r>
        <w:rPr/>
        <w:t xml:space="preserve"> </w:t>
      </w:r>
    </w:p>
    <w:p>
      <w:pPr>
        <w:pStyle w:val="ListParagraph"/>
        <w:rPr/>
      </w:pPr>
      <w:r>
        <w:rPr/>
        <w:t>Fig. 7, panel a, of the revised manuscript is a graph of the articulator synergy biomarker as a function of the jaw weight parameter from the Task Dynamics model of speech production. Section VIII.C. discusses parametric estimation for the Task Dynamics model.</w:t>
      </w:r>
    </w:p>
    <w:p>
      <w:pPr>
        <w:pStyle w:val="Normal"/>
        <w:rPr/>
      </w:pPr>
      <w:r>
        <w:rPr/>
      </w:r>
    </w:p>
    <w:p>
      <w:pPr>
        <w:pStyle w:val="Normal"/>
        <w:rPr/>
      </w:pPr>
      <w:r>
        <w:rPr/>
        <w:t>Links to top-down and bottom-up approaches to the study of motor synergies:</w:t>
      </w:r>
    </w:p>
    <w:p>
      <w:pPr>
        <w:pStyle w:val="ListParagraph"/>
        <w:numPr>
          <w:ilvl w:val="0"/>
          <w:numId w:val="1"/>
        </w:numPr>
        <w:rPr/>
      </w:pPr>
      <w:r>
        <w:rPr>
          <w:b/>
        </w:rPr>
        <w:t>How is the proposed biomarker related to the uncontrolled manifold approach?</w:t>
      </w:r>
    </w:p>
    <w:p>
      <w:pPr>
        <w:pStyle w:val="ListParagraph"/>
        <w:rPr/>
      </w:pPr>
      <w:r>
        <w:rPr/>
        <w:t>Section VIII.D. of the revised manuscript now addresses a connection to the uncontrolled manifold approach.</w:t>
      </w:r>
    </w:p>
    <w:p>
      <w:pPr>
        <w:pStyle w:val="ListParagraph"/>
        <w:numPr>
          <w:ilvl w:val="0"/>
          <w:numId w:val="1"/>
        </w:numPr>
        <w:rPr/>
      </w:pPr>
      <w:r>
        <w:rPr>
          <w:b/>
        </w:rPr>
        <w:t>How is the proposed biomarker related to bottom-up methods of describing synergies?</w:t>
      </w:r>
    </w:p>
    <w:p>
      <w:pPr>
        <w:pStyle w:val="ListParagraph"/>
        <w:rPr/>
      </w:pPr>
      <w:r>
        <w:rPr/>
        <w:t xml:space="preserve">The technique of Lancia &amp; Rosenbaum (2018) is a method for obtaining temporal information about the coupling of articulators. The technique of Jackson and Singampalli (2009) is a method for obtaining correlations of articulator positions over time.This temporal information differs from the spatial information provided by the articulator synergy biomarker, which indicates the percent contribution of each articulator to a vocal tract constriction. We view spatial and temporal information as complementary. The revised submission now refers to Lancia &amp; Rosenbaum (2018) and Jackson and Singampalli (2009) in the conclusion as a complementary method for assessing temporal information. </w:t>
      </w:r>
    </w:p>
    <w:p>
      <w:pPr>
        <w:pStyle w:val="Normal"/>
        <w:numPr>
          <w:ilvl w:val="0"/>
          <w:numId w:val="7"/>
        </w:numPr>
        <w:rPr/>
      </w:pPr>
      <w:r>
        <w:rPr/>
        <w:t xml:space="preserve">Lancia, L., &amp; Rosenbaum, B. (2018). Coupling relations underlying the production of speech articulator movements and their invariance to speech rate. </w:t>
      </w:r>
      <w:r>
        <w:rPr>
          <w:i/>
        </w:rPr>
        <w:t>Biological cybernetics</w:t>
      </w:r>
      <w:r>
        <w:rPr/>
        <w:t>, 1-24.</w:t>
      </w:r>
    </w:p>
    <w:p>
      <w:pPr>
        <w:pStyle w:val="Normal"/>
        <w:numPr>
          <w:ilvl w:val="0"/>
          <w:numId w:val="7"/>
        </w:numPr>
        <w:rPr/>
      </w:pPr>
      <w:r>
        <w:rPr/>
        <w:t xml:space="preserve">Jackson, P. J., &amp; Singampalli, V. D. (2009). Statistical identification of articulation constraints in the production of speech. </w:t>
      </w:r>
      <w:r>
        <w:rPr>
          <w:i/>
        </w:rPr>
        <w:t>Speech Communication</w:t>
      </w:r>
      <w:r>
        <w:rPr/>
        <w:t xml:space="preserve">, </w:t>
      </w:r>
      <w:r>
        <w:rPr>
          <w:i/>
        </w:rPr>
        <w:t>51</w:t>
      </w:r>
      <w:bookmarkStart w:id="0" w:name="_GoBack"/>
      <w:bookmarkEnd w:id="0"/>
      <w:r>
        <w:rPr/>
        <w:t>(8), 695-710.</w:t>
      </w:r>
    </w:p>
    <w:p>
      <w:pPr>
        <w:pStyle w:val="Normal"/>
        <w:rPr/>
      </w:pPr>
      <w:r>
        <w:rPr/>
      </w:r>
    </w:p>
    <w:p>
      <w:pPr>
        <w:pStyle w:val="Normal"/>
        <w:rPr/>
      </w:pPr>
      <w:r>
        <w:rPr/>
        <w:t>Validation of the articulator synergy biomarker:</w:t>
      </w:r>
    </w:p>
    <w:p>
      <w:pPr>
        <w:pStyle w:val="ListParagraph"/>
        <w:numPr>
          <w:ilvl w:val="0"/>
          <w:numId w:val="1"/>
        </w:numPr>
        <w:rPr/>
      </w:pPr>
      <w:r>
        <w:rPr>
          <w:b/>
        </w:rPr>
        <w:t>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VI.B.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expect that the factors should reflect speaker anatomy and efficiencies rather than the speech material. The fact that the limited speech material used in the present study produces factors similar to the much larger set in the 2015 paper supports this view.</w:t>
      </w:r>
    </w:p>
    <w:p>
      <w:pPr>
        <w:pStyle w:val="Normal"/>
        <w:numPr>
          <w:ilvl w:val="0"/>
          <w:numId w:val="8"/>
        </w:numPr>
        <w:rPr/>
      </w:pPr>
      <w:r>
        <w:rPr/>
        <w:t xml:space="preserve">Toutios, A., &amp; Narayanan, S. (2015, August). Factor analysis of vocal-tract outlines derived from real-time magnetic resonance imaging data. In </w:t>
      </w:r>
      <w:r>
        <w:rPr>
          <w:i/>
        </w:rPr>
        <w:t>ICPhS</w:t>
      </w:r>
      <w:r>
        <w:rPr/>
        <w:t>.</w:t>
      </w:r>
      <w:r>
        <w:rPr/>
        <w:commentReference w:id="1"/>
      </w:r>
    </w:p>
    <w:p>
      <w:pPr>
        <w:pStyle w:val="ListParagraph"/>
        <w:numPr>
          <w:ilvl w:val="0"/>
          <w:numId w:val="1"/>
        </w:numPr>
        <w:rPr/>
      </w:pPr>
      <w:r>
        <w:rPr>
          <w:b/>
        </w:rPr>
        <w:t>How does the assumption of linearity in the guided PCA approach affect the results?</w:t>
      </w:r>
    </w:p>
    <w:p>
      <w:pPr>
        <w:pStyle w:val="ListParagraph"/>
        <w:ind w:left="1440" w:hanging="0"/>
        <w:rPr/>
      </w:pPr>
      <w:r>
        <w:rPr/>
        <w:commentReference w:id="2"/>
      </w:r>
      <w:r>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commentReference w:id="3"/>
      </w:r>
      <w:r>
        <w:rPr/>
        <w:t xml:space="preserve"> In order to quantify how the linearity assumption impacts the results, Fig. 4 of the revised manuscript quantifies the percent variance explained by each factor as a measure of model performance.</w:t>
      </w:r>
    </w:p>
    <w:p>
      <w:pPr>
        <w:pStyle w:val="ListParagraph"/>
        <w:numPr>
          <w:ilvl w:val="0"/>
          <w:numId w:val="1"/>
        </w:numPr>
        <w:r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firstLine="720"/>
        <w:rPr/>
      </w:pPr>
      <w:r>
        <w:rPr/>
        <w:t>Variability in the spatio-temporal pattern of constriction task variables for different tokens of the same gesture is minor in the sense that the same basic pattern is observed for all tokens of a particular gesture. Specifically, the constriction task variable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task variables (e.g., electromagnetic articulography).</w:t>
      </w:r>
    </w:p>
    <w:p>
      <w:pPr>
        <w:pStyle w:val="ListParagraph"/>
        <w:ind w:left="72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task variables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include this. See lines 16-19 of the revised manuscript.</w:t>
      </w:r>
    </w:p>
    <w:p>
      <w:pPr>
        <w:pStyle w:val="ListParagraph"/>
        <w:numPr>
          <w:ilvl w:val="0"/>
          <w:numId w:val="1"/>
        </w:numPr>
        <w:rPr>
          <w:b/>
          <w:b/>
        </w:rPr>
      </w:pPr>
      <w:r>
        <w:rPr>
          <w:b/>
        </w:rPr>
        <w:t xml:space="preserve">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The revised manuscript uses the term “statistical model” instead of “computational model” and clarifies that the statistical model of Lammert et al. (2013) is a model of the forward kinematic map and its jacobian matrix from the Task Dynamics model of speech production.</w:t>
      </w:r>
    </w:p>
    <w:p>
      <w:pPr>
        <w:pStyle w:val="ListParagraph"/>
        <w:numPr>
          <w:ilvl w:val="0"/>
          <w:numId w:val="1"/>
        </w:numPr>
        <w:rPr/>
      </w:pPr>
      <w:r>
        <w:rPr>
          <w:b/>
        </w:rPr>
        <w:t>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Section I. </w:t>
      </w:r>
    </w:p>
    <w:p>
      <w:pPr>
        <w:pStyle w:val="ListParagraph"/>
        <w:numPr>
          <w:ilvl w:val="0"/>
          <w:numId w:val="1"/>
        </w:numPr>
        <w:r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The plan of the paper now only refers to modelling steps that have been mentioned previously in the introduction. See lines 70-81.</w:t>
      </w:r>
    </w:p>
    <w:p>
      <w:pPr>
        <w:pStyle w:val="ListParagraph"/>
        <w:numPr>
          <w:ilvl w:val="0"/>
          <w:numId w:val="1"/>
        </w:numPr>
        <w:rPr/>
      </w:pPr>
      <w:r>
        <w:rPr>
          <w:b/>
        </w:rPr>
        <w:t>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 See line 189.</w:t>
      </w:r>
    </w:p>
    <w:p>
      <w:pPr>
        <w:pStyle w:val="ListParagraph"/>
        <w:numPr>
          <w:ilvl w:val="0"/>
          <w:numId w:val="1"/>
        </w:numPr>
        <w:r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6. The revised manuscript adds the palatal constriction task variable to Fig. 6 in order to illustrate the connection between jaw and tongue factor contributions and the constriction task variables. In particular, this illustrates that the sum of jaw and tongue contributions equals the constriction task variable.</w:t>
      </w:r>
    </w:p>
    <w:p>
      <w:pPr>
        <w:pStyle w:val="ListParagraph"/>
        <w:numPr>
          <w:ilvl w:val="0"/>
          <w:numId w:val="1"/>
        </w:numPr>
        <w:rPr/>
      </w:pPr>
      <w:r>
        <w:rPr>
          <w:b/>
        </w:rPr>
        <w:t>p.16, line 239: In order to introduce the construction of the forward map, please consider presenting it as a weighted linear regression problem as in Lammert et al. (2013).</w:t>
      </w:r>
      <w:r>
        <w:rPr/>
        <w:t xml:space="preserve"> </w:t>
      </w:r>
    </w:p>
    <w:p>
      <w:pPr>
        <w:pStyle w:val="ListParagraph"/>
        <w:rPr/>
      </w:pPr>
      <w:r>
        <w:rPr/>
        <w:t>Section V.A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Normal"/>
        <w:numPr>
          <w:ilvl w:val="0"/>
          <w:numId w:val="9"/>
        </w:numPr>
        <w:rPr/>
      </w:pPr>
      <w:r>
        <w:rPr/>
        <w:t xml:space="preserve">Lammert, A., Goldstein, L., Narayanan, S., &amp; Iskarous, K. (2013). Statistical methods for estimation of direct and differential kinematics of the vocal tract. </w:t>
      </w:r>
      <w:r>
        <w:rPr>
          <w:i/>
        </w:rPr>
        <w:t>Speech communication</w:t>
      </w:r>
      <w:r>
        <w:rPr/>
        <w:t xml:space="preserve">, </w:t>
      </w:r>
      <w:r>
        <w:rPr>
          <w:i/>
        </w:rPr>
        <w:t>55</w:t>
      </w:r>
      <w:r>
        <w:rPr/>
        <w:t>(1), 147-161.</w:t>
      </w:r>
    </w:p>
    <w:p>
      <w:pPr>
        <w:pStyle w:val="ListParagraph"/>
        <w:numPr>
          <w:ilvl w:val="0"/>
          <w:numId w:val="1"/>
        </w:numPr>
        <w:rPr/>
      </w:pPr>
      <w:r>
        <w:rPr>
          <w:b/>
        </w:rPr>
        <w:t>p.19, line 245: Are h and f two independent free parameters or is h adjusted to obtain the desired number of neighbours? And by the way, is h constant over different dimensions?</w:t>
      </w:r>
      <w:r>
        <w:rPr/>
        <w:t xml:space="preserve"> </w:t>
      </w:r>
    </w:p>
    <w:p>
      <w:pPr>
        <w:pStyle w:val="ListParagraph"/>
        <w:rPr/>
      </w:pPr>
      <w:bookmarkStart w:id="1" w:name="__DdeLink__404_1960611077"/>
      <w:bookmarkEnd w:id="1"/>
      <w:r>
        <w:rPr/>
        <w:t>The revised manuscript clarifies that f is the free parameter, not h. See lines 249-252.</w:t>
      </w:r>
    </w:p>
    <w:p>
      <w:pPr>
        <w:pStyle w:val="ListParagraph"/>
        <w:numPr>
          <w:ilvl w:val="0"/>
          <w:numId w:val="1"/>
        </w:numPr>
        <w:r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 xml:space="preserve">The intra-class correlation coefficient measures the ratio of inter-subject variance to total variance (i.e., inter-subject plus intra-subject).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w:t>
      </w:r>
      <w:bookmarkStart w:id="2" w:name="__DdeLink__340_1272302157"/>
      <w:bookmarkEnd w:id="2"/>
      <w:r>
        <w:rPr/>
        <w:t>Section VIII.B.</w:t>
      </w:r>
    </w:p>
    <w:p>
      <w:pPr>
        <w:pStyle w:val="ListParagraph"/>
        <w:numPr>
          <w:ilvl w:val="0"/>
          <w:numId w:val="1"/>
        </w:numPr>
        <w:rPr/>
      </w:pPr>
      <w:r>
        <w:rPr>
          <w:b/>
        </w:rPr>
        <w:t>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VI.B of the revised manuscript estimates the measurement bias of the biomarker using synthetic data. No measurement bias was detected. The low precision may be an inevitable consequence of high intra-subject variability (see Section VIII.B). </w:t>
      </w:r>
    </w:p>
    <w:p>
      <w:pPr>
        <w:pStyle w:val="ListParagraph"/>
        <w:numPr>
          <w:ilvl w:val="0"/>
          <w:numId w:val="1"/>
        </w:numPr>
        <w:rPr/>
      </w:pPr>
      <w:r>
        <w:rPr>
          <w:b/>
        </w:rPr>
        <w:t>p.33, lines 472-474: This is a cut and paste from p.4 lines 49-51. The same comment applies here.</w:t>
      </w:r>
      <w:r>
        <w:rPr/>
        <w:t xml:space="preserve"> </w:t>
      </w:r>
    </w:p>
    <w:p>
      <w:pPr>
        <w:pStyle w:val="ListParagraph"/>
        <w:numPr>
          <w:ilvl w:val="0"/>
          <w:numId w:val="0"/>
        </w:numPr>
        <w:ind w:left="1440" w:hanging="0"/>
        <w:rPr/>
      </w:pPr>
      <w:r>
        <w:rPr/>
        <w:t>The revised manuscript uses the term “statistical model” instead of “computational model”.</w:t>
      </w:r>
    </w:p>
    <w:p>
      <w:pPr>
        <w:pStyle w:val="ListParagraph"/>
        <w:numPr>
          <w:ilvl w:val="0"/>
          <w:numId w:val="1"/>
        </w:numPr>
        <w:rPr/>
      </w:pPr>
      <w:r>
        <w:rPr>
          <w:b/>
        </w:rPr>
        <w:t>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0"/>
        </w:numPr>
        <w:ind w:left="1440" w:hanging="0"/>
        <w:rPr/>
      </w:pPr>
      <w:r>
        <w:rPr/>
        <w:t>The revised submission includes a heavily edited conclusions section.</w:t>
      </w:r>
    </w:p>
    <w:p>
      <w:pPr>
        <w:pStyle w:val="ListParagraph"/>
        <w:numPr>
          <w:ilvl w:val="0"/>
          <w:numId w:val="1"/>
        </w:numPr>
        <w:rPr/>
      </w:pPr>
      <w:r>
        <w:rPr>
          <w:b/>
        </w:rPr>
        <w:t xml:space="preserve">p.36, lines 534-535: Not all scripts are available as supplemental material. Strictly speaking, in the supplemental material there are wrappers that launch the core scripts residing on a server. </w:t>
      </w:r>
    </w:p>
    <w:p>
      <w:pPr>
        <w:pStyle w:val="ListParagraph"/>
        <w:numPr>
          <w:ilvl w:val="0"/>
          <w:numId w:val="0"/>
        </w:numPr>
        <w:ind w:left="1440" w:hanging="0"/>
        <w:rPr/>
      </w:pPr>
      <w:r>
        <w:rPr/>
        <w:t>In the original submission, some scripts were obtained by cloning the Git repository “span_contour_processing” (https://github.com/usc-sail/span_contour_processing). This is no longer the case. All scripts are included in the main repository. In both the original and current submissions, all scripts were/are executed on the machine from which this repository is cloned (i.e., not on another server).</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mentions the use of vowel-consonant-vowel utterances [apa], [ata], [aja], and [aka] in the abstract. See line 5. The conclusion now includes explicit mention of the gestures studied. See lines 607-608. The conclusion also suggests that future studies investigate a wider range of articulations (namely, different manner classes). See lines 622-626.</w:t>
      </w:r>
    </w:p>
    <w:p>
      <w:pPr>
        <w:pStyle w:val="ListParagraph"/>
        <w:numPr>
          <w:ilvl w:val="0"/>
          <w:numId w:val="1"/>
        </w:numPr>
        <w:r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 See lines 144-148.</w:t>
      </w:r>
    </w:p>
    <w:p>
      <w:pPr>
        <w:pStyle w:val="Normal"/>
        <w:numPr>
          <w:ilvl w:val="1"/>
          <w:numId w:val="1"/>
        </w:numPr>
        <w:rPr/>
      </w:pPr>
      <w:bookmarkStart w:id="3" w:name="__DdeLink__343_42575951"/>
      <w:r>
        <w:rPr/>
        <w:t xml:space="preserve">Maeda, S. (1990). Compensatory articulation during speech: Evidence from the analysis and synthesis of vocal-tract shapes using an articulatory model. In </w:t>
      </w:r>
      <w:r>
        <w:rPr>
          <w:i/>
        </w:rPr>
        <w:t>Speech production and speech modelling</w:t>
      </w:r>
      <w:bookmarkEnd w:id="3"/>
      <w:r>
        <w:rPr/>
        <w:t xml:space="preserve"> (pp. 131-149). Springer, Dordrecht.</w:t>
      </w:r>
    </w:p>
    <w:p>
      <w:pPr>
        <w:pStyle w:val="ListParagraph"/>
        <w:numPr>
          <w:ilvl w:val="0"/>
          <w:numId w:val="1"/>
        </w:numPr>
        <w:rPr/>
      </w:pP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hanging="0"/>
        <w:rPr/>
      </w:pPr>
      <w:r>
        <w:rPr/>
        <w:t>We agree that this was poorly worded. The revised text is simplified to convey only the essential point.</w:t>
      </w:r>
    </w:p>
    <w:p>
      <w:pPr>
        <w:pStyle w:val="ListParagraph"/>
        <w:numPr>
          <w:ilvl w:val="0"/>
          <w:numId w:val="1"/>
        </w:numPr>
        <w:rPr/>
      </w:pP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hanging="0"/>
        <w:rPr/>
      </w:pPr>
      <w:r>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pPr>
      <w:r>
        <w:rPr/>
        <w:t>Fritzell, B. (1969). The velopharyngeal muscles in speech: An electromyographic and cineradiographic study. Acta Oto-laryngologica. Supplement 250.</w:t>
      </w:r>
    </w:p>
    <w:p>
      <w:pPr>
        <w:pStyle w:val="ListParagraph"/>
        <w:numPr>
          <w:ilvl w:val="1"/>
          <w:numId w:val="1"/>
        </w:numPr>
        <w:rPr/>
      </w:pPr>
      <w:r>
        <w:rPr/>
        <w:t>Bell-Berti, F. (1980). Velopharyngeal function: A spatial-temporal model. Speech and language: Advances in basic research and practice, 4, 137-150.</w:t>
      </w:r>
    </w:p>
    <w:p>
      <w:pPr>
        <w:pStyle w:val="ListParagraph"/>
        <w:ind w:left="1440" w:hanging="0"/>
        <w:rPr/>
      </w:pPr>
      <w:r>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Finally, it would be very useful to conclude section IV with a comparison of the performances of the Guided Factor Analysis used and more standard Guided PCA.</w:t>
      </w:r>
    </w:p>
    <w:p>
      <w:pPr>
        <w:pStyle w:val="ListParagraph"/>
        <w:numPr>
          <w:ilvl w:val="0"/>
          <w:numId w:val="0"/>
        </w:numPr>
        <w:ind w:left="144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 See lines 144-148.</w:t>
      </w:r>
    </w:p>
    <w:p>
      <w:pPr>
        <w:pStyle w:val="ListParagraph"/>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It would be useful to mention more explicitly in section IV.A which organs are really modelled (jaw, tongue, velum, lips?).</w:t>
      </w:r>
    </w:p>
    <w:p>
      <w:pPr>
        <w:pStyle w:val="ListParagraph"/>
        <w:numPr>
          <w:ilvl w:val="0"/>
          <w:numId w:val="0"/>
        </w:numPr>
        <w:ind w:left="1440" w:hanging="0"/>
        <w:rPr/>
      </w:pPr>
      <w:r>
        <w:rPr/>
        <w:t>The revised manuscript mentions this explicitly. See lines 149-152.</w:t>
      </w:r>
    </w:p>
    <w:p>
      <w:pPr>
        <w:pStyle w:val="ListParagraph"/>
        <w:numPr>
          <w:ilvl w:val="0"/>
          <w:numId w:val="1"/>
        </w:numPr>
        <w:rPr/>
      </w:pPr>
      <w:r>
        <w:rPr>
          <w:b/>
        </w:rPr>
        <w:t>Are the three degrees of freedom expected for a solid object in 2D enough to represent the jaw variance?</w:t>
      </w:r>
    </w:p>
    <w:p>
      <w:pPr>
        <w:pStyle w:val="ListParagraph"/>
        <w:numPr>
          <w:ilvl w:val="0"/>
          <w:numId w:val="0"/>
        </w:numPr>
        <w:ind w:left="1440" w:hanging="0"/>
        <w:rPr/>
      </w:pPr>
      <w:r>
        <w:rPr/>
        <w:t>The revised manuscript quantifies the percent variance explained by each jaw factor. See Fig. 4, panel a.</w:t>
      </w:r>
    </w:p>
    <w:p>
      <w:pPr>
        <w:pStyle w:val="ListParagraph"/>
        <w:numPr>
          <w:ilvl w:val="0"/>
          <w:numId w:val="1"/>
        </w:numPr>
        <w:r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“direct kinematics”, “differential kinematics”, and “forward kinematic map” originated in the field of robotics. In the field of robotics, “[k]inematics is the science of motion which treats motion without regard to the forces which cause it. Within the science of kinematics one studies the position, velocity, acceleration, and all higher-order derivatives of the position variables (with respect to time or any other variable(s)). Hence, the study of the kinematics of manipulators refers to all the geometrical and time-based properties of the motion.” At least in the field of robotics, time is not necessarily involved in the study of kinematics.</w:t>
      </w:r>
    </w:p>
    <w:p>
      <w:pPr>
        <w:pStyle w:val="Normal"/>
        <w:numPr>
          <w:ilvl w:val="0"/>
          <w:numId w:val="10"/>
        </w:numPr>
        <w:rPr/>
      </w:pPr>
      <w:r>
        <w:rPr/>
        <w:t xml:space="preserve">Craig, J. J. (2005). </w:t>
      </w:r>
      <w:r>
        <w:rPr>
          <w:i/>
        </w:rPr>
        <w:t>Introduction to robotics: mechanics and control</w:t>
      </w:r>
      <w:r>
        <w:rPr/>
        <w:t xml:space="preserve"> (Vol. 3, pp. 48-70). Upper Saddle River, NJ, USA:: Pearson/Prentice Hall.. p. 6.</w:t>
      </w:r>
    </w:p>
    <w:p>
      <w:pPr>
        <w:pStyle w:val="ListParagraph"/>
        <w:rPr/>
      </w:pPr>
      <w:r>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pPr>
      <w:r>
        <w:rPr>
          <w:rFonts w:eastAsia="Times New Roman" w:cs="Arial" w:ascii="Arial" w:hAnsi="Arial"/>
          <w:color w:val="000000"/>
          <w:sz w:val="23"/>
          <w:szCs w:val="23"/>
          <w:highlight w:val="white"/>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pPr>
        <w:pStyle w:val="ListParagraph"/>
        <w:numPr>
          <w:ilvl w:val="0"/>
          <w:numId w:val="1"/>
        </w:numPr>
        <w:rPr>
          <w:b/>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Could the authors explain the relation/interaction between parameters “h” and “f”?</w:t>
      </w:r>
    </w:p>
    <w:p>
      <w:pPr>
        <w:pStyle w:val="ListParagraph"/>
        <w:rPr/>
      </w:pPr>
      <w:r>
        <w:rPr/>
        <w:t>The revised manuscript clarifies that f is the free parameter, not h. See lines 249-252.</w:t>
      </w:r>
    </w:p>
    <w:p>
      <w:pPr>
        <w:pStyle w:val="ListParagraph"/>
        <w:numPr>
          <w:ilvl w:val="0"/>
          <w:numId w:val="1"/>
        </w:numPr>
        <w:r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The quoted passage has been revised. See lines 325-331. The revised manuscript now also uses Figure 5 to clarify the nature of the biomarker and to explain Equation 26, on which the biomarker is based.</w:t>
      </w:r>
    </w:p>
    <w:p>
      <w:pPr>
        <w:pStyle w:val="ListParagraph"/>
        <w:numPr>
          <w:ilvl w:val="0"/>
          <w:numId w:val="1"/>
        </w:numPr>
        <w:rPr/>
      </w:pPr>
      <w:r>
        <w:rPr>
          <w:b/>
        </w:rPr>
        <w:t>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hanging="0"/>
        <w:rPr/>
      </w:pPr>
      <w:r>
        <w:rPr/>
        <w:t>The revised manuscript uses the 10</w:t>
      </w:r>
      <w:r>
        <w:rPr>
          <w:vertAlign w:val="superscript"/>
        </w:rPr>
        <w:t>th</w:t>
      </w:r>
      <w:r>
        <w:rPr/>
        <w:t>-90</w:t>
      </w:r>
      <w:r>
        <w:rPr>
          <w:vertAlign w:val="superscript"/>
        </w:rPr>
        <w:t>th</w:t>
      </w:r>
      <w:r>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0"/>
        </w:numPr>
        <w:ind w:left="1440" w:hanging="0"/>
        <w:rPr/>
      </w:pPr>
      <w:r>
        <w:rPr/>
        <w:t>The revised manuscript seeks a compromise by reporting the results of all statistical tests in Table I, while explaining the significant results in the text. See lines 486-492. This strikes a balance between clarity in the text and established guidelines for reporting statistical results, which we take to indicate that planned statistical tests cannot be omitted from a report because they were not statistically significant.</w:t>
      </w:r>
    </w:p>
    <w:p>
      <w:pPr>
        <w:pStyle w:val="ListParagraph"/>
        <w:numPr>
          <w:ilvl w:val="0"/>
          <w:numId w:val="1"/>
        </w:numPr>
        <w:rPr>
          <w:b/>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defined in Section III, lines 126-128.</w:t>
      </w:r>
    </w:p>
    <w:p>
      <w:pPr>
        <w:pStyle w:val="ListParagraph"/>
        <w:numPr>
          <w:ilvl w:val="0"/>
          <w:numId w:val="1"/>
        </w:numPr>
        <w:rPr>
          <w:b/>
          <w:b/>
        </w:rPr>
      </w:pPr>
      <w:r>
        <w:rPr>
          <w:b/>
        </w:rPr>
        <w:t>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Section IV.A, line 149-150.</w:t>
      </w:r>
    </w:p>
    <w:p>
      <w:pPr>
        <w:pStyle w:val="ListParagraph"/>
        <w:numPr>
          <w:ilvl w:val="0"/>
          <w:numId w:val="1"/>
        </w:numPr>
        <w:rPr/>
      </w:pPr>
      <w:r>
        <w:rPr>
          <w:b/>
        </w:rPr>
        <w:t>Line 548: Please, correct to “sensitivity”.</w:t>
      </w:r>
      <w:r>
        <w:rPr/>
        <w:t xml:space="preserve"> </w:t>
      </w:r>
    </w:p>
    <w:p>
      <w:pPr>
        <w:pStyle w:val="ListParagraph"/>
        <w:numPr>
          <w:ilvl w:val="0"/>
          <w:numId w:val="0"/>
        </w:numPr>
        <w:ind w:left="1440" w:hanging="0"/>
        <w:rPr/>
      </w:pPr>
      <w:r>
        <w:rPr/>
        <w:t>Done.</w:t>
      </w:r>
    </w:p>
    <w:p>
      <w:pPr>
        <w:pStyle w:val="ListParagraph"/>
        <w:numPr>
          <w:ilvl w:val="0"/>
          <w:numId w:val="1"/>
        </w:numPr>
        <w:rPr/>
      </w:pPr>
      <w:r>
        <w:rPr>
          <w:b/>
        </w:rPr>
        <w:t xml:space="preserve">Figure 4. The tick marks on the right Y-axis are hardly visible. </w:t>
      </w:r>
    </w:p>
    <w:p>
      <w:pPr>
        <w:pStyle w:val="ListParagraph"/>
        <w:numPr>
          <w:ilvl w:val="0"/>
          <w:numId w:val="0"/>
        </w:numPr>
        <w:ind w:left="1440" w:hanging="0"/>
        <w:rPr/>
      </w:pPr>
      <w:r>
        <w:rPr/>
        <w:t>The revised manuscript has tick marks in Fig. 5 that are twice as wide. As per Reviewer 3’s request, these have been replaced by an average over all speakers.</w:t>
      </w:r>
    </w:p>
    <w:p>
      <w:pPr>
        <w:pStyle w:val="ListParagraph"/>
        <w:numPr>
          <w:ilvl w:val="0"/>
          <w:numId w:val="1"/>
        </w:numPr>
        <w:rPr/>
      </w:pPr>
      <w:r>
        <w:rPr>
          <w:b/>
        </w:rPr>
        <w:t>Figure 6. Lines and symbols are too thin to be neatly visible.</w:t>
      </w:r>
    </w:p>
    <w:p>
      <w:pPr>
        <w:pStyle w:val="ListParagraph"/>
        <w:numPr>
          <w:ilvl w:val="0"/>
          <w:numId w:val="0"/>
        </w:numPr>
        <w:ind w:left="1440" w:hanging="0"/>
        <w:rPr/>
      </w:pPr>
      <w:r>
        <w:rPr/>
        <w:t>The revised manuscript has thicker lines and markers in Fig. 8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firstLine="720"/>
        <w:rPr/>
      </w:pPr>
      <w:r>
        <w:rPr/>
        <w:t xml:space="preserve">The specific suggestion that mandibular morphology contributes to articulator synergies is intriguing, and one of our current projects is to uncover morphology-function relationships in speech by analyzing anatomical MRI scans along with 2D real-time MRI. </w:t>
      </w:r>
      <w:r>
        <w:rPr/>
        <w:t>We consider this future work.</w:t>
      </w:r>
    </w:p>
    <w:p>
      <w:pPr>
        <w:pStyle w:val="ListParagraph"/>
        <w:numPr>
          <w:ilvl w:val="0"/>
          <w:numId w:val="3"/>
        </w:numPr>
        <w:rPr>
          <w:b/>
          <w:b/>
        </w:rPr>
      </w:pPr>
      <w:r>
        <w:rPr>
          <w:b/>
        </w:rPr>
        <w:t>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 xml:space="preserve">The revised manuscript mentions this potential confound in the conclusion and uses this as motivation for listing manner of articulation as a possible future research direction. </w:t>
      </w:r>
      <w:r>
        <w:rPr/>
        <w:t>See lines 622-626.</w:t>
      </w:r>
    </w:p>
    <w:p>
      <w:pPr>
        <w:pStyle w:val="ListParagraph"/>
        <w:numPr>
          <w:ilvl w:val="0"/>
          <w:numId w:val="3"/>
        </w:numPr>
        <w:r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 xml:space="preserve">The approach to quantifying the articulator synergy biomarkers does not have to deal directly with negative </w:t>
      </w:r>
      <w:r>
        <w:rPr/>
        <w:t>constriction task variable</w:t>
      </w:r>
      <w:r>
        <w:rPr/>
        <w:t xml:space="preserve">s, as of course they do not occur in real data. In related work </w:t>
      </w:r>
      <w:r>
        <w:rPr/>
        <w:t>(Alexander et al., 2017)</w:t>
      </w:r>
      <w:r>
        <w:rPr/>
        <w:t>, we are using the framework presented in the present study for simulation (as in the validation study using synthetic data) as well as in articulatory speech synthesis experiments. In such use-cases, we can use negative constriction task variable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11"/>
        </w:numPr>
        <w:rPr/>
      </w:pPr>
      <w:r>
        <w:rPr/>
        <w:t xml:space="preserve">Rachel Alexander, Tanner Sorensen, Asterios Toutios, Shrikanth S. Narayanan, </w:t>
      </w:r>
      <w:hyperlink r:id="rId4">
        <w:r>
          <w:rPr>
            <w:rStyle w:val="InternetLink"/>
          </w:rPr>
          <w:t>"VCV synthesis using Task Dynamics to animate a factor-based articulatory model"</w:t>
        </w:r>
      </w:hyperlink>
      <w:r>
        <w:rPr/>
        <w:t xml:space="preserve">, </w:t>
      </w:r>
      <w:r>
        <w:rPr>
          <w:i/>
        </w:rPr>
        <w:t>Interspeech</w:t>
      </w:r>
      <w:r>
        <w:rPr/>
        <w:t xml:space="preserve">, Stockholm, Sweden, 2017. </w:t>
      </w:r>
    </w:p>
    <w:p>
      <w:pPr>
        <w:pStyle w:val="ListParagraph"/>
        <w:numPr>
          <w:ilvl w:val="0"/>
          <w:numId w:val="3"/>
        </w:numPr>
        <w:rPr>
          <w:b/>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The revised manuscript lists this</w:t>
      </w:r>
      <w:r>
        <w:rPr/>
        <w:t xml:space="preserve"> as a potential future direction for research. </w:t>
      </w:r>
      <w:r>
        <w:rPr/>
        <w:t>See lines 626-628</w:t>
      </w:r>
      <w:r>
        <w:rPr/>
        <w:t xml:space="preserve">. </w:t>
      </w:r>
    </w:p>
    <w:p>
      <w:pPr>
        <w:pStyle w:val="ListParagraph"/>
        <w:numPr>
          <w:ilvl w:val="0"/>
          <w:numId w:val="3"/>
        </w:numPr>
        <w:rPr>
          <w:b/>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w:t>
      </w:r>
      <w:r>
        <w:rPr/>
        <w:t>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r>
      <w:r>
        <w:rPr/>
        <w:t>”</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ListParagraph"/>
        <w:numPr>
          <w:ilvl w:val="0"/>
          <w:numId w:val="1"/>
        </w:numPr>
        <w:rPr/>
      </w:pPr>
      <w:r>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 xml:space="preserve">The temporal resolution is correct. As </w:t>
      </w:r>
      <w:r>
        <w:rPr/>
        <w:t>reported</w:t>
      </w:r>
      <w:r>
        <w:rPr/>
        <w:t xml:space="preserve"> on </w:t>
      </w:r>
      <w:r>
        <w:rPr/>
        <w:t>lines 113-116</w:t>
      </w:r>
      <w:r>
        <w:rPr/>
        <w:t>, a single image is reconstructed from the MR signal acquired in two TRs. There is no view-sharing between consecutive images.</w:t>
      </w:r>
    </w:p>
    <w:p>
      <w:pPr>
        <w:pStyle w:val="ListParagraph"/>
        <w:numPr>
          <w:ilvl w:val="0"/>
          <w:numId w:val="1"/>
        </w:numPr>
        <w:rPr/>
      </w:pPr>
      <w:r>
        <w:rPr>
          <w:b/>
        </w:rPr>
        <w:t>Fig. 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w:t>
      </w:r>
      <w:r>
        <w:rPr/>
        <w:t xml:space="preserve"> 1, </w:t>
      </w:r>
      <w:r>
        <w:rPr/>
        <w:t>panel a,</w:t>
      </w:r>
      <w:r>
        <w:rPr/>
        <w:t xml:space="preserve"> now includes labels. Chin and mandible contours are analyzed together as jaw contours. </w:t>
      </w:r>
      <w:r>
        <w:rPr/>
        <w:t>See lines 192-193.</w:t>
      </w:r>
    </w:p>
    <w:p>
      <w:pPr>
        <w:pStyle w:val="ListParagraph"/>
        <w:numPr>
          <w:ilvl w:val="0"/>
          <w:numId w:val="1"/>
        </w:numPr>
        <w:rPr/>
      </w:pPr>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 xml:space="preserve">Mention of the velopharyngeal port has been removed from the revised manuscript, except in the following sentence where it is used as a landmark used for defining the relevant subsection of the rear pharyngeal wall. </w:t>
      </w:r>
      <w:r>
        <w:rPr/>
        <w:t>See line 139.</w:t>
      </w:r>
    </w:p>
    <w:p>
      <w:pPr>
        <w:pStyle w:val="ListParagraph"/>
        <w:numPr>
          <w:ilvl w:val="0"/>
          <w:numId w:val="1"/>
        </w:numPr>
        <w:r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 xml:space="preserve">The revised manuscript now cites Maeda </w:t>
      </w:r>
      <w:r>
        <w:rPr/>
        <w:t>(1990).</w:t>
      </w:r>
    </w:p>
    <w:p>
      <w:pPr>
        <w:pStyle w:val="Normal"/>
        <w:numPr>
          <w:ilvl w:val="1"/>
          <w:numId w:val="12"/>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ind w:left="1440" w:hanging="0"/>
        <w:rPr/>
      </w:pPr>
      <w:r>
        <w:rPr/>
        <w:t xml:space="preserve">The revised manuscript now refers to </w:t>
      </w:r>
      <w:r>
        <w:rPr/>
        <w:t xml:space="preserve">Fig. 6 </w:t>
      </w:r>
      <w:r>
        <w:rPr/>
        <w:t>in order to explain these terms.</w:t>
      </w:r>
    </w:p>
    <w:p>
      <w:pPr>
        <w:pStyle w:val="ListParagraph"/>
        <w:numPr>
          <w:ilvl w:val="0"/>
          <w:numId w:val="1"/>
        </w:numPr>
        <w:rPr/>
      </w:pPr>
      <w:r>
        <w:rPr>
          <w:b/>
        </w:rPr>
        <w:t>p. 19 . 250 typo: "is important parameter"</w:t>
      </w:r>
      <w:r>
        <w:rPr/>
        <w:t xml:space="preserve"> </w:t>
      </w:r>
    </w:p>
    <w:p>
      <w:pPr>
        <w:pStyle w:val="ListParagraph"/>
        <w:ind w:left="1440" w:hanging="0"/>
        <w:rPr/>
      </w:pPr>
      <w:r>
        <w:rPr/>
        <w:t>The typo “is important parameter” was corrected to “is an important parameter”.</w:t>
      </w:r>
    </w:p>
    <w:p>
      <w:pPr>
        <w:pStyle w:val="ListParagraph"/>
        <w:numPr>
          <w:ilvl w:val="0"/>
          <w:numId w:val="1"/>
        </w:numPr>
        <w:rPr/>
      </w:pPr>
      <w:r>
        <w:rPr>
          <w:b/>
        </w:rPr>
        <w:t xml:space="preserve">p. 21, i. 275 Insert mm after 2.4 </w:t>
      </w:r>
    </w:p>
    <w:p>
      <w:pPr>
        <w:pStyle w:val="ListParagraph"/>
        <w:ind w:left="1440" w:hanging="0"/>
        <w:rPr/>
      </w:pPr>
      <w:r>
        <w:rPr/>
        <w:t>The units “mm” have been added after “2.4”.</w:t>
      </w:r>
    </w:p>
    <w:p>
      <w:pPr>
        <w:pStyle w:val="ListParagraph"/>
        <w:numPr>
          <w:ilvl w:val="0"/>
          <w:numId w:val="1"/>
        </w:numPr>
        <w:r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ind w:left="144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p. 37, l. 548 typo "senativity"</w:t>
      </w:r>
      <w:r>
        <w:rPr/>
        <w:t xml:space="preserve"> </w:t>
      </w:r>
    </w:p>
    <w:p>
      <w:pPr>
        <w:pStyle w:val="ListParagraph"/>
        <w:ind w:left="144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0Z" w:initials="">
    <w:p>
      <w:r>
        <w:rPr>
          <w:rFonts w:ascii="Liberation Serif" w:hAnsi="Liberation Serif" w:eastAsia="DejaVu Sans"/>
          <w:color w:val="auto"/>
          <w:lang w:val="en-US" w:eastAsia="en-US" w:bidi="en-US"/>
        </w:rPr>
      </w:r>
    </w:p>
  </w:comment>
  <w:comment w:id="1" w:author="" w:date="2018-09-27T09:31:00Z" w:initials="">
    <w:p>
      <w:r>
        <w:rPr>
          <w:rFonts w:ascii="Liberation Serif" w:hAnsi="Liberation Serif" w:eastAsia="DejaVu Sans"/>
          <w:color w:val="auto"/>
          <w:lang w:val="en-US" w:eastAsia="en-US" w:bidi="en-US"/>
        </w:rPr>
      </w:r>
    </w:p>
  </w:comment>
  <w:comment w:id="2" w:author="" w:date="2018-09-27T09:33:00Z" w:initials="">
    <w:p>
      <w:r>
        <w:rPr>
          <w:rFonts w:ascii="Liberation Serif" w:hAnsi="Liberation Serif" w:eastAsia="DejaVu Sans"/>
          <w:color w:val="auto"/>
          <w:lang w:val="en-US" w:eastAsia="en-US" w:bidi="en-US"/>
        </w:rPr>
      </w:r>
    </w:p>
  </w:comment>
  <w:comment w:id="3" w:author="" w:date="2018-09-27T09:33:00Z" w:initials="">
    <w:p>
      <w:r>
        <w:rPr>
          <w:rFonts w:ascii="Liberation Serif" w:hAnsi="Liberation Serif" w:eastAsia="DejaVu Sans"/>
          <w:color w:val="auto"/>
          <w:lang w:val="en-US" w:eastAsia="en-US" w:bidi="en-US"/>
        </w:rPr>
      </w:r>
    </w:p>
  </w:comment>
  <w:comment w:id="4" w:author="" w:date="2018-09-27T09:39:00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jc w:val="left"/>
    </w:pPr>
    <w:rPr>
      <w:rFonts w:ascii="Calibri" w:hAnsi="Calibri" w:eastAsia="Calibri" w:cs="DejaVu San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QuoteChar" w:customStyle="1">
    <w:name w:val="Quote Char"/>
    <w:basedOn w:val="DefaultParagraphFont"/>
    <w:qFormat/>
    <w:rPr>
      <w:i/>
      <w:iCs/>
      <w:color w:val="404040"/>
    </w:rPr>
  </w:style>
  <w:style w:type="character" w:styleId="Appleconvertedspace" w:customStyle="1">
    <w:name w:val="apple-converted-space"/>
    <w:basedOn w:val="DefaultParagraphFont"/>
    <w:qFormat/>
    <w:rPr/>
  </w:style>
  <w:style w:type="character" w:styleId="InternetLink" w:customStyle="1">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customStyle="1">
    <w:name w:val="ListLabel 1"/>
    <w:qFormat/>
    <w:rPr>
      <w:rFonts w:eastAsia="Calibri" w:cs="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b/>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ascii="Arial" w:hAnsi="Arial" w:eastAsia="Calibri" w:cs="Calibri"/>
      <w:sz w:val="23"/>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cs="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alibri"/>
      <w:b/>
    </w:rPr>
  </w:style>
  <w:style w:type="character" w:styleId="ListLabel34" w:customStyle="1">
    <w:name w:val="ListLabel 34"/>
    <w:qFormat/>
    <w:rPr>
      <w:rFonts w:cs="Courier New"/>
      <w:b w:val="false"/>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Calibri"/>
      <w:b/>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Calibri"/>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Calibri"/>
      <w:sz w:val="23"/>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Calibri"/>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Calibri"/>
      <w:b/>
    </w:rPr>
  </w:style>
  <w:style w:type="character" w:styleId="ListLabel79" w:customStyle="1">
    <w:name w:val="ListLabel 79"/>
    <w:qFormat/>
    <w:rPr>
      <w:rFonts w:cs="Courier New"/>
      <w:b w:val="false"/>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Calibri"/>
      <w:b/>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Calibri"/>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Calibri"/>
      <w:sz w:val="23"/>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Calibri"/>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Calibri"/>
      <w:b/>
    </w:rPr>
  </w:style>
  <w:style w:type="character" w:styleId="ListLabel124" w:customStyle="1">
    <w:name w:val="ListLabel 124"/>
    <w:qFormat/>
    <w:rPr>
      <w:rFonts w:cs="Courier New"/>
      <w:b w:val="false"/>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Calibri"/>
      <w:b/>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Calibri"/>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Calibri"/>
      <w:sz w:val="23"/>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Calibri"/>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Calibri"/>
      <w:b/>
    </w:rPr>
  </w:style>
  <w:style w:type="character" w:styleId="ListLabel169" w:customStyle="1">
    <w:name w:val="ListLabel 169"/>
    <w:qFormat/>
    <w:rPr>
      <w:rFonts w:cs="Courier New"/>
      <w:b w:val="false"/>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Calibri"/>
      <w:b/>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Calibri"/>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Calibri"/>
      <w:sz w:val="23"/>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Calibri"/>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Calibri"/>
      <w:b/>
    </w:rPr>
  </w:style>
  <w:style w:type="character" w:styleId="ListLabel214" w:customStyle="1">
    <w:name w:val="ListLabel 214"/>
    <w:qFormat/>
    <w:rPr>
      <w:rFonts w:cs="Courier New"/>
      <w:b w:val="false"/>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Calibri"/>
      <w:b/>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Calibri"/>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Calibri"/>
      <w:sz w:val="23"/>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rPr>
  </w:style>
  <w:style w:type="character" w:styleId="ListLabel244" w:customStyle="1">
    <w:name w:val="ListLabel 244"/>
    <w:qFormat/>
    <w:rPr>
      <w:rFonts w:cs="Courier New"/>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Calibri"/>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Calibri"/>
      <w:b/>
    </w:rPr>
  </w:style>
  <w:style w:type="character" w:styleId="ListLabel259" w:customStyle="1">
    <w:name w:val="ListLabel 259"/>
    <w:qFormat/>
    <w:rPr>
      <w:rFonts w:cs="Courier New"/>
      <w:b w:val="false"/>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Calibri"/>
      <w:b/>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Calibri"/>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Calibri"/>
      <w:sz w:val="23"/>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Calibri"/>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Symbol"/>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Calibri"/>
      <w:b/>
    </w:rPr>
  </w:style>
  <w:style w:type="character" w:styleId="ListLabel304" w:customStyle="1">
    <w:name w:val="ListLabel 304"/>
    <w:qFormat/>
    <w:rPr>
      <w:rFonts w:cs="Courier New"/>
      <w:b w:val="false"/>
    </w:rPr>
  </w:style>
  <w:style w:type="character" w:styleId="ListLabel305" w:customStyle="1">
    <w:name w:val="ListLabel 305"/>
    <w:qFormat/>
    <w:rPr>
      <w:rFonts w:cs="Wingdings"/>
    </w:rPr>
  </w:style>
  <w:style w:type="character" w:styleId="ListLabel306" w:customStyle="1">
    <w:name w:val="ListLabel 306"/>
    <w:qFormat/>
    <w:rPr>
      <w:rFonts w:cs="Symbol"/>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Calibri"/>
      <w:b/>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Symbol"/>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Calibri"/>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Symbol"/>
    </w:rPr>
  </w:style>
  <w:style w:type="character" w:styleId="ListLabel325" w:customStyle="1">
    <w:name w:val="ListLabel 325"/>
    <w:qFormat/>
    <w:rPr>
      <w:rFonts w:cs="Courier New"/>
    </w:rPr>
  </w:style>
  <w:style w:type="character" w:styleId="ListLabel326" w:customStyle="1">
    <w:name w:val="ListLabel 326"/>
    <w:qFormat/>
    <w:rPr>
      <w:rFonts w:cs="Wingdings"/>
    </w:rPr>
  </w:style>
  <w:style w:type="character" w:styleId="ListLabel327" w:customStyle="1">
    <w:name w:val="ListLabel 327"/>
    <w:qFormat/>
    <w:rPr>
      <w:rFonts w:cs="Symbol"/>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Calibri"/>
      <w:sz w:val="23"/>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rFonts w:cs="Symbol"/>
    </w:rPr>
  </w:style>
  <w:style w:type="character" w:styleId="ListLabel337" w:customStyle="1">
    <w:name w:val="ListLabel 337"/>
    <w:qFormat/>
    <w:rPr>
      <w:rFonts w:cs="Courier New"/>
    </w:rPr>
  </w:style>
  <w:style w:type="character" w:styleId="ListLabel338" w:customStyle="1">
    <w:name w:val="ListLabel 338"/>
    <w:qFormat/>
    <w:rPr>
      <w:rFonts w:cs="Wingdings"/>
    </w:rPr>
  </w:style>
  <w:style w:type="character" w:styleId="ListLabel339" w:customStyle="1">
    <w:name w:val="ListLabel 339"/>
    <w:qFormat/>
    <w:rPr>
      <w:rFonts w:cs="Calibri"/>
    </w:rPr>
  </w:style>
  <w:style w:type="character" w:styleId="ListLabel340" w:customStyle="1">
    <w:name w:val="ListLabel 340"/>
    <w:qFormat/>
    <w:rPr>
      <w:rFonts w:cs="Courier New"/>
    </w:rPr>
  </w:style>
  <w:style w:type="character" w:styleId="ListLabel341" w:customStyle="1">
    <w:name w:val="ListLabel 341"/>
    <w:qFormat/>
    <w:rPr>
      <w:rFonts w:cs="Wingdings"/>
    </w:rPr>
  </w:style>
  <w:style w:type="character" w:styleId="ListLabel342" w:customStyle="1">
    <w:name w:val="ListLabel 342"/>
    <w:qFormat/>
    <w:rPr>
      <w:rFonts w:cs="Symbol"/>
    </w:rPr>
  </w:style>
  <w:style w:type="character" w:styleId="ListLabel343" w:customStyle="1">
    <w:name w:val="ListLabel 343"/>
    <w:qFormat/>
    <w:rPr>
      <w:rFonts w:cs="Courier New"/>
    </w:rPr>
  </w:style>
  <w:style w:type="character" w:styleId="ListLabel344" w:customStyle="1">
    <w:name w:val="ListLabel 344"/>
    <w:qFormat/>
    <w:rPr>
      <w:rFonts w:cs="Wingdings"/>
    </w:rPr>
  </w:style>
  <w:style w:type="character" w:styleId="ListLabel345" w:customStyle="1">
    <w:name w:val="ListLabel 345"/>
    <w:qFormat/>
    <w:rPr>
      <w:rFonts w:cs="Symbol"/>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Calibri"/>
      <w:b/>
    </w:rPr>
  </w:style>
  <w:style w:type="character" w:styleId="ListLabel349" w:customStyle="1">
    <w:name w:val="ListLabel 349"/>
    <w:qFormat/>
    <w:rPr>
      <w:rFonts w:cs="Courier New"/>
      <w:b w:val="false"/>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Calibri"/>
      <w:b/>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Symbol"/>
    </w:rPr>
  </w:style>
  <w:style w:type="character" w:styleId="ListLabel364" w:customStyle="1">
    <w:name w:val="ListLabel 364"/>
    <w:qFormat/>
    <w:rPr>
      <w:rFonts w:cs="Courier New"/>
    </w:rPr>
  </w:style>
  <w:style w:type="character" w:styleId="ListLabel365" w:customStyle="1">
    <w:name w:val="ListLabel 365"/>
    <w:qFormat/>
    <w:rPr>
      <w:rFonts w:cs="Wingdings"/>
    </w:rPr>
  </w:style>
  <w:style w:type="character" w:styleId="ListLabel366" w:customStyle="1">
    <w:name w:val="ListLabel 366"/>
    <w:qFormat/>
    <w:rPr>
      <w:rFonts w:cs="Calibri"/>
    </w:rPr>
  </w:style>
  <w:style w:type="character" w:styleId="ListLabel367" w:customStyle="1">
    <w:name w:val="ListLabel 367"/>
    <w:qFormat/>
    <w:rPr>
      <w:rFonts w:cs="Courier New"/>
    </w:rPr>
  </w:style>
  <w:style w:type="character" w:styleId="ListLabel368" w:customStyle="1">
    <w:name w:val="ListLabel 368"/>
    <w:qFormat/>
    <w:rPr>
      <w:rFonts w:cs="Wingdings"/>
    </w:rPr>
  </w:style>
  <w:style w:type="character" w:styleId="ListLabel369" w:customStyle="1">
    <w:name w:val="ListLabel 369"/>
    <w:qFormat/>
    <w:rPr>
      <w:rFonts w:cs="Symbol"/>
    </w:rPr>
  </w:style>
  <w:style w:type="character" w:styleId="ListLabel370" w:customStyle="1">
    <w:name w:val="ListLabel 370"/>
    <w:qFormat/>
    <w:rPr>
      <w:rFonts w:cs="Courier New"/>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Calibri"/>
      <w:sz w:val="23"/>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rPr>
  </w:style>
  <w:style w:type="character" w:styleId="ListLabel379" w:customStyle="1">
    <w:name w:val="ListLabel 379"/>
    <w:qFormat/>
    <w:rPr>
      <w:rFonts w:cs="Courier New"/>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Calibri"/>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Calibri"/>
      <w:b/>
    </w:rPr>
  </w:style>
  <w:style w:type="character" w:styleId="ListLabel394" w:customStyle="1">
    <w:name w:val="ListLabel 394"/>
    <w:qFormat/>
    <w:rPr>
      <w:rFonts w:cs="Courier New"/>
      <w:b w:val="false"/>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Courier New"/>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Calibri"/>
      <w:b/>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rPr>
      <w:rFonts w:cs="Symbol"/>
    </w:rPr>
  </w:style>
  <w:style w:type="character" w:styleId="ListLabel406" w:customStyle="1">
    <w:name w:val="ListLabel 406"/>
    <w:qFormat/>
    <w:rPr>
      <w:rFonts w:cs="Courier New"/>
    </w:rPr>
  </w:style>
  <w:style w:type="character" w:styleId="ListLabel407" w:customStyle="1">
    <w:name w:val="ListLabel 407"/>
    <w:qFormat/>
    <w:rPr>
      <w:rFonts w:cs="Wingdings"/>
    </w:rPr>
  </w:style>
  <w:style w:type="character" w:styleId="ListLabel408" w:customStyle="1">
    <w:name w:val="ListLabel 408"/>
    <w:qFormat/>
    <w:rPr>
      <w:rFonts w:cs="Symbol"/>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Calibri"/>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cs="Symbol"/>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Calibri"/>
      <w:sz w:val="23"/>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rPr>
  </w:style>
  <w:style w:type="character" w:styleId="ListLabel424" w:customStyle="1">
    <w:name w:val="ListLabel 424"/>
    <w:qFormat/>
    <w:rPr>
      <w:rFonts w:cs="Courier New"/>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Calibri"/>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semiHidden/>
    <w:qFormat/>
    <w:rPr>
      <w:color w:val="00000A"/>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71593"/>
    <w:rPr>
      <w:rFonts w:ascii="Times New Roman" w:hAnsi="Times New Roman" w:cs="Times New Roman"/>
      <w:color w:val="00000A"/>
      <w:sz w:val="18"/>
      <w:szCs w:val="18"/>
    </w:rPr>
  </w:style>
  <w:style w:type="character" w:styleId="ListLabel438">
    <w:name w:val="ListLabel 438"/>
    <w:qFormat/>
    <w:rPr>
      <w:rFonts w:cs="Calibri"/>
      <w:b/>
    </w:rPr>
  </w:style>
  <w:style w:type="character" w:styleId="ListLabel439">
    <w:name w:val="ListLabel 439"/>
    <w:qFormat/>
    <w:rPr>
      <w:rFonts w:cs="Courier New"/>
      <w:b w:val="false"/>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Calibri"/>
      <w:b/>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Calibri"/>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Calibri"/>
      <w:sz w:val="23"/>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Calibri"/>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alibri"/>
      <w:b/>
    </w:rPr>
  </w:style>
  <w:style w:type="character" w:styleId="ListLabel490">
    <w:name w:val="ListLabel 490"/>
    <w:qFormat/>
    <w:rPr>
      <w:rFonts w:cs="Courier New"/>
      <w:b w:val="false"/>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Calibri"/>
      <w:b/>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Calibri"/>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Calibri"/>
      <w:sz w:val="23"/>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Calibri"/>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Calibri"/>
      <w:b/>
    </w:rPr>
  </w:style>
  <w:style w:type="character" w:styleId="ListLabel562">
    <w:name w:val="ListLabel 562"/>
    <w:qFormat/>
    <w:rPr>
      <w:rFonts w:cs="Courier New"/>
      <w:b w:val="false"/>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Calibri"/>
      <w:b/>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Calibri"/>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Calibri"/>
      <w:sz w:val="23"/>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Calibri"/>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qFormat/>
    <w:pPr>
      <w:spacing w:before="0" w:after="0"/>
      <w:ind w:left="720" w:hanging="0"/>
      <w:contextualSpacing/>
    </w:pPr>
    <w:rPr/>
  </w:style>
  <w:style w:type="paragraph" w:styleId="Default" w:customStyle="1">
    <w:name w:val="Default"/>
    <w:qFormat/>
    <w:pPr>
      <w:widowControl/>
      <w:overflowPunct w:val="tru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e71593"/>
    <w:pPr/>
    <w:rPr>
      <w:rFonts w:ascii="Times New Roman" w:hAnsi="Times New Roman" w:cs="Times New Roman"/>
      <w:sz w:val="18"/>
      <w:szCs w:val="18"/>
    </w:rPr>
  </w:style>
  <w:style w:type="paragraph" w:styleId="W3text" w:customStyle="1">
    <w:name w:val="w3-text"/>
    <w:basedOn w:val="Normal"/>
    <w:qFormat/>
    <w:rsid w:val="00340e92"/>
    <w:pPr>
      <w:overflowPunct w:val="false"/>
      <w:spacing w:beforeAutospacing="1" w:afterAutospacing="1"/>
    </w:pPr>
    <w:rPr>
      <w:rFonts w:ascii="Times New Roman" w:hAnsi="Times New Roman" w:eastAsia="Times New Roman" w:cs="Times New Roman"/>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hyperlink" Target="http://sipi.usc.edu/~toutios/pdfs/alexander2017vcv.pdf"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Application>LibreOffice/5.1.6.2$Linux_X86_64 LibreOffice_project/10m0$Build-2</Application>
  <Pages>16</Pages>
  <Words>7309</Words>
  <Characters>40188</Characters>
  <CharactersWithSpaces>47284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2018-10-03T15:53:19Z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