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Done: 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Done: 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Done: 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Done: 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TODO: Also, please make sure the supplementary materials are truly necessary. Reviewer #1 had a comment questioning the usefulness of some of the supplementary materials.</w:t>
      </w:r>
      <w:r>
        <w:rPr/>
        <w:t xml:space="preserve"> </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Done: 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 xml:space="preserve">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w:t>
      </w:r>
      <w:r>
        <w:rPr/>
        <w:t>in the number of independent degrees of freedom for controlling a vocal tract movement</w:t>
      </w:r>
      <w:r>
        <w:rPr/>
        <w: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w:t>
      </w:r>
      <w:r>
        <w:rPr/>
        <w:t xml:space="preserve">provides a compact representation of the data-set. This reduction of dimensionality </w:t>
      </w:r>
      <w:r>
        <w:rPr/>
        <w:t>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Done: 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b/>
          <w:b/>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Done: 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Done: 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 xml:space="preserve">Provided that the components are extracted from a sufficiently diverse dataset, </w:t>
      </w:r>
      <w:r>
        <w:rPr/>
        <w:t>we believe that the factors</w:t>
      </w:r>
      <w:r>
        <w:rPr/>
        <w:t xml:space="preserve"> should reflect speaker anatomy and efficiencies rather than the speech material. </w:t>
      </w:r>
      <w:r>
        <w:rPr/>
        <w:t>T</w:t>
      </w:r>
      <w:r>
        <w:rPr/>
        <w:t xml:space="preserve">he fact that the limited </w:t>
      </w:r>
      <w:r>
        <w:rPr/>
        <w:t>speech material</w:t>
      </w:r>
      <w:r>
        <w:rPr/>
        <w:t xml:space="preserve"> used in the present study produces </w:t>
      </w:r>
      <w:r>
        <w:rPr/>
        <w:t>factors</w:t>
      </w:r>
      <w:r>
        <w:rPr/>
        <w:t xml:space="preserve"> </w:t>
      </w:r>
      <w:r>
        <w:rPr/>
        <w:t>similar to</w:t>
      </w:r>
      <w:r>
        <w:rPr/>
        <w:t xml:space="preserve"> the much larger set in the 2015 paper </w:t>
      </w:r>
      <w:r>
        <w:rPr/>
        <w:t>supports this view</w:t>
      </w:r>
      <w:r>
        <w:rPr/>
        <w:t>.</w:t>
      </w:r>
      <w:r>
        <w:rPr/>
        <w:commentReference w:id="1"/>
      </w:r>
    </w:p>
    <w:p>
      <w:pPr>
        <w:pStyle w:val="ListParagraph"/>
        <w:numPr>
          <w:ilvl w:val="0"/>
          <w:numId w:val="1"/>
        </w:numPr>
        <w:rPr/>
      </w:pPr>
      <w:r>
        <w:rPr>
          <w:b/>
        </w:rPr>
        <w:t>Done: How does the assumption of linearity in the guided PCA approach affect the results?</w:t>
      </w:r>
    </w:p>
    <w:p>
      <w:pPr>
        <w:pStyle w:val="ListParagraph"/>
        <w:numPr>
          <w:ilvl w:val="0"/>
          <w:numId w:val="0"/>
        </w:numPr>
        <w:ind w:left="1440" w:right="0" w:hanging="0"/>
        <w:rPr/>
      </w:pPr>
      <w:r>
        <w:rPr>
          <w:b w:val="false"/>
          <w:bCs w:val="false"/>
        </w:rPr>
        <w:commentReference w:id="2"/>
      </w:r>
      <w:r>
        <w:rPr>
          <w:b w:val="false"/>
          <w:bCs w:val="false"/>
        </w:rPr>
        <w:t xml:space="preserve">An appropriately optimized non-linear model for compactly representing the vocal tract shapes might do so with a smaller number of components than the linear model </w:t>
      </w:r>
      <w:r>
        <w:rPr>
          <w:b w:val="false"/>
          <w:bCs w:val="false"/>
        </w:rPr>
        <w:t>of the present study</w:t>
      </w:r>
      <w:r>
        <w:rPr>
          <w:b w:val="false"/>
          <w:bCs w:val="false"/>
        </w:rPr>
        <w:t xml:space="preserve">. </w:t>
      </w:r>
      <w:r>
        <w:rPr>
          <w:b w:val="false"/>
          <w:bCs w:val="false"/>
        </w:rPr>
        <w:t>We used the linear model because of its interpretability in terms of distinct speech articulators</w:t>
      </w:r>
      <w:r>
        <w:rPr>
          <w:b w:val="false"/>
          <w:bCs w:val="false"/>
        </w:rPr>
        <w:t>.</w:t>
      </w:r>
      <w:r>
        <w:rPr>
          <w:b w:val="false"/>
          <w:bCs w:val="false"/>
        </w:rPr>
        <w:commentReference w:id="3"/>
      </w:r>
    </w:p>
    <w:p>
      <w:pPr>
        <w:pStyle w:val="ListParagraph"/>
        <w:numPr>
          <w:ilvl w:val="0"/>
          <w:numId w:val="0"/>
        </w:numPr>
        <w:ind w:left="1440" w:right="0" w:hanging="0"/>
        <w:rPr/>
      </w:pPr>
      <w:r>
        <w:rPr>
          <w:b w:val="false"/>
          <w:bCs w:val="false"/>
        </w:rPr>
        <w:t>In order to quantify how the linearity assumption impacts the results, t</w:t>
      </w:r>
      <w:r>
        <w:rPr>
          <w:b w:val="false"/>
          <w:bCs w:val="false"/>
        </w:rPr>
        <w:t xml:space="preserve">he revised manuscript quantifies the percent variance explained by each factor as a measure of model performance (cf. Fig. 4). </w:t>
      </w:r>
    </w:p>
    <w:p>
      <w:pPr>
        <w:pStyle w:val="ListParagraph"/>
        <w:numPr>
          <w:ilvl w:val="0"/>
          <w:numId w:val="1"/>
        </w:numPr>
        <w:rPr/>
      </w:pPr>
      <w:r>
        <w:rPr>
          <w:b/>
        </w:rPr>
        <w:t xml:space="preserve">Done: 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 xml:space="preserve">Intra-speaker variability is </w:t>
      </w:r>
      <w:r>
        <w:rPr/>
        <w:t>also</w:t>
      </w:r>
      <w:r>
        <w:rPr/>
        <w:t xml:space="preserve"> to be expected, </w:t>
      </w:r>
      <w:r>
        <w:rPr/>
        <w:t>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Done: 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Done: 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Done: 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Done: 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Done: 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Done: 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(TODO: give line numbers for first mention of the following: constriction degree; articulatory modeling; direct and differential kinematics; articulator synergy biomarker).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Done: 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Done: 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Done: 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Done: 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Done: 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Done: 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TODO: 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w:t>
      </w:r>
    </w:p>
    <w:p>
      <w:pPr>
        <w:pStyle w:val="ListParagraph"/>
        <w:numPr>
          <w:ilvl w:val="0"/>
          <w:numId w:val="1"/>
        </w:numPr>
        <w:rPr/>
      </w:pPr>
      <w:r>
        <w:rPr>
          <w:b/>
        </w:rPr>
        <w:t>Done: 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Done: 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TODO: 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1"/>
        </w:numPr>
        <w:rPr/>
      </w:pPr>
      <w:r>
        <w:rPr>
          <w:b/>
        </w:rPr>
        <w:t>Done: 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Done: 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w:t>
      </w:r>
      <w:r>
        <w:rPr/>
        <w:t>The test was conducted on utterances [apa], [ata], [aja], and [aka] with a real-time magnetic resonance imaging biomarker that was computed using a statistical model of the direct and differential kinematics of the vocal tract.</w:t>
      </w:r>
      <w:r>
        <w:rPr/>
        <w:t xml:space="preserve">” The conclusion now includes the modified sentence, “The analysis showed that articulator synergies vary for the following gestures </w:t>
      </w:r>
      <w:r>
        <w:rPr/>
        <w:t>in the intervocalic context [a]-consonant-[a]</w:t>
      </w:r>
      <w:r>
        <w:rPr/>
        <w:t xml:space="preserve">: bilabial closure, alveolar closure, palatal approximation, velar closure, and pharyngeal approximation and also vary by speaker.” </w:t>
      </w:r>
      <w:r>
        <w:rPr/>
        <w:t>The conclusion also suggests that future studies investigate a wider range of articulations (namely, different manner classes).</w:t>
      </w:r>
    </w:p>
    <w:p>
      <w:pPr>
        <w:pStyle w:val="ListParagraph"/>
        <w:numPr>
          <w:ilvl w:val="0"/>
          <w:numId w:val="1"/>
        </w:numPr>
        <w:rPr/>
      </w:pPr>
      <w:r>
        <w:rPr>
          <w:b/>
        </w:rPr>
        <w:t>Done: 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w:t>
      </w:r>
      <w:r>
        <w:rPr/>
        <w:t xml:space="preserve">Guided Factor Analysis” and “Guided PCA” have </w:t>
      </w:r>
      <w:r>
        <w:rPr/>
        <w:t xml:space="preserve">both </w:t>
      </w:r>
      <w:r>
        <w:rPr/>
        <w:t xml:space="preserve">been used to describe Maeda's pioneering work in articulatory modeling. We make no distinction between the two terms. </w:t>
      </w:r>
      <w:r>
        <w:rPr/>
        <w:t>The</w:t>
      </w:r>
      <w:r>
        <w:rPr/>
        <w:t xml:space="preserve"> first paragraph </w:t>
      </w:r>
      <w:r>
        <w:rPr/>
        <w:t>of S</w:t>
      </w:r>
      <w:r>
        <w:rPr/>
        <w:t>ection IV.</w:t>
      </w:r>
      <w:r>
        <w:rPr/>
        <w:t>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Done: 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b w:val="false"/>
          <w:b w:val="false"/>
          <w:bCs w:val="false"/>
        </w:rPr>
      </w:pPr>
      <w:r>
        <w:rPr>
          <w:b w:val="false"/>
          <w:bCs w:val="false"/>
        </w:rPr>
        <w:t>We agree that this was poorly worded. The revised text is simplified to convey only the essential point.</w:t>
      </w:r>
    </w:p>
    <w:p>
      <w:pPr>
        <w:pStyle w:val="ListParagraph"/>
        <w:numPr>
          <w:ilvl w:val="0"/>
          <w:numId w:val="1"/>
        </w:numPr>
        <w:rPr/>
      </w:pPr>
      <w:r>
        <w:rPr>
          <w:b/>
        </w:rPr>
        <w:t>Done: 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 xml:space="preserve">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t>
      </w:r>
      <w:r>
        <w:rPr>
          <w:b w:val="false"/>
          <w:bCs w:val="false"/>
        </w:rPr>
        <w:t>which is possible with the proposed method</w:t>
      </w:r>
      <w:r>
        <w:rPr>
          <w:b w:val="false"/>
          <w:bCs w:val="false"/>
        </w:rPr>
        <w:t>.</w:t>
      </w:r>
    </w:p>
    <w:p>
      <w:pPr>
        <w:pStyle w:val="ListParagraph"/>
        <w:numPr>
          <w:ilvl w:val="0"/>
          <w:numId w:val="1"/>
        </w:numPr>
        <w:rPr/>
      </w:pPr>
      <w:r>
        <w:rPr>
          <w:b/>
        </w:rPr>
        <w:t>Done: 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w:t>
      </w:r>
      <w:r>
        <w:rPr/>
        <w:t xml:space="preserve">Guided Factor Analysis” and “Guided PCA” have </w:t>
      </w:r>
      <w:r>
        <w:rPr/>
        <w:t xml:space="preserve">both </w:t>
      </w:r>
      <w:r>
        <w:rPr/>
        <w:t xml:space="preserve">been used to describe Maeda's pioneering work in articulatory modeling. We make no distinction between the two terms. </w:t>
      </w:r>
      <w:r>
        <w:rPr/>
        <w:t>The</w:t>
      </w:r>
      <w:r>
        <w:rPr/>
        <w:t xml:space="preserve"> first paragraph </w:t>
      </w:r>
      <w:r>
        <w:rPr/>
        <w:t>of S</w:t>
      </w:r>
      <w:r>
        <w:rPr/>
        <w:t>ection IV.</w:t>
      </w:r>
      <w:r>
        <w:rPr/>
        <w:t>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Done: 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Done: 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b/>
          <w:b/>
        </w:rPr>
      </w:pPr>
      <w:r>
        <w:rPr>
          <w:b/>
        </w:rPr>
        <w:t>Done: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Done: 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w:t>
      </w:r>
      <w:r>
        <w:rPr/>
        <w:t xml:space="preserve">The time-varying coefficients coefficients ... of the linear combination are </w:t>
      </w:r>
      <w:r>
        <w:rPr/>
        <w:t xml:space="preserve">factor scores </w:t>
      </w:r>
      <w:r>
        <w:rPr/>
        <w:t xml:space="preserve">that </w:t>
      </w:r>
      <w:r>
        <w:rPr/>
        <w:t>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Done: 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Done: 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Done: 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Done: 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b w:val="false"/>
          <w:b w:val="false"/>
          <w:bCs w:val="false"/>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TODO: 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1"/>
        </w:numPr>
        <w:rPr>
          <w:b/>
          <w:b/>
        </w:rPr>
      </w:pPr>
      <w:r>
        <w:rPr>
          <w:b/>
        </w:rPr>
        <w:t>Done: 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Done: 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Done: 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Done: 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Done: Line 548: Please, correct to “sensitivity”.</w:t>
      </w:r>
      <w:r>
        <w:rPr/>
        <w:t xml:space="preserve"> Done</w:t>
      </w:r>
    </w:p>
    <w:p>
      <w:pPr>
        <w:pStyle w:val="ListParagraph"/>
        <w:numPr>
          <w:ilvl w:val="0"/>
          <w:numId w:val="1"/>
        </w:numPr>
        <w:rPr/>
      </w:pPr>
      <w:r>
        <w:rPr>
          <w:b/>
        </w:rPr>
        <w:t xml:space="preserve">Done: Figure 4. The tick marks on the right Y-axis are hardly visible. </w:t>
      </w:r>
    </w:p>
    <w:p>
      <w:pPr>
        <w:pStyle w:val="ListParagraph"/>
        <w:numPr>
          <w:ilvl w:val="0"/>
          <w:numId w:val="0"/>
        </w:numPr>
        <w:ind w:left="1440" w:right="0" w:hanging="0"/>
        <w:rPr>
          <w:b w:val="false"/>
          <w:b w:val="false"/>
          <w:bCs w:val="false"/>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Done: Figure 6. Lines and symbols are too thin to be neatly visible.</w:t>
      </w:r>
    </w:p>
    <w:p>
      <w:pPr>
        <w:pStyle w:val="ListParagraph"/>
        <w:numPr>
          <w:ilvl w:val="0"/>
          <w:numId w:val="0"/>
        </w:numPr>
        <w:ind w:left="1440" w:right="0" w:hanging="0"/>
        <w:rPr>
          <w:b w:val="false"/>
          <w:b w:val="false"/>
          <w:bCs w:val="false"/>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Done: 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Done: 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 xml:space="preserve">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w:t>
      </w:r>
    </w:p>
    <w:p>
      <w:pPr>
        <w:pStyle w:val="ListParagraph"/>
        <w:numPr>
          <w:ilvl w:val="0"/>
          <w:numId w:val="3"/>
        </w:numPr>
        <w:rPr>
          <w:b/>
          <w:b/>
        </w:rPr>
      </w:pPr>
      <w:r>
        <w:rPr>
          <w:b/>
        </w:rPr>
        <w:t>Done: 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Done: 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Done: 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Done: 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Normal"/>
        <w:rPr>
          <w:b/>
          <w:b/>
        </w:rPr>
      </w:pPr>
      <w:r>
        <w:rPr>
          <w:b/>
        </w:rPr>
      </w:r>
    </w:p>
    <w:p>
      <w:pPr>
        <w:pStyle w:val="ListParagraph"/>
        <w:numPr>
          <w:ilvl w:val="0"/>
          <w:numId w:val="1"/>
        </w:numPr>
        <w:rPr/>
      </w:pPr>
      <w:r>
        <w:rPr>
          <w:b/>
        </w:rPr>
        <w:t>Done: 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TODO: 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r>
        <w:rPr>
          <w:b/>
        </w:rPr>
        <w:t xml:space="preserve">Done: </w:t>
      </w: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Done: 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Done: 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Done: 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Done: 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Done: 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Done: 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comment w:id="1" w:author="" w:date="2018-09-27T09:31:04Z" w:initials=""/>
  <w:comment w:id="2" w:author="" w:date="2018-09-27T09:33:11Z" w:initials=""/>
  <w:comment w:id="3" w:author="" w:date="2018-09-27T09:33:11Z" w:initials=""/>
  <w:comment w:id="4" w:author="" w:date="2018-09-27T09:39:06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945</TotalTime>
  <Application>LibreOffice/5.1.6.2$Linux_X86_64 LibreOffice_project/10m0$Build-2</Application>
  <Pages>16</Pages>
  <Words>7610</Words>
  <Characters>41703</Characters>
  <CharactersWithSpaces>49128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2018-09-27T10:19:52Z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