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 xml:space="preserve">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w:t>
      </w:r>
      <w:r w:rsidR="007B426E">
        <w:t>provided</w:t>
      </w:r>
      <w:r>
        <w:t xml:space="preserve">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E746C1">
      <w:pPr>
        <w:pStyle w:val="Textbody"/>
      </w:pPr>
      <w:r>
        <w:t xml:space="preserve">This is indeed an interesting issue. The revised manuscript takes it up in a new section, “Section VIII. </w:t>
      </w:r>
      <w:bookmarkStart w:id="0" w:name="__DdeLink__189_2989268427"/>
      <w:r w:rsidR="006F6008">
        <w:t>Inter- and</w:t>
      </w:r>
      <w:r>
        <w:t xml:space="preserve"> intra-participant variability</w:t>
      </w:r>
      <w:bookmarkEnd w:id="0"/>
      <w:r>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 xml:space="preserve">The revised manuscript </w:t>
      </w:r>
      <w:r w:rsidR="00CB4F19">
        <w:t>now includes a new</w:t>
      </w:r>
      <w:r>
        <w:t xml:space="preserve"> subsection </w:t>
      </w:r>
      <w:r w:rsidR="00CB4F19">
        <w:t>“</w:t>
      </w:r>
      <w:r>
        <w:t>Section IX.</w:t>
      </w:r>
      <w:r w:rsidR="00CB4F19">
        <w:t xml:space="preserve">D. Decomposing the tongue into multiple articulators” that explicitly describes </w:t>
      </w:r>
      <w:r w:rsidR="00266DC7">
        <w:t>an extension to the guided factor analysis that models</w:t>
      </w:r>
      <w:r w:rsidR="00CB4F19">
        <w:t xml:space="preserve"> the tongue body and tongue tip separately.</w:t>
      </w:r>
      <w:r w:rsidR="002F2B70">
        <w:t xml:space="preserve"> The new subsection indicates how to interpret the tongue factors in the present study.</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 xml:space="preserve">of the present study (cf. lines 60-64)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original null hypotheses </w:t>
      </w:r>
      <w:r w:rsidR="003A1067">
        <w:t xml:space="preserve">as well as a set of supplementary hypotheses. Whereas the original null hypotheses </w:t>
      </w:r>
      <w:r w:rsidR="003A1067">
        <w:lastRenderedPageBreak/>
        <w:t xml:space="preserve">were that contrasts between the “anterior” </w:t>
      </w:r>
      <w:r w:rsidR="000D1633">
        <w:t xml:space="preserve">levels </w:t>
      </w:r>
      <w:r w:rsidR="003A1067">
        <w:t>and “posterior” levels of the factor “constriction task” were zero, the revised set expands the original null hypotheses to include 10 contrasts consisting of all possible distinct combinations of levels of the factor “constriction task” (see Table II of the revised manuscript for enumeration).</w:t>
      </w:r>
      <w:r w:rsidR="000D1633">
        <w:t xml:space="preserve"> </w:t>
      </w:r>
      <w:r w:rsidR="00524D72">
        <w:t>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p>
    <w:p w:rsidR="00F92E20" w:rsidRDefault="00F92E20">
      <w:pPr>
        <w:pStyle w:val="Textbody"/>
      </w:pPr>
      <w:r>
        <w:t>Given the advances made in achieving Research Goals (</w:t>
      </w:r>
      <w:proofErr w:type="spellStart"/>
      <w:r>
        <w:t>i</w:t>
      </w:r>
      <w:proofErr w:type="spellEnd"/>
      <w:r>
        <w:t>) and (ii) (cf. lines 60-64),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Reviewer 3 entertains the possibility that differences in the jaw’s contribution to an articulator synergy may be explainable in terms of distance of the synergy’s place of articulation from the condyle. We view this as an interesting possibility. As Reviewer 3 points out, the results of the present study may suggest that distance between the place of articulation and the condyle does not explain inter-articulator coordination in synergies.</w:t>
      </w:r>
    </w:p>
    <w:p w:rsidR="00BB050D" w:rsidRDefault="00E746C1" w:rsidP="000D1633">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attempts to explain differences in articulator synergies in terms of the place of articulation along the anterior-posterior axis, which is visible in the</w:t>
      </w:r>
      <w:r w:rsidR="000D1633">
        <w:t xml:space="preserve"> midsagittal</w:t>
      </w:r>
      <w:r>
        <w:t xml:space="preserve"> MRI scan plane.</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Overall, I would have been much happier with the paper if it had just confined itself to a comparison of /p, t, k/. I don't see what useful conclusions can be drawn from any comparison of these consonants with a constriction for the vowel /a/. Could not any differences found also be due to the fact that synergies may differ for consonantal versus vocalic gestures?</w:t>
      </w:r>
    </w:p>
    <w:p w:rsidR="009C49F6" w:rsidRDefault="009C49F6">
      <w:pPr>
        <w:pStyle w:val="Textbody"/>
      </w:pPr>
      <w:r>
        <w:lastRenderedPageBreak/>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 xml:space="preserve">to the discussion. The relevant part of Section X is moved to a new </w:t>
      </w:r>
      <w:r w:rsidR="00E264A3">
        <w:t>paragraph in</w:t>
      </w:r>
      <w:r w:rsidR="00E746C1">
        <w:t xml:space="preserve"> Section IX.</w:t>
      </w:r>
      <w:r w:rsidR="00E264A3">
        <w:t>A</w:t>
      </w:r>
      <w:r w:rsidR="00E746C1">
        <w:t>.</w:t>
      </w:r>
      <w:r w:rsidR="00CC0268">
        <w:t xml:space="preserve"> </w:t>
      </w:r>
      <w:r w:rsidR="00E264A3">
        <w:t>This text</w:t>
      </w:r>
      <w:r w:rsidR="00CC0268">
        <w:t xml:space="preserve"> addresses Reviewer 3’s </w:t>
      </w:r>
      <w:r w:rsidR="00E264A3">
        <w:t>concern</w:t>
      </w:r>
      <w:r w:rsidR="00CC0268">
        <w:t xml:space="preserve">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 and manner of articulation (e.g., stop, approximation).</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t xml:space="preserve">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w:t>
      </w:r>
      <w:r>
        <w:lastRenderedPageBreak/>
        <w:t>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proofErr w:type="gramStart"/>
      <w:r>
        <w:t>AA, but</w:t>
      </w:r>
      <w:proofErr w:type="gramEnd"/>
      <w:r>
        <w:t xml:space="preserve"> has no ARPABET equivalent for [a].) In order to minimize confusion, the revised manuscript switches the symbol [a] for the low front unrounded vowel to the symbol [ɑ]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 xml:space="preserve">The </w:t>
      </w:r>
      <w:r w:rsidR="00810F48">
        <w:t>velum is an articulator that is used to estimate the forward kinematic map. Omitting it would increase the error of the forward kinematic</w:t>
      </w:r>
      <w:r w:rsidR="0035260A">
        <w:t xml:space="preserve"> map at the velar place of articulation. For this reason, the revised manuscript does not omit mention of the velum.</w:t>
      </w:r>
      <w:bookmarkStart w:id="1" w:name="_GoBack"/>
      <w:bookmarkEnd w:id="1"/>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4D7" w:rsidRDefault="001134D7">
      <w:r>
        <w:separator/>
      </w:r>
    </w:p>
  </w:endnote>
  <w:endnote w:type="continuationSeparator" w:id="0">
    <w:p w:rsidR="001134D7" w:rsidRDefault="0011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4D7" w:rsidRDefault="001134D7">
      <w:r>
        <w:rPr>
          <w:color w:val="000000"/>
        </w:rPr>
        <w:separator/>
      </w:r>
    </w:p>
  </w:footnote>
  <w:footnote w:type="continuationSeparator" w:id="0">
    <w:p w:rsidR="001134D7" w:rsidRDefault="00113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0D1633"/>
    <w:rsid w:val="001134D7"/>
    <w:rsid w:val="00114400"/>
    <w:rsid w:val="00132672"/>
    <w:rsid w:val="001C6D97"/>
    <w:rsid w:val="0021130D"/>
    <w:rsid w:val="00266DC7"/>
    <w:rsid w:val="002F2B70"/>
    <w:rsid w:val="00341AD5"/>
    <w:rsid w:val="0035260A"/>
    <w:rsid w:val="003A1067"/>
    <w:rsid w:val="00442BE7"/>
    <w:rsid w:val="00453801"/>
    <w:rsid w:val="00466457"/>
    <w:rsid w:val="00503AFC"/>
    <w:rsid w:val="00524D72"/>
    <w:rsid w:val="00612FF5"/>
    <w:rsid w:val="00681B44"/>
    <w:rsid w:val="006A236C"/>
    <w:rsid w:val="006F6008"/>
    <w:rsid w:val="007B426E"/>
    <w:rsid w:val="007C1B67"/>
    <w:rsid w:val="007C41C4"/>
    <w:rsid w:val="007C7FF9"/>
    <w:rsid w:val="00804CBC"/>
    <w:rsid w:val="00810F48"/>
    <w:rsid w:val="0084552D"/>
    <w:rsid w:val="009C49F6"/>
    <w:rsid w:val="00A20B0D"/>
    <w:rsid w:val="00B00076"/>
    <w:rsid w:val="00BB050D"/>
    <w:rsid w:val="00BD6722"/>
    <w:rsid w:val="00C23CC7"/>
    <w:rsid w:val="00C65E7E"/>
    <w:rsid w:val="00CB4F19"/>
    <w:rsid w:val="00CC0268"/>
    <w:rsid w:val="00CD4F33"/>
    <w:rsid w:val="00E264A3"/>
    <w:rsid w:val="00E746C1"/>
    <w:rsid w:val="00E9457C"/>
    <w:rsid w:val="00EA0255"/>
    <w:rsid w:val="00F06E03"/>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48A5"/>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28</cp:revision>
  <dcterms:created xsi:type="dcterms:W3CDTF">2018-12-19T14:09:00Z</dcterms:created>
  <dcterms:modified xsi:type="dcterms:W3CDTF">2019-01-22T23:16:00Z</dcterms:modified>
</cp:coreProperties>
</file>