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26E93" w14:textId="407B58C6" w:rsidR="000563CC" w:rsidRPr="00916EF4" w:rsidRDefault="00916EF4" w:rsidP="00916EF4">
      <w:pPr>
        <w:jc w:val="center"/>
        <w:rPr>
          <w:b/>
          <w:bCs/>
          <w:sz w:val="32"/>
          <w:szCs w:val="32"/>
        </w:rPr>
      </w:pPr>
      <w:r w:rsidRPr="00916EF4">
        <w:rPr>
          <w:b/>
          <w:bCs/>
          <w:sz w:val="32"/>
          <w:szCs w:val="32"/>
        </w:rPr>
        <w:t>Mini Hackathon – 2</w:t>
      </w:r>
    </w:p>
    <w:p w14:paraId="7954D130" w14:textId="77777777" w:rsidR="00916EF4" w:rsidRDefault="00916EF4" w:rsidP="00916EF4"/>
    <w:p w14:paraId="3EEE53C4" w14:textId="359D4DAC" w:rsidR="00916EF4" w:rsidRDefault="00916EF4" w:rsidP="00916EF4">
      <w:proofErr w:type="spellStart"/>
      <w:r w:rsidRPr="00916EF4">
        <w:rPr>
          <w:b/>
          <w:bCs/>
        </w:rPr>
        <w:t>ClinicaRAG</w:t>
      </w:r>
      <w:proofErr w:type="spellEnd"/>
      <w:r w:rsidRPr="00916EF4">
        <w:rPr>
          <w:b/>
          <w:bCs/>
        </w:rPr>
        <w:t xml:space="preserve"> Standalone Evaluation Benchmark</w:t>
      </w:r>
      <w:r w:rsidRPr="00916EF4">
        <w:t xml:space="preserve"> </w:t>
      </w:r>
    </w:p>
    <w:p w14:paraId="2421C99C" w14:textId="39D1C138" w:rsidR="00916EF4" w:rsidRDefault="00916EF4" w:rsidP="00916EF4">
      <w:r w:rsidRPr="00916EF4">
        <w:t xml:space="preserve">This table provides a comprehensive quantitative breakdown of the </w:t>
      </w:r>
      <w:proofErr w:type="spellStart"/>
      <w:r w:rsidRPr="00916EF4">
        <w:t>ClinicaRAG</w:t>
      </w:r>
      <w:proofErr w:type="spellEnd"/>
      <w:r w:rsidRPr="00916EF4">
        <w:t xml:space="preserve"> subsystem and its end-to-end execution across four distinct architectural stages. It details the specific performance of </w:t>
      </w:r>
      <w:proofErr w:type="spellStart"/>
      <w:r w:rsidRPr="00916EF4">
        <w:t>BioBERT</w:t>
      </w:r>
      <w:proofErr w:type="spellEnd"/>
      <w:r w:rsidRPr="00916EF4">
        <w:t xml:space="preserve"> NER, </w:t>
      </w:r>
      <w:proofErr w:type="spellStart"/>
      <w:r w:rsidRPr="00916EF4">
        <w:t>ChromaDB</w:t>
      </w:r>
      <w:proofErr w:type="spellEnd"/>
      <w:r w:rsidRPr="00916EF4">
        <w:t xml:space="preserve"> Retrieval, and the Llama 3 (8B) Synthesis engine using Accuracy, Recall, F1 Score, and Prediction Probability. The data highlights how deploying </w:t>
      </w:r>
      <w:proofErr w:type="spellStart"/>
      <w:r w:rsidRPr="00916EF4">
        <w:t>BioBERT</w:t>
      </w:r>
      <w:proofErr w:type="spellEnd"/>
      <w:r w:rsidRPr="00916EF4">
        <w:t xml:space="preserve"> eliminates administrative noise to achieve up to a 95.42% Recall@1 search accuracy. Ultimately, the fully integrated hybrid system delivers a highly calibrated, hallucination-free output with a 96.8% to 98.2% grounded match rate.</w:t>
      </w:r>
    </w:p>
    <w:p w14:paraId="0621E49B" w14:textId="19FE5BBD" w:rsidR="00916EF4" w:rsidRDefault="00916EF4" w:rsidP="00916EF4">
      <w:r w:rsidRPr="00916EF4">
        <w:rPr>
          <w:noProof/>
        </w:rPr>
        <w:drawing>
          <wp:inline distT="0" distB="0" distL="0" distR="0" wp14:anchorId="4E121237" wp14:editId="5FEC544C">
            <wp:extent cx="5731510" cy="2094865"/>
            <wp:effectExtent l="0" t="0" r="2540" b="635"/>
            <wp:docPr id="9043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74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B771" w14:textId="21FFE8A8" w:rsidR="00916EF4" w:rsidRDefault="00916EF4" w:rsidP="00916EF4">
      <w:r>
        <w:rPr>
          <w:noProof/>
        </w:rPr>
        <w:drawing>
          <wp:inline distT="0" distB="0" distL="0" distR="0" wp14:anchorId="718D2DD3" wp14:editId="177711F2">
            <wp:extent cx="5731510" cy="3275330"/>
            <wp:effectExtent l="0" t="0" r="2540" b="1270"/>
            <wp:docPr id="176239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91196" name="Picture 17623911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BF47" w14:textId="77777777" w:rsidR="00916EF4" w:rsidRDefault="00916EF4" w:rsidP="00916EF4"/>
    <w:p w14:paraId="020969FD" w14:textId="77777777" w:rsidR="00916EF4" w:rsidRDefault="00916EF4" w:rsidP="00916EF4"/>
    <w:p w14:paraId="5FC6E364" w14:textId="77777777" w:rsidR="00916EF4" w:rsidRDefault="00916EF4" w:rsidP="00916EF4"/>
    <w:p w14:paraId="7F4411F4" w14:textId="159766CC" w:rsidR="00916EF4" w:rsidRDefault="00916EF4" w:rsidP="00916EF4">
      <w:r w:rsidRPr="00916EF4">
        <w:rPr>
          <w:b/>
          <w:bCs/>
        </w:rPr>
        <w:lastRenderedPageBreak/>
        <w:t xml:space="preserve">Comparative Analysis </w:t>
      </w:r>
      <w:proofErr w:type="gramStart"/>
      <w:r>
        <w:rPr>
          <w:b/>
          <w:bCs/>
        </w:rPr>
        <w:t>Of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ClinicaRAG</w:t>
      </w:r>
      <w:proofErr w:type="spellEnd"/>
      <w:r>
        <w:rPr>
          <w:b/>
          <w:bCs/>
        </w:rPr>
        <w:t xml:space="preserve"> with other Existing Models</w:t>
      </w:r>
    </w:p>
    <w:p w14:paraId="7F4B12E8" w14:textId="27CD04F6" w:rsidR="00916EF4" w:rsidRDefault="00916EF4" w:rsidP="00916EF4">
      <w:r w:rsidRPr="00916EF4">
        <w:t xml:space="preserve">This table presents a detailed comparative analysis between the proposed </w:t>
      </w:r>
      <w:proofErr w:type="spellStart"/>
      <w:r w:rsidRPr="00916EF4">
        <w:t>ClinicaRAG</w:t>
      </w:r>
      <w:proofErr w:type="spellEnd"/>
      <w:r w:rsidRPr="00916EF4">
        <w:t xml:space="preserve"> architecture and nine baseline models, including standard RAG, </w:t>
      </w:r>
      <w:proofErr w:type="spellStart"/>
      <w:r w:rsidRPr="00916EF4">
        <w:t>BioBERT</w:t>
      </w:r>
      <w:proofErr w:type="spellEnd"/>
      <w:r w:rsidRPr="00916EF4">
        <w:t xml:space="preserve">, and standalone LLMs. It evaluates these systems across four core quantitative dimensions to determine relative efficacy in clinical decision support. The benchmark demonstrates that </w:t>
      </w:r>
      <w:proofErr w:type="spellStart"/>
      <w:r w:rsidRPr="00916EF4">
        <w:t>ClinicaRAG</w:t>
      </w:r>
      <w:proofErr w:type="spellEnd"/>
      <w:r w:rsidRPr="00916EF4">
        <w:t xml:space="preserve"> consistently outperforms the baselines, achieving top-tier Phenotype Recall (94.5%-96.2%) and Entity-Guided F1 scores (95.1%-97.4%). By successfully bridging entity extraction with expansive non-parametric literature retrieval, the system yields a superior, highly calibrated prediction probability of 0.95 to 0.98.</w:t>
      </w:r>
    </w:p>
    <w:p w14:paraId="3D237230" w14:textId="1862D401" w:rsidR="00916EF4" w:rsidRDefault="00916EF4" w:rsidP="00916EF4">
      <w:r w:rsidRPr="00916EF4">
        <w:rPr>
          <w:noProof/>
        </w:rPr>
        <w:drawing>
          <wp:inline distT="0" distB="0" distL="0" distR="0" wp14:anchorId="226BEDA7" wp14:editId="7D8D5E74">
            <wp:extent cx="5731510" cy="2615565"/>
            <wp:effectExtent l="0" t="0" r="2540" b="0"/>
            <wp:docPr id="58340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08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13C1" w14:textId="48F6597D" w:rsidR="00916EF4" w:rsidRPr="00916EF4" w:rsidRDefault="00916EF4" w:rsidP="00916EF4">
      <w:r>
        <w:rPr>
          <w:noProof/>
        </w:rPr>
        <w:drawing>
          <wp:inline distT="0" distB="0" distL="0" distR="0" wp14:anchorId="2DD3DF89" wp14:editId="4A115F05">
            <wp:extent cx="5731510" cy="3171825"/>
            <wp:effectExtent l="0" t="0" r="2540" b="9525"/>
            <wp:docPr id="17591205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20506" name="Picture 17591205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EF4" w:rsidRPr="00916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EF4"/>
    <w:rsid w:val="000563CC"/>
    <w:rsid w:val="000C111D"/>
    <w:rsid w:val="00512930"/>
    <w:rsid w:val="00553C00"/>
    <w:rsid w:val="00916EF4"/>
    <w:rsid w:val="00BF2E0F"/>
    <w:rsid w:val="00C33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F7BAE"/>
  <w15:chartTrackingRefBased/>
  <w15:docId w15:val="{A8641997-F402-4A8D-A3F7-626879D9C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E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E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E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E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E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E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E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E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E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P</dc:creator>
  <cp:keywords/>
  <dc:description/>
  <cp:lastModifiedBy>Dhanush P</cp:lastModifiedBy>
  <cp:revision>2</cp:revision>
  <dcterms:created xsi:type="dcterms:W3CDTF">2026-09-23T03:56:00Z</dcterms:created>
  <dcterms:modified xsi:type="dcterms:W3CDTF">2026-09-23T04:07:00Z</dcterms:modified>
</cp:coreProperties>
</file>