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left"/>
      </w:pPr>
      <w:r>
        <w:rPr>
          <w:rFonts w:ascii="Calibri" w:cs="Calibri" w:eastAsia="Calibri" w:hAnsi="Calibri"/>
          <w:color w:val="64748b"/>
          <w:sz w:val="22"/>
          <w:szCs w:val="22"/>
        </w:rPr>
        <w:t xml:space="preserve">IA728001 — Studio 6</w:t>
      </w:r>
    </w:p>
    <w:p>
      <w:pPr>
        <w:spacing w:after="60"/>
        <w:jc w:val="left"/>
      </w:pPr>
      <w:r>
        <w:rPr>
          <w:rFonts w:ascii="Calibri" w:cs="Calibri" w:eastAsia="Calibri" w:hAnsi="Calibri"/>
          <w:b/>
          <w:bCs/>
          <w:color w:val="1a6b68"/>
          <w:sz w:val="68"/>
          <w:szCs w:val="68"/>
        </w:rPr>
        <w:t xml:space="preserve">OneStep Healthcare</w:t>
      </w:r>
    </w:p>
    <w:p>
      <w:pPr>
        <w:spacing w:after="200"/>
        <w:jc w:val="left"/>
      </w:pPr>
      <w:r>
        <w:rPr>
          <w:rFonts w:ascii="Calibri" w:cs="Calibri" w:eastAsia="Calibri" w:hAnsi="Calibri"/>
          <w:color w:val="1e293b"/>
          <w:sz w:val="44"/>
          <w:szCs w:val="44"/>
        </w:rPr>
        <w:t xml:space="preserve">Evidence Portfolio</w:t>
      </w:r>
    </w:p>
    <w:p>
      <w:pPr>
        <w:pBdr>
          <w:bottom w:val="single" w:color="1a6b68" w:sz="8"/>
        </w:pBdr>
        <w:spacing w:after="400"/>
      </w:pPr>
    </w:p>
    <w:p>
      <w:pPr>
        <w:spacing w:after="0" w:before="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Student Name</w:t>
            </w:r>
          </w:p>
        </w:tc>
        <w:tc>
          <w:tcPr>
            <w:tcW w:type="dxa" w:w="4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Talpada Vivek Jayeshbhai</w:t>
            </w:r>
          </w:p>
        </w:tc>
      </w:tr>
      <w:tr>
        <w:tc>
          <w:tcPr>
            <w:tcW w:type="dxa" w:w="2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Student ID</w:t>
            </w:r>
          </w:p>
        </w:tc>
        <w:tc>
          <w:tcPr>
            <w:tcW w:type="dxa" w:w="4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1000118801</w:t>
            </w:r>
          </w:p>
        </w:tc>
      </w:tr>
      <w:tr>
        <w:tc>
          <w:tcPr>
            <w:tcW w:type="dxa" w:w="2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Course</w:t>
            </w:r>
          </w:p>
        </w:tc>
        <w:tc>
          <w:tcPr>
            <w:tcW w:type="dxa" w:w="4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Bachelor of Information Technology</w:t>
            </w:r>
          </w:p>
        </w:tc>
      </w:tr>
      <w:tr>
        <w:tc>
          <w:tcPr>
            <w:tcW w:type="dxa" w:w="2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Paper</w:t>
            </w:r>
          </w:p>
        </w:tc>
        <w:tc>
          <w:tcPr>
            <w:tcW w:type="dxa" w:w="4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IA728001 — Studio 6</w:t>
            </w:r>
          </w:p>
        </w:tc>
      </w:tr>
      <w:tr>
        <w:tc>
          <w:tcPr>
            <w:tcW w:type="dxa" w:w="2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Lecturers</w:t>
            </w:r>
          </w:p>
        </w:tc>
        <w:tc>
          <w:tcPr>
            <w:tcW w:type="dxa" w:w="4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Dr Senaka Amarakeerthi and Dr Sonia Gul</w:t>
            </w:r>
          </w:p>
        </w:tc>
      </w:tr>
      <w:tr>
        <w:tc>
          <w:tcPr>
            <w:tcW w:type="dxa" w:w="2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GitHub</w:t>
            </w:r>
          </w:p>
        </w:tc>
        <w:tc>
          <w:tcPr>
            <w:tcW w:type="dxa" w:w="4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github.com/TannuTannuMalik/OneStep-HealthCare</w:t>
            </w:r>
          </w:p>
        </w:tc>
      </w:tr>
      <w:tr>
        <w:tc>
          <w:tcPr>
            <w:tcW w:type="dxa" w:w="2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Live App</w:t>
            </w:r>
          </w:p>
        </w:tc>
        <w:tc>
          <w:tcPr>
            <w:tcW w:type="dxa" w:w="4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one-step-health-care.vercel.app</w:t>
            </w:r>
          </w:p>
        </w:tc>
      </w:tr>
      <w:tr>
        <w:tc>
          <w:tcPr>
            <w:tcW w:type="dxa" w:w="2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Smart Contract</w:t>
            </w:r>
          </w:p>
        </w:tc>
        <w:tc>
          <w:tcPr>
            <w:tcW w:type="dxa" w:w="4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0x997Ee29Ab4bb58EEd98eFfa5358B7E3e55265323 (Sepolia)</w:t>
            </w:r>
          </w:p>
        </w:tc>
      </w:tr>
      <w:tr>
        <w:tc>
          <w:tcPr>
            <w:tcW w:type="dxa" w:w="2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Date</w:t>
            </w:r>
          </w:p>
        </w:tc>
        <w:tc>
          <w:tcPr>
            <w:tcW w:type="dxa" w:w="4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June 2026</w:t>
            </w:r>
          </w:p>
        </w:tc>
      </w:tr>
    </w:tbl>
    <w:p>
      <w:pPr>
        <w:spacing w:after="0" w:before="300"/>
      </w:pPr>
      <w:r>
        <w:t xml:space="preserve"/>
      </w:r>
    </w:p>
    <w:p>
      <w:pPr>
        <w:jc w:val="left"/>
      </w:pPr>
      <w:r>
        <w:rPr>
          <w:rFonts w:ascii="Calibri" w:cs="Calibri" w:eastAsia="Calibri" w:hAnsi="Calibri"/>
          <w:i/>
          <w:iCs/>
          <w:color w:val="64748b"/>
          <w:sz w:val="17"/>
          <w:szCs w:val="17"/>
        </w:rPr>
        <w:t xml:space="preserve">Methodology: Iterative &amp; Incremental Development (IID)   |   Role: Smart contract, backend API, AI integration, Stripe, deployment</w:t>
      </w:r>
    </w:p>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Contents</w:t>
      </w:r>
    </w:p>
    <w:p>
      <w:pPr>
        <w:tabs>
          <w:tab w:val="right" w:pos="9026"/>
        </w:tabs>
        <w:spacing w:after="50" w:before="50"/>
      </w:pPr>
      <w:r>
        <w:rPr>
          <w:rFonts w:ascii="Calibri" w:cs="Calibri" w:eastAsia="Calibri" w:hAnsi="Calibri"/>
          <w:color w:val="334155"/>
          <w:sz w:val="20"/>
          <w:szCs w:val="20"/>
        </w:rPr>
        <w:t xml:space="preserve">1.  Introduction</w:t>
      </w:r>
      <w:r>
        <w:t xml:space="preserve">	</w:t>
      </w:r>
      <w:r>
        <w:rPr>
          <w:rFonts w:ascii="Calibri" w:cs="Calibri" w:eastAsia="Calibri" w:hAnsi="Calibri"/>
          <w:color w:val="64748b"/>
          <w:sz w:val="20"/>
          <w:szCs w:val="20"/>
        </w:rPr>
        <w:t xml:space="preserve">3</w:t>
      </w:r>
    </w:p>
    <w:p>
      <w:pPr>
        <w:tabs>
          <w:tab w:val="right" w:pos="9026"/>
        </w:tabs>
        <w:spacing w:after="50" w:before="50"/>
        <w:ind w:left="360"/>
      </w:pPr>
      <w:r>
        <w:rPr>
          <w:rFonts w:ascii="Calibri" w:cs="Calibri" w:eastAsia="Calibri" w:hAnsi="Calibri"/>
          <w:color w:val="334155"/>
          <w:sz w:val="20"/>
          <w:szCs w:val="20"/>
        </w:rPr>
        <w:t xml:space="preserve">1.1  Overview of the Project</w:t>
      </w:r>
      <w:r>
        <w:t xml:space="preserve">	</w:t>
      </w:r>
      <w:r>
        <w:rPr>
          <w:rFonts w:ascii="Calibri" w:cs="Calibri" w:eastAsia="Calibri" w:hAnsi="Calibri"/>
          <w:color w:val="64748b"/>
          <w:sz w:val="20"/>
          <w:szCs w:val="20"/>
        </w:rPr>
        <w:t xml:space="preserve">3</w:t>
      </w:r>
    </w:p>
    <w:p>
      <w:pPr>
        <w:tabs>
          <w:tab w:val="right" w:pos="9026"/>
        </w:tabs>
        <w:spacing w:after="50" w:before="50"/>
        <w:ind w:left="360"/>
      </w:pPr>
      <w:r>
        <w:rPr>
          <w:rFonts w:ascii="Calibri" w:cs="Calibri" w:eastAsia="Calibri" w:hAnsi="Calibri"/>
          <w:color w:val="334155"/>
          <w:sz w:val="20"/>
          <w:szCs w:val="20"/>
        </w:rPr>
        <w:t xml:space="preserve">1.2  Goals and Objectives</w:t>
      </w:r>
      <w:r>
        <w:t xml:space="preserve">	</w:t>
      </w:r>
      <w:r>
        <w:rPr>
          <w:rFonts w:ascii="Calibri" w:cs="Calibri" w:eastAsia="Calibri" w:hAnsi="Calibri"/>
          <w:color w:val="64748b"/>
          <w:sz w:val="20"/>
          <w:szCs w:val="20"/>
        </w:rPr>
        <w:t xml:space="preserve">3</w:t>
      </w:r>
    </w:p>
    <w:p>
      <w:pPr>
        <w:tabs>
          <w:tab w:val="right" w:pos="9026"/>
        </w:tabs>
        <w:spacing w:after="50" w:before="50"/>
      </w:pPr>
      <w:r>
        <w:rPr>
          <w:rFonts w:ascii="Calibri" w:cs="Calibri" w:eastAsia="Calibri" w:hAnsi="Calibri"/>
          <w:color w:val="334155"/>
          <w:sz w:val="20"/>
          <w:szCs w:val="20"/>
        </w:rPr>
        <w:t xml:space="preserve">2.  Project Requirements</w:t>
      </w:r>
      <w:r>
        <w:t xml:space="preserve">	</w:t>
      </w:r>
      <w:r>
        <w:rPr>
          <w:rFonts w:ascii="Calibri" w:cs="Calibri" w:eastAsia="Calibri" w:hAnsi="Calibri"/>
          <w:color w:val="64748b"/>
          <w:sz w:val="20"/>
          <w:szCs w:val="20"/>
        </w:rPr>
        <w:t xml:space="preserve">4</w:t>
      </w:r>
    </w:p>
    <w:p>
      <w:pPr>
        <w:tabs>
          <w:tab w:val="right" w:pos="9026"/>
        </w:tabs>
        <w:spacing w:after="50" w:before="50"/>
        <w:ind w:left="360"/>
      </w:pPr>
      <w:r>
        <w:rPr>
          <w:rFonts w:ascii="Calibri" w:cs="Calibri" w:eastAsia="Calibri" w:hAnsi="Calibri"/>
          <w:color w:val="334155"/>
          <w:sz w:val="20"/>
          <w:szCs w:val="20"/>
        </w:rPr>
        <w:t xml:space="preserve">2.1  Tools and Technologies</w:t>
      </w:r>
      <w:r>
        <w:t xml:space="preserve">	</w:t>
      </w:r>
      <w:r>
        <w:rPr>
          <w:rFonts w:ascii="Calibri" w:cs="Calibri" w:eastAsia="Calibri" w:hAnsi="Calibri"/>
          <w:color w:val="64748b"/>
          <w:sz w:val="20"/>
          <w:szCs w:val="20"/>
        </w:rPr>
        <w:t xml:space="preserve">4</w:t>
      </w:r>
    </w:p>
    <w:p>
      <w:pPr>
        <w:tabs>
          <w:tab w:val="right" w:pos="9026"/>
        </w:tabs>
        <w:spacing w:after="50" w:before="50"/>
        <w:ind w:left="360"/>
      </w:pPr>
      <w:r>
        <w:rPr>
          <w:rFonts w:ascii="Calibri" w:cs="Calibri" w:eastAsia="Calibri" w:hAnsi="Calibri"/>
          <w:color w:val="334155"/>
          <w:sz w:val="20"/>
          <w:szCs w:val="20"/>
        </w:rPr>
        <w:t xml:space="preserve">2.2  Methodology</w:t>
      </w:r>
      <w:r>
        <w:t xml:space="preserve">	</w:t>
      </w:r>
      <w:r>
        <w:rPr>
          <w:rFonts w:ascii="Calibri" w:cs="Calibri" w:eastAsia="Calibri" w:hAnsi="Calibri"/>
          <w:color w:val="64748b"/>
          <w:sz w:val="20"/>
          <w:szCs w:val="20"/>
        </w:rPr>
        <w:t xml:space="preserve">5</w:t>
      </w:r>
    </w:p>
    <w:p>
      <w:pPr>
        <w:tabs>
          <w:tab w:val="right" w:pos="9026"/>
        </w:tabs>
        <w:spacing w:after="50" w:before="50"/>
      </w:pPr>
      <w:r>
        <w:rPr>
          <w:rFonts w:ascii="Calibri" w:cs="Calibri" w:eastAsia="Calibri" w:hAnsi="Calibri"/>
          <w:color w:val="334155"/>
          <w:sz w:val="20"/>
          <w:szCs w:val="20"/>
        </w:rPr>
        <w:t xml:space="preserve">3.  Contributions to the Project</w:t>
      </w:r>
      <w:r>
        <w:t xml:space="preserve">	</w:t>
      </w:r>
      <w:r>
        <w:rPr>
          <w:rFonts w:ascii="Calibri" w:cs="Calibri" w:eastAsia="Calibri" w:hAnsi="Calibri"/>
          <w:color w:val="64748b"/>
          <w:sz w:val="20"/>
          <w:szCs w:val="20"/>
        </w:rPr>
        <w:t xml:space="preserve">7</w:t>
      </w:r>
    </w:p>
    <w:p>
      <w:pPr>
        <w:tabs>
          <w:tab w:val="right" w:pos="9026"/>
        </w:tabs>
        <w:spacing w:after="50" w:before="50"/>
      </w:pPr>
      <w:r>
        <w:rPr>
          <w:rFonts w:ascii="Calibri" w:cs="Calibri" w:eastAsia="Calibri" w:hAnsi="Calibri"/>
          <w:color w:val="334155"/>
          <w:sz w:val="20"/>
          <w:szCs w:val="20"/>
        </w:rPr>
        <w:t xml:space="preserve">4.  Evaluation of Problems and Technologies</w:t>
      </w:r>
      <w:r>
        <w:t xml:space="preserve">	</w:t>
      </w:r>
      <w:r>
        <w:rPr>
          <w:rFonts w:ascii="Calibri" w:cs="Calibri" w:eastAsia="Calibri" w:hAnsi="Calibri"/>
          <w:color w:val="64748b"/>
          <w:sz w:val="20"/>
          <w:szCs w:val="20"/>
        </w:rPr>
        <w:t xml:space="preserve">10</w:t>
      </w:r>
    </w:p>
    <w:p>
      <w:pPr>
        <w:tabs>
          <w:tab w:val="right" w:pos="9026"/>
        </w:tabs>
        <w:spacing w:after="50" w:before="50"/>
      </w:pPr>
      <w:r>
        <w:rPr>
          <w:rFonts w:ascii="Calibri" w:cs="Calibri" w:eastAsia="Calibri" w:hAnsi="Calibri"/>
          <w:color w:val="334155"/>
          <w:sz w:val="20"/>
          <w:szCs w:val="20"/>
        </w:rPr>
        <w:t xml:space="preserve">5.  Communication for Sustainable Productivity</w:t>
      </w:r>
      <w:r>
        <w:t xml:space="preserve">	</w:t>
      </w:r>
      <w:r>
        <w:rPr>
          <w:rFonts w:ascii="Calibri" w:cs="Calibri" w:eastAsia="Calibri" w:hAnsi="Calibri"/>
          <w:color w:val="64748b"/>
          <w:sz w:val="20"/>
          <w:szCs w:val="20"/>
        </w:rPr>
        <w:t xml:space="preserve">13</w:t>
      </w:r>
    </w:p>
    <w:p>
      <w:pPr>
        <w:tabs>
          <w:tab w:val="right" w:pos="9026"/>
        </w:tabs>
        <w:spacing w:after="50" w:before="50"/>
      </w:pPr>
      <w:r>
        <w:rPr>
          <w:rFonts w:ascii="Calibri" w:cs="Calibri" w:eastAsia="Calibri" w:hAnsi="Calibri"/>
          <w:color w:val="334155"/>
          <w:sz w:val="20"/>
          <w:szCs w:val="20"/>
        </w:rPr>
        <w:t xml:space="preserve">6.  Managing the Project</w:t>
      </w:r>
      <w:r>
        <w:t xml:space="preserve">	</w:t>
      </w:r>
      <w:r>
        <w:rPr>
          <w:rFonts w:ascii="Calibri" w:cs="Calibri" w:eastAsia="Calibri" w:hAnsi="Calibri"/>
          <w:color w:val="64748b"/>
          <w:sz w:val="20"/>
          <w:szCs w:val="20"/>
        </w:rPr>
        <w:t xml:space="preserve">14</w:t>
      </w:r>
    </w:p>
    <w:p>
      <w:pPr>
        <w:tabs>
          <w:tab w:val="right" w:pos="9026"/>
        </w:tabs>
        <w:spacing w:after="50" w:before="50"/>
      </w:pPr>
      <w:r>
        <w:rPr>
          <w:rFonts w:ascii="Calibri" w:cs="Calibri" w:eastAsia="Calibri" w:hAnsi="Calibri"/>
          <w:color w:val="334155"/>
          <w:sz w:val="20"/>
          <w:szCs w:val="20"/>
        </w:rPr>
        <w:t xml:space="preserve">7.  Issues and Challenges</w:t>
      </w:r>
      <w:r>
        <w:t xml:space="preserve">	</w:t>
      </w:r>
      <w:r>
        <w:rPr>
          <w:rFonts w:ascii="Calibri" w:cs="Calibri" w:eastAsia="Calibri" w:hAnsi="Calibri"/>
          <w:color w:val="64748b"/>
          <w:sz w:val="20"/>
          <w:szCs w:val="20"/>
        </w:rPr>
        <w:t xml:space="preserve">16</w:t>
      </w:r>
    </w:p>
    <w:p>
      <w:pPr>
        <w:tabs>
          <w:tab w:val="right" w:pos="9026"/>
        </w:tabs>
        <w:spacing w:after="50" w:before="50"/>
      </w:pPr>
      <w:r>
        <w:rPr>
          <w:rFonts w:ascii="Calibri" w:cs="Calibri" w:eastAsia="Calibri" w:hAnsi="Calibri"/>
          <w:color w:val="334155"/>
          <w:sz w:val="20"/>
          <w:szCs w:val="20"/>
        </w:rPr>
        <w:t xml:space="preserve">8.  Conclusion</w:t>
      </w:r>
      <w:r>
        <w:t xml:space="preserve">	</w:t>
      </w:r>
      <w:r>
        <w:rPr>
          <w:rFonts w:ascii="Calibri" w:cs="Calibri" w:eastAsia="Calibri" w:hAnsi="Calibri"/>
          <w:color w:val="64748b"/>
          <w:sz w:val="20"/>
          <w:szCs w:val="20"/>
        </w:rPr>
        <w:t xml:space="preserve">18</w:t>
      </w:r>
    </w:p>
    <w:p>
      <w:pPr>
        <w:tabs>
          <w:tab w:val="right" w:pos="9026"/>
        </w:tabs>
        <w:spacing w:after="50" w:before="50"/>
      </w:pPr>
      <w:r>
        <w:rPr>
          <w:rFonts w:ascii="Calibri" w:cs="Calibri" w:eastAsia="Calibri" w:hAnsi="Calibri"/>
          <w:color w:val="334155"/>
          <w:sz w:val="20"/>
          <w:szCs w:val="20"/>
        </w:rPr>
        <w:t xml:space="preserve">9.  References</w:t>
      </w:r>
      <w:r>
        <w:t xml:space="preserve">	</w:t>
      </w:r>
      <w:r>
        <w:rPr>
          <w:rFonts w:ascii="Calibri" w:cs="Calibri" w:eastAsia="Calibri" w:hAnsi="Calibri"/>
          <w:color w:val="64748b"/>
          <w:sz w:val="20"/>
          <w:szCs w:val="20"/>
        </w:rPr>
        <w:t xml:space="preserve">19</w:t>
      </w:r>
    </w:p>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1.  Introduction</w:t>
      </w:r>
    </w:p>
    <w:p>
      <w:pPr>
        <w:pStyle w:val="Heading2"/>
        <w:spacing w:after="80" w:before="260"/>
      </w:pPr>
      <w:r>
        <w:rPr>
          <w:rFonts w:ascii="Calibri" w:cs="Calibri" w:eastAsia="Calibri" w:hAnsi="Calibri"/>
          <w:b/>
          <w:bCs/>
          <w:color w:val="1e293b"/>
          <w:sz w:val="26"/>
          <w:szCs w:val="26"/>
        </w:rPr>
        <w:t xml:space="preserve">1.1   Overview of the Project</w:t>
      </w:r>
    </w:p>
    <w:p>
      <w:pPr>
        <w:spacing w:after="60" w:before="60"/>
        <w:jc w:val="both"/>
      </w:pPr>
      <w:r>
        <w:rPr>
          <w:rFonts w:ascii="Calibri" w:cs="Calibri" w:eastAsia="Calibri" w:hAnsi="Calibri"/>
          <w:b w:val="false"/>
          <w:bCs w:val="false"/>
          <w:i w:val="false"/>
          <w:iCs w:val="false"/>
          <w:color w:val="334155"/>
          <w:sz w:val="20"/>
          <w:szCs w:val="20"/>
        </w:rPr>
        <w:t xml:space="preserve">OneStep Healthcare is a full-stack telemedicine web platform developed across Studio 5 and Studio 6 of the Bachelor of Information Technology programme at Otago Polytechnic Auckland International Campus. The platform connects patients, doctors, pharmacists, and administrators through a secure web application that supports appointment booking, video consultations, blockchain-verified medical reports, AI-powered symptom triage, prescription dispensing, and online payments.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Studio 5 established the core platform: role-based JWT authentication, doctor search and appointment booking, video consultations via the Agora RTC SDK, consultation PDF report generation, and blockchain-based report verification on the Ethereum Sepolia testnet. Studio 6 extended the system with three substantial new features: a blockchain pharmacy verification portal that mirrors New Zealand's ePrescription model; an AI-powered symptom checker using the Groq Llama 3.3-70b large language model; and a Stripe payment gateway with server-side verification.</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frontend is built with React 18 and Vite, deployed to Vercel. The backend is Node.js with Express, deployed to Railway alongside a MySQL database. Smart contracts are written in Solidity 0.8.x and deployed to the Ethereum Sepolia test network. All source code is version-controlled at github.com/TannuTannuMalik/OneStep-HealthCare.</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New Zealand digital health market context validates the real-world relevance of this platform. Statista (2024) projects the NZ online doctor consultations market to grow at 1.99% CAGR, reaching US$21.13 million by 2029, while the broader digital health sector grows at 5.99% annually toward US$358.70 million. These growth figures indicate both opportunity and risk: as healthcare delivery moves online, authentication security, data integrity, prescription management, and payment infrastructure become critical concerns that OneStep Healthcare directly addresses.</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1.2   Goals and Objectives</w:t>
      </w:r>
    </w:p>
    <w:p>
      <w:pPr>
        <w:spacing w:after="60" w:before="60"/>
        <w:jc w:val="both"/>
      </w:pPr>
      <w:r>
        <w:rPr>
          <w:rFonts w:ascii="Calibri" w:cs="Calibri" w:eastAsia="Calibri" w:hAnsi="Calibri"/>
          <w:b w:val="false"/>
          <w:bCs w:val="false"/>
          <w:i w:val="false"/>
          <w:iCs w:val="false"/>
          <w:color w:val="334155"/>
          <w:sz w:val="20"/>
          <w:szCs w:val="20"/>
        </w:rPr>
        <w:t xml:space="preserve">The overarching goal of OneStep Healthcare is to demonstrate how blockchain, artificial intelligence, and modern payment infrastructure can address three concrete real-world healthcare problems: prescription fraud and double-dispensing, inefficient patient-to-specialist matching, and unreliable manual payment collection.</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Specific objectives achieved across both studio blocks:</w:t>
      </w:r>
    </w:p>
    <w:p>
      <w:pPr>
        <w:pStyle w:val="ListParagraph"/>
        <w:numPr>
          <w:ilvl w:val="0"/>
          <w:numId w:val="2"/>
        </w:numPr>
        <w:spacing w:after="30" w:before="30"/>
      </w:pPr>
      <w:r>
        <w:rPr>
          <w:rFonts w:ascii="Calibri" w:cs="Calibri" w:eastAsia="Calibri" w:hAnsi="Calibri"/>
          <w:color w:val="334155"/>
          <w:sz w:val="20"/>
          <w:szCs w:val="20"/>
        </w:rPr>
        <w:t xml:space="preserve">Build a working three-role telemedicine platform (patient, doctor, admin) extended in Studio 6 with a pharmacist role and complete dispensing workflow.</w:t>
      </w:r>
    </w:p>
    <w:p>
      <w:pPr>
        <w:pStyle w:val="ListParagraph"/>
        <w:numPr>
          <w:ilvl w:val="0"/>
          <w:numId w:val="2"/>
        </w:numPr>
        <w:spacing w:after="30" w:before="30"/>
      </w:pPr>
      <w:r>
        <w:rPr>
          <w:rFonts w:ascii="Calibri" w:cs="Calibri" w:eastAsia="Calibri" w:hAnsi="Calibri"/>
          <w:color w:val="334155"/>
          <w:sz w:val="20"/>
          <w:szCs w:val="20"/>
        </w:rPr>
        <w:t xml:space="preserve">Implement immutable verification of consultation reports and prescriptions via Ethereum smart contracts, enforcing a single-dispense invariant at the EVM level.</w:t>
      </w:r>
    </w:p>
    <w:p>
      <w:pPr>
        <w:pStyle w:val="ListParagraph"/>
        <w:numPr>
          <w:ilvl w:val="0"/>
          <w:numId w:val="2"/>
        </w:numPr>
        <w:spacing w:after="30" w:before="30"/>
      </w:pPr>
      <w:r>
        <w:rPr>
          <w:rFonts w:ascii="Calibri" w:cs="Calibri" w:eastAsia="Calibri" w:hAnsi="Calibri"/>
          <w:color w:val="334155"/>
          <w:sz w:val="20"/>
          <w:szCs w:val="20"/>
        </w:rPr>
        <w:t xml:space="preserve">Replace a rule-based symptom checker with an LLM-powered symptom analyser (Groq Llama 3.3-70b) that recommends the appropriate medical specialty.</w:t>
      </w:r>
    </w:p>
    <w:p>
      <w:pPr>
        <w:pStyle w:val="ListParagraph"/>
        <w:numPr>
          <w:ilvl w:val="0"/>
          <w:numId w:val="2"/>
        </w:numPr>
        <w:spacing w:after="30" w:before="30"/>
      </w:pPr>
      <w:r>
        <w:rPr>
          <w:rFonts w:ascii="Calibri" w:cs="Calibri" w:eastAsia="Calibri" w:hAnsi="Calibri"/>
          <w:color w:val="334155"/>
          <w:sz w:val="20"/>
          <w:szCs w:val="20"/>
        </w:rPr>
        <w:t xml:space="preserve">Integrate a Stripe payment gateway with server-side verification to remove client-trust assumptions from the payment flow.</w:t>
      </w:r>
    </w:p>
    <w:p>
      <w:pPr>
        <w:pStyle w:val="ListParagraph"/>
        <w:numPr>
          <w:ilvl w:val="0"/>
          <w:numId w:val="2"/>
        </w:numPr>
        <w:spacing w:after="30" w:before="30"/>
      </w:pPr>
      <w:r>
        <w:rPr>
          <w:rFonts w:ascii="Calibri" w:cs="Calibri" w:eastAsia="Calibri" w:hAnsi="Calibri"/>
          <w:color w:val="334155"/>
          <w:sz w:val="20"/>
          <w:szCs w:val="20"/>
        </w:rPr>
        <w:t xml:space="preserve">Mirror the New Zealand ePrescription dispensing model so the system reflects a realistic, research-grounded real-world workflow.</w:t>
      </w:r>
    </w:p>
    <w:p>
      <w:pPr>
        <w:pStyle w:val="ListParagraph"/>
        <w:numPr>
          <w:ilvl w:val="0"/>
          <w:numId w:val="2"/>
        </w:numPr>
        <w:spacing w:after="30" w:before="30"/>
      </w:pPr>
      <w:r>
        <w:rPr>
          <w:rFonts w:ascii="Calibri" w:cs="Calibri" w:eastAsia="Calibri" w:hAnsi="Calibri"/>
          <w:color w:val="334155"/>
          <w:sz w:val="20"/>
          <w:szCs w:val="20"/>
        </w:rPr>
        <w:t xml:space="preserve">Apply Iterative and Incremental Development (IID) across eight weekly sprints with Microsoft Teams retrospectives, GitHub Projects task tracking, and documented role separation.</w:t>
      </w:r>
    </w:p>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2.  Project Requirements</w:t>
      </w:r>
    </w:p>
    <w:p>
      <w:pPr>
        <w:pStyle w:val="Heading2"/>
        <w:spacing w:after="80" w:before="260"/>
      </w:pPr>
      <w:r>
        <w:rPr>
          <w:rFonts w:ascii="Calibri" w:cs="Calibri" w:eastAsia="Calibri" w:hAnsi="Calibri"/>
          <w:b/>
          <w:bCs/>
          <w:color w:val="1e293b"/>
          <w:sz w:val="26"/>
          <w:szCs w:val="26"/>
        </w:rPr>
        <w:t xml:space="preserve">2.1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bCs/>
                <w:color w:val="92400e"/>
                <w:sz w:val="18"/>
                <w:szCs w:val="18"/>
              </w:rPr>
              <w:t xml:space="preserve">LO 2.1</w:t>
            </w:r>
          </w:p>
        </w:tc>
        <w:tc>
          <w:tcPr>
            <w:tcW w:type="dxa" w:w="816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val="false"/>
                <w:bCs w:val="false"/>
                <w:color w:val="78350f"/>
                <w:sz w:val="18"/>
                <w:szCs w:val="18"/>
              </w:rPr>
              <w:t xml:space="preserve">Conduct independent research into a specialist area, identifying key theories, technologies, or practices. Each technology below was selected following research; justification is evidence-based.</w:t>
            </w:r>
          </w:p>
        </w:tc>
      </w:tr>
    </w:tbl>
    <w:p>
      <w:pPr>
        <w:spacing w:after="0" w:before="8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technology stack was selected following methodology-led research comparing alternatives for each domain. The full production stack is summarised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Layer</w:t>
            </w:r>
          </w:p>
        </w:tc>
        <w:tc>
          <w:tcPr>
            <w:tcW w:type="dxa" w:w="24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Technology</w:t>
            </w:r>
          </w:p>
        </w:tc>
        <w:tc>
          <w:tcPr>
            <w:tcW w:type="dxa" w:w="536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Justification Summary</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Frontend</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React 18 + Vite</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Component-based UI, fast HMR dev server, Vercel-native deployment</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Routing</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React Router v6</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Declarative multi-role navigation with protected routes</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Backend</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Node.js + Express</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JSON REST API; ESM module system; Railway cloud deployment</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Database</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MySQL (Railway)</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Relational integrity for users, appointments, reports, payments</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Blockchain</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Ethereum Sepolia</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Tamper-proof hash storage; PoS consensus; no single point of compromise</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Smart Contract</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Solidity 0.8.x</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Business rules enforced at EVM level; single-dispense require()</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Blockchain Client</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Ethers.js v6</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Type-safe JS interface for signing, querying and listening to Ethereum</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Blockchain RPC</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Alchemy Sepolia</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Managed Ethereum node; 99.9% uptime without running our own validator</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AI Provider</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Groq Llama 3.3-70b</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LLM achieving 57.8–76% triage accuracy; free tier post-OpenAI removal</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Payments</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Stripe (test mode)</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Server-side retrieve confirmation; comprehensive test cards; NZ 1.7%+$0.10</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Video</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Agora RTC SDK</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99.98% uptime; resolved Railway WebRTC signalling failures; 40% less code</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File Storage</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Cloudinary</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Signed-URL PDF storage for consultation reports</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Auth</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JWT + bcrypt</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Stateless; scales across Railway instances; role-encoded in payload</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Hosting</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Vercel + Railway</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Auto-deploy on git push; env-var isolation between dev and prod</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Source Control</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Git + GitHub</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Branch-per-feature; code review on every merge; timestamped commit history</w:t>
            </w:r>
          </w:p>
        </w:tc>
      </w:tr>
      <w:tr>
        <w:tc>
          <w:tcPr>
            <w:tcW w:type="dxa" w:w="1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Hashing</w:t>
            </w:r>
          </w:p>
        </w:tc>
        <w:tc>
          <w:tcPr>
            <w:tcW w:type="dxa" w:w="24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SHA-256 (Node crypto)</w:t>
            </w:r>
          </w:p>
        </w:tc>
        <w:tc>
          <w:tcPr>
            <w:tcW w:type="dxa" w:w="5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Deterministic 256-bit fingerprint fitting one EVM storage slot (bytes32)</w:t>
            </w:r>
          </w:p>
        </w:tc>
      </w:tr>
    </w:tbl>
    <w:p>
      <w:pPr>
        <w:spacing w:after="0" w:before="60"/>
      </w:pPr>
      <w:r>
        <w:t xml:space="preserve"/>
      </w:r>
    </w:p>
    <w:p>
      <w:pPr>
        <w:pStyle w:val="Heading2"/>
        <w:spacing w:after="80" w:before="260"/>
      </w:pPr>
      <w:r>
        <w:rPr>
          <w:rFonts w:ascii="Calibri" w:cs="Calibri" w:eastAsia="Calibri" w:hAnsi="Calibri"/>
          <w:b/>
          <w:bCs/>
          <w:color w:val="1e293b"/>
          <w:sz w:val="26"/>
          <w:szCs w:val="26"/>
        </w:rPr>
        <w:t xml:space="preserve">2.2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bCs/>
                <w:color w:val="92400e"/>
                <w:sz w:val="18"/>
                <w:szCs w:val="18"/>
              </w:rPr>
              <w:t xml:space="preserve">LO 1.1</w:t>
            </w:r>
          </w:p>
        </w:tc>
        <w:tc>
          <w:tcPr>
            <w:tcW w:type="dxa" w:w="816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val="false"/>
                <w:bCs w:val="false"/>
                <w:color w:val="78350f"/>
                <w:sz w:val="18"/>
                <w:szCs w:val="18"/>
              </w:rPr>
              <w:t xml:space="preserve">Analyse multiple processes or methodologies and justify the selection of the most suitable one for a given complex problem.</w:t>
            </w:r>
          </w:p>
        </w:tc>
      </w:tr>
    </w:tbl>
    <w:p>
      <w:pPr>
        <w:spacing w:after="0" w:before="8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team compared eight development methodologies before selecting Iterative and Incremental Development (IID) as the most appropriate for OneStep Healthcare. The comparison was not made from first principles alone: it was informed by Larman and Basili's (2003) historical analysis of iterative development in IEEE Computer, which establishes IID as the methodological ancestor of all modern Agile frameworks. The core insight from that review — that iterative approaches reduce integration risk by surfacing failures early — directly motivated the choice.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Methodology</w:t>
            </w:r>
          </w:p>
        </w:tc>
        <w:tc>
          <w:tcPr>
            <w:tcW w:type="dxa" w:w="388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Why Considered / Why Rejected</w:t>
            </w:r>
          </w:p>
        </w:tc>
        <w:tc>
          <w:tcPr>
            <w:tcW w:type="dxa" w:w="328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Verdict</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Waterfall</w:t>
            </w:r>
          </w:p>
        </w:tc>
        <w:tc>
          <w:tcPr>
            <w:tcW w:type="dxa" w:w="38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Sequential phases suit stable requirements. Rejected because blockchain API responses, Groq model availability, and Stripe webhook feasibility were all unknowable at Week 1.</w:t>
            </w:r>
          </w:p>
        </w:tc>
        <w:tc>
          <w:tcPr>
            <w:tcW w:type="dxa" w:w="32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REJECTED — locked plan incompatible with research-driven discovery</w:t>
            </w:r>
          </w:p>
        </w:tc>
      </w:tr>
      <w:tr>
        <w:tc>
          <w:tcPr>
            <w:tcW w:type="dxa" w:w="220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bCs/>
                <w:color w:val="334155"/>
                <w:sz w:val="19"/>
                <w:szCs w:val="19"/>
              </w:rPr>
              <w:t xml:space="preserve">Iterative &amp; Incremental (IID)</w:t>
            </w:r>
          </w:p>
        </w:tc>
        <w:tc>
          <w:tcPr>
            <w:tcW w:type="dxa" w:w="38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Each iteration produces a vertical working slice. Backlog evolves at retrospectives. No upfront role ceremony. Directly suited to a two-person team with evolving requirements.</w:t>
            </w:r>
          </w:p>
        </w:tc>
        <w:tc>
          <w:tcPr>
            <w:tcW w:type="dxa" w:w="32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bCs/>
                <w:color w:val="166534"/>
                <w:sz w:val="19"/>
                <w:szCs w:val="19"/>
              </w:rPr>
              <w:t xml:space="preserve">SELECTED — best fit for research-heavy evolving scope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Scrum</w:t>
            </w:r>
          </w:p>
        </w:tc>
        <w:tc>
          <w:tcPr>
            <w:tcW w:type="dxa" w:w="38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Formalises IID with three roles (PO, SM, Dev). Rejected because the PO and SM roles are unnecessary overhead for a two-person team; IID provides the same cadence without the ceremony.</w:t>
            </w:r>
          </w:p>
        </w:tc>
        <w:tc>
          <w:tcPr>
            <w:tcW w:type="dxa" w:w="32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REJECTED — Scrum ceremony overhead unjustified at team size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Kanban (Anderson, 2010)</w:t>
            </w:r>
          </w:p>
        </w:tc>
        <w:tc>
          <w:tcPr>
            <w:tcW w:type="dxa" w:w="38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Flow-based; excellent for continuous delivery. Adopted as a task-board tool within IID, but lacks sprint rhythm needed for weekly academic check-ins.</w:t>
            </w:r>
          </w:p>
        </w:tc>
        <w:tc>
          <w:tcPr>
            <w:tcW w:type="dxa" w:w="32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854d0e"/>
                <w:sz w:val="19"/>
                <w:szCs w:val="19"/>
              </w:rPr>
              <w:t xml:space="preserve">PARTIAL — adopted as the task board within IID</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Extreme Programming (Beck, 2000)</w:t>
            </w:r>
          </w:p>
        </w:tc>
        <w:tc>
          <w:tcPr>
            <w:tcW w:type="dxa" w:w="38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TDD, CI, pair programming, small releases. Considered because CI (auto-deploy on Vercel/Railway) and short releases were adopted. Rejected as a full methodology because pair programming is impractical across separate schedules.</w:t>
            </w:r>
          </w:p>
        </w:tc>
        <w:tc>
          <w:tcPr>
            <w:tcW w:type="dxa" w:w="32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854d0e"/>
                <w:sz w:val="19"/>
                <w:szCs w:val="19"/>
              </w:rPr>
              <w:t xml:space="preserve">PARTIAL — XP practices adopted, not full methodology</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Spiral (Boehm, 1988)</w:t>
            </w:r>
          </w:p>
        </w:tc>
        <w:tc>
          <w:tcPr>
            <w:tcW w:type="dxa" w:w="38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Risk-driven, with formal prototyping cycles. Overkill for an 8-week academic project; the risk analysis overhead would consume more time than the risks themselves.</w:t>
            </w:r>
          </w:p>
        </w:tc>
        <w:tc>
          <w:tcPr>
            <w:tcW w:type="dxa" w:w="32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REJECTED — disproportionate process overhead</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RAD</w:t>
            </w:r>
          </w:p>
        </w:tc>
        <w:tc>
          <w:tcPr>
            <w:tcW w:type="dxa" w:w="38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Relies on rapid user feedback through prototypes. Rejected because no real pharmacists or patients were available for ongoing prototype evaluation.</w:t>
            </w:r>
          </w:p>
        </w:tc>
        <w:tc>
          <w:tcPr>
            <w:tcW w:type="dxa" w:w="32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REJECTED — no real-user feedback loop available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DevOps</w:t>
            </w:r>
          </w:p>
        </w:tc>
        <w:tc>
          <w:tcPr>
            <w:tcW w:type="dxa" w:w="38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Continuous delivery, infrastructure as code. Practices adopted (auto-deploy on push, env-var separation, Railway Railway + Vercel pipeline) but DevOps is a culture, not a development methodology.</w:t>
            </w:r>
          </w:p>
        </w:tc>
        <w:tc>
          <w:tcPr>
            <w:tcW w:type="dxa" w:w="328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854d0e"/>
                <w:sz w:val="19"/>
                <w:szCs w:val="19"/>
              </w:rPr>
              <w:t xml:space="preserve">PARTIAL — pipeline practices adopted within IID</w:t>
            </w:r>
          </w:p>
        </w:tc>
      </w:tr>
    </w:tbl>
    <w:p>
      <w:pPr>
        <w:spacing w:after="0" w:before="80"/>
      </w:pPr>
      <w:r>
        <w:t xml:space="preserve"/>
      </w:r>
    </w:p>
    <w:p>
      <w:pPr>
        <w:pStyle w:val="Heading3"/>
        <w:spacing w:after="60" w:before="200"/>
      </w:pPr>
      <w:r>
        <w:rPr>
          <w:rFonts w:ascii="Calibri" w:cs="Calibri" w:eastAsia="Calibri" w:hAnsi="Calibri"/>
          <w:b/>
          <w:bCs/>
          <w:color w:val="1a6b68"/>
          <w:sz w:val="22"/>
          <w:szCs w:val="22"/>
        </w:rPr>
        <w:t xml:space="preserve">IID in Practice — Three Defining Characteristics</w:t>
      </w:r>
    </w:p>
    <w:p>
      <w:pPr>
        <w:spacing w:after="60" w:before="60"/>
        <w:jc w:val="both"/>
      </w:pPr>
      <w:r>
        <w:rPr>
          <w:rFonts w:ascii="Calibri" w:cs="Calibri" w:eastAsia="Calibri" w:hAnsi="Calibri"/>
          <w:b w:val="false"/>
          <w:bCs w:val="false"/>
          <w:i w:val="false"/>
          <w:iCs w:val="false"/>
          <w:color w:val="334155"/>
          <w:sz w:val="20"/>
          <w:szCs w:val="20"/>
        </w:rPr>
        <w:t xml:space="preserve">Our IID variant had three specific characteristics that distinguished it from generic 'Agile' practice:</w:t>
      </w:r>
    </w:p>
    <w:p>
      <w:pPr>
        <w:spacing w:after="0" w:before="40"/>
      </w:pPr>
      <w:r>
        <w:t xml:space="preserve"/>
      </w:r>
    </w:p>
    <w:p>
      <w:pPr>
        <w:pStyle w:val="ListParagraph"/>
        <w:numPr>
          <w:ilvl w:val="0"/>
          <w:numId w:val="2"/>
        </w:numPr>
        <w:spacing w:after="30" w:before="30"/>
      </w:pPr>
      <w:r>
        <w:rPr>
          <w:rFonts w:ascii="Calibri" w:cs="Calibri" w:eastAsia="Calibri" w:hAnsi="Calibri"/>
          <w:color w:val="334155"/>
          <w:sz w:val="20"/>
          <w:szCs w:val="20"/>
        </w:rPr>
        <w:t xml:space="preserve">Vertical slice per sprint. Every iteration delivered a database migration, backend endpoint, and frontend integration together. This meant every demo showed a working real feature, not a layer in isolation. The risk of integration surprises at the end of the block was substantially reduced.</w:t>
      </w:r>
    </w:p>
    <w:p>
      <w:pPr>
        <w:pStyle w:val="ListParagraph"/>
        <w:numPr>
          <w:ilvl w:val="0"/>
          <w:numId w:val="2"/>
        </w:numPr>
        <w:spacing w:after="30" w:before="30"/>
      </w:pPr>
      <w:r>
        <w:rPr>
          <w:rFonts w:ascii="Calibri" w:cs="Calibri" w:eastAsia="Calibri" w:hAnsi="Calibri"/>
          <w:color w:val="334155"/>
          <w:sz w:val="20"/>
          <w:szCs w:val="20"/>
        </w:rPr>
        <w:t xml:space="preserve">One-week timeboxes. Sprint length matched the academic check-in rhythm, creating a natural forcing function for prioritisation. Features that could not be completed within the week were either scoped down or split.</w:t>
      </w:r>
    </w:p>
    <w:p>
      <w:pPr>
        <w:pStyle w:val="ListParagraph"/>
        <w:numPr>
          <w:ilvl w:val="0"/>
          <w:numId w:val="2"/>
        </w:numPr>
        <w:spacing w:after="30" w:before="30"/>
      </w:pPr>
      <w:r>
        <w:rPr>
          <w:rFonts w:ascii="Calibri" w:cs="Calibri" w:eastAsia="Calibri" w:hAnsi="Calibri"/>
          <w:color w:val="334155"/>
          <w:sz w:val="20"/>
          <w:szCs w:val="20"/>
        </w:rPr>
        <w:t xml:space="preserve">Backlog evolution at retrospectives. The backlog was not committed at the start of the project. Sprint 4 is the clearest example: the pharmacist discoverability gap was not in the original plan — it was identified during a retro demo and added to Sprint 5 from there. An upfront-locked methodology could not have accommodated this.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bCs/>
                <w:color w:val="92400e"/>
                <w:sz w:val="18"/>
                <w:szCs w:val="18"/>
              </w:rPr>
              <w:t xml:space="preserve">LO 1.2</w:t>
            </w:r>
          </w:p>
        </w:tc>
        <w:tc>
          <w:tcPr>
            <w:tcW w:type="dxa" w:w="816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val="false"/>
                <w:bCs w:val="false"/>
                <w:color w:val="78350f"/>
                <w:sz w:val="18"/>
                <w:szCs w:val="18"/>
              </w:rPr>
              <w:t xml:space="preserve">Apply the chosen process to a real-world problem and critically reflect on its effectiveness.</w:t>
            </w:r>
          </w:p>
        </w:tc>
      </w:tr>
    </w:tbl>
    <w:p>
      <w:pPr>
        <w:spacing w:after="0" w:before="6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IID was effective in three concrete ways. First, it caught the OpenAI free-tier removal in Sprint 3 before it could derail the AI feature. Because each sprint built and tested a vertical slice, the removal was caught at integration, not at demo week — leaving time to research and switch to Groq with a half-day empirical comparison. Second, it surfaced the pharmacist discoverability gap in Sprint 4, which became the highest-impact single improvement across the project. Third, it allowed the Stripe webhook impracticality to be acknowledged and a pragmatic alternative (server-side retrieve) to be adopted without disrupting other streams.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IID also had one significant weakness in this project: the absence of a fixed scope definition made effort estimation unreliable. Sprint 6 was the heaviest sprint by feature count — pharmacy, Stripe, AI chat, and research all landed together. In hindsight, a more explicit capacity limit per sprint (not just a timebox) would have distributed that load more evenly across Sprints 5 and 6. This is a documented limitation of pure IID: without a fixed capacity constraint, scope creep can accumulate into one sprint as deadlines approach.</w:t>
      </w:r>
    </w:p>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3.  Contributions to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bCs/>
                <w:color w:val="92400e"/>
                <w:sz w:val="18"/>
                <w:szCs w:val="18"/>
              </w:rPr>
              <w:t xml:space="preserve">LO 2.2</w:t>
            </w:r>
          </w:p>
        </w:tc>
        <w:tc>
          <w:tcPr>
            <w:tcW w:type="dxa" w:w="816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val="false"/>
                <w:bCs w:val="false"/>
                <w:color w:val="78350f"/>
                <w:sz w:val="18"/>
                <w:szCs w:val="18"/>
              </w:rPr>
              <w:t xml:space="preserve">Integrate specialist knowledge into project work, demonstrating depth of understanding and relevance.</w:t>
            </w:r>
          </w:p>
        </w:tc>
      </w:tr>
    </w:tbl>
    <w:p>
      <w:pPr>
        <w:spacing w:after="0" w:before="8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My responsibility covered the backend and blockchain layers of OneStep Healthcare. The table below shows the full agreed division of labour from Sprint 1, followed by a sprint-by-sprint account of deliverables.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Area</w:t>
            </w:r>
          </w:p>
        </w:tc>
        <w:tc>
          <w:tcPr>
            <w:tcW w:type="dxa" w:w="18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Owner</w:t>
            </w:r>
          </w:p>
        </w:tc>
        <w:tc>
          <w:tcPr>
            <w:tcW w:type="dxa" w:w="396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Rationale</w:t>
            </w:r>
          </w:p>
        </w:tc>
      </w:tr>
      <w:tr>
        <w:tc>
          <w:tcPr>
            <w:tcW w:type="dxa" w:w="3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Solidity smart contract (ReportIntegrity.sol)</w:t>
            </w:r>
          </w:p>
        </w:tc>
        <w:tc>
          <w:tcPr>
            <w:tcW w:type="dxa" w:w="18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Vivek</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Continuity from Studio 5; Ethers.js v6 experience</w:t>
            </w:r>
          </w:p>
        </w:tc>
      </w:tr>
      <w:tr>
        <w:tc>
          <w:tcPr>
            <w:tcW w:type="dxa" w:w="3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Backend Express API (all routes and middleware)</w:t>
            </w:r>
          </w:p>
        </w:tc>
        <w:tc>
          <w:tcPr>
            <w:tcW w:type="dxa" w:w="18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Vivek</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Owned the server/ folder from Studio 5</w:t>
            </w:r>
          </w:p>
        </w:tc>
      </w:tr>
      <w:tr>
        <w:tc>
          <w:tcPr>
            <w:tcW w:type="dxa" w:w="3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MySQL schema and migrations</w:t>
            </w:r>
          </w:p>
        </w:tc>
        <w:tc>
          <w:tcPr>
            <w:tcW w:type="dxa" w:w="18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Vivek</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Continuity with Studio 5 data model; schema decisions affect all layers</w:t>
            </w:r>
          </w:p>
        </w:tc>
      </w:tr>
      <w:tr>
        <w:tc>
          <w:tcPr>
            <w:tcW w:type="dxa" w:w="3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AI prompt engineering and Groq backend integration</w:t>
            </w:r>
          </w:p>
        </w:tc>
        <w:tc>
          <w:tcPr>
            <w:tcW w:type="dxa" w:w="18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Vivek</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POST /api/symptoms — Groq Llama 3.3-70b with structured JSON output</w:t>
            </w:r>
          </w:p>
        </w:tc>
      </w:tr>
      <w:tr>
        <w:tc>
          <w:tcPr>
            <w:tcW w:type="dxa" w:w="3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Stripe payment backend (create-intent, confirm)</w:t>
            </w:r>
          </w:p>
        </w:tc>
        <w:tc>
          <w:tcPr>
            <w:tcW w:type="dxa" w:w="18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Vivek</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Server-side PaymentIntent confirmation pattern</w:t>
            </w:r>
          </w:p>
        </w:tc>
      </w:tr>
      <w:tr>
        <w:tc>
          <w:tcPr>
            <w:tcW w:type="dxa" w:w="36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DevOps — Railway + Vercel deployment pipeline</w:t>
            </w:r>
          </w:p>
        </w:tc>
        <w:tc>
          <w:tcPr>
            <w:tcW w:type="dxa" w:w="18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Vivek</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Environment variable management; auto-deploy on push to main</w:t>
            </w:r>
          </w:p>
        </w:tc>
      </w:tr>
      <w:tr>
        <w:tc>
          <w:tcPr>
            <w:tcW w:type="dxa" w:w="36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Frontend React pages</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bCs/>
                <w:color w:val="334155"/>
                <w:sz w:val="19"/>
                <w:szCs w:val="19"/>
              </w:rPr>
              <w:t xml:space="preserve">Tannu</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Owned the client/ folder from Studio 5</w:t>
            </w:r>
          </w:p>
        </w:tc>
      </w:tr>
      <w:tr>
        <w:tc>
          <w:tcPr>
            <w:tcW w:type="dxa" w:w="36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Frontend–backend API integration</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bCs/>
                <w:color w:val="334155"/>
                <w:sz w:val="19"/>
                <w:szCs w:val="19"/>
              </w:rPr>
              <w:t xml:space="preserve">Tannu</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Connecting React components to agreed JSON contracts</w:t>
            </w:r>
          </w:p>
        </w:tc>
      </w:tr>
      <w:tr>
        <w:tc>
          <w:tcPr>
            <w:tcW w:type="dxa" w:w="36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Access control review and hash normalisation</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bCs/>
                <w:color w:val="334155"/>
                <w:sz w:val="19"/>
                <w:szCs w:val="19"/>
              </w:rPr>
              <w:t xml:space="preserve">Tannu</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Cross-cutting security and consistency review</w:t>
            </w:r>
          </w:p>
        </w:tc>
      </w:tr>
      <w:tr>
        <w:tc>
          <w:tcPr>
            <w:tcW w:type="dxa" w:w="36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Integration and end-to-end testing</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bCs/>
                <w:color w:val="334155"/>
                <w:sz w:val="19"/>
                <w:szCs w:val="19"/>
              </w:rPr>
              <w:t xml:space="preserve">Tannu</w:t>
            </w:r>
          </w:p>
        </w:tc>
        <w:tc>
          <w:tcPr>
            <w:tcW w:type="dxa" w:w="3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8-scenario Jest/Supertest test suite</w:t>
            </w:r>
          </w:p>
        </w:tc>
      </w:tr>
    </w:tbl>
    <w:p>
      <w:pPr>
        <w:spacing w:after="0" w:before="100"/>
      </w:pPr>
      <w:r>
        <w:t xml:space="preserve"/>
      </w:r>
    </w:p>
    <w:p>
      <w:pPr>
        <w:pStyle w:val="Heading3"/>
        <w:spacing w:after="60" w:before="200"/>
      </w:pPr>
      <w:r>
        <w:rPr>
          <w:rFonts w:ascii="Calibri" w:cs="Calibri" w:eastAsia="Calibri" w:hAnsi="Calibri"/>
          <w:b/>
          <w:bCs/>
          <w:color w:val="1a6b68"/>
          <w:sz w:val="22"/>
          <w:szCs w:val="22"/>
        </w:rPr>
        <w:t xml:space="preserve">Sprint-by-Sprint Technical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Sprint</w:t>
            </w:r>
          </w:p>
        </w:tc>
        <w:tc>
          <w:tcPr>
            <w:tcW w:type="dxa" w:w="796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My Deliverables</w:t>
            </w:r>
          </w:p>
        </w:tc>
      </w:tr>
      <w:tr>
        <w:tc>
          <w:tcPr>
            <w:tcW w:type="dxa" w:w="1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Sprint 1</w:t>
            </w:r>
          </w:p>
        </w:tc>
        <w:tc>
          <w:tcPr>
            <w:tcW w:type="dxa" w:w="7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Methodology research for LO 1.1 (8-methodology comparison). Groq vs OpenAI empirical evaluation. Smart contract extension planning for pharmacy dispensing. JWT authentication backend — /api/auth/login, /api/auth/register, authRequired and requireRole middleware.</w:t>
            </w:r>
          </w:p>
        </w:tc>
      </w:tr>
      <w:tr>
        <w:tc>
          <w:tcPr>
            <w:tcW w:type="dxa" w:w="1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Sprint 2</w:t>
            </w:r>
          </w:p>
        </w:tc>
        <w:tc>
          <w:tcPr>
            <w:tcW w:type="dxa" w:w="7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Extended ReportIntegrity.sol with dispense(), isDispensed, dispensedAt fields. Added require() preconditions enforcing the single-dispense invariant. Redeployed contract to Sepolia at 0x997Ee29Ab4bb58EEd98eFfa5358B7E3e55265323. GET /api/doctors, POST /api/appointments, PATCH /api/appointments/:id/status endpoints.</w:t>
            </w:r>
          </w:p>
        </w:tc>
      </w:tr>
      <w:tr>
        <w:tc>
          <w:tcPr>
            <w:tcW w:type="dxa" w:w="1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Sprint 3</w:t>
            </w:r>
          </w:p>
        </w:tc>
        <w:tc>
          <w:tcPr>
            <w:tcW w:type="dxa" w:w="7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GET /api/pharmacy/prescription/:id — queries Sepolia via Ethers.js, returns hash, timestamp, isValid, isDispensed, patient and doctor data joined from MySQL. POST /api/reports — SHA-256 hash computed and stored on-chain at report creation. GET /api/reports/patient/me and /doctor/me.</w:t>
            </w:r>
          </w:p>
        </w:tc>
      </w:tr>
      <w:tr>
        <w:tc>
          <w:tcPr>
            <w:tcW w:type="dxa" w:w="1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Sprint 4</w:t>
            </w:r>
          </w:p>
        </w:tc>
        <w:tc>
          <w:tcPr>
            <w:tcW w:type="dxa" w:w="7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POST /api/pharmacy/dispense/:id — on-chain dispense() call with server-side validity pre-check. POST /api/symptoms — Groq Llama 3.3-70b with four-clause system prompt (no diagnosis, JSON-only, fixed specialty list, urgency scale). POST /api/payments/create-intent and /confirm — Stripe backend with server-side retrieve. Database migration adding PHARMACIST ENUM role and paymentStatus, consultationFee, blockchainTx columns.</w:t>
            </w:r>
          </w:p>
        </w:tc>
      </w:tr>
      <w:tr>
        <w:tc>
          <w:tcPr>
            <w:tcW w:type="dxa" w:w="1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Sprint 5</w:t>
            </w:r>
          </w:p>
        </w:tc>
        <w:tc>
          <w:tcPr>
            <w:tcW w:type="dxa" w:w="7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GET /api/pharmacy/pending — blockchain-filtered queue of un-dispensed prescriptions with Promise.all parallelisation (cutting response time from 8s to under 2s). Prescription-code generation: RX-2026-{reportId}. GET /api/pharmacy/verify-code/:code — code parsing and blockchain lookup. Full Railway deployment: updated environment variables, production smoke testing.</w:t>
            </w:r>
          </w:p>
        </w:tc>
      </w:tr>
      <w:tr>
        <w:tc>
          <w:tcPr>
            <w:tcW w:type="dxa" w:w="1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Sprint 6</w:t>
            </w:r>
          </w:p>
        </w:tc>
        <w:tc>
          <w:tcPr>
            <w:tcW w:type="dxa" w:w="7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Pre-flight blockchain re-read on dispense() to prevent race conditions. Structured HTTP error responses (400/401/403/404/500) across all 14 backend routes. Legacy-report validation returning clean HTTP 400 instead of opaque EVM revert. authRequired + requireRole('PHARMACIST') added to the previously unauthenticated verify endpoint (security gap closed).</w:t>
            </w:r>
          </w:p>
        </w:tc>
      </w:tr>
      <w:tr>
        <w:tc>
          <w:tcPr>
            <w:tcW w:type="dxa" w:w="1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Sprint 7</w:t>
            </w:r>
          </w:p>
        </w:tc>
        <w:tc>
          <w:tcPr>
            <w:tcW w:type="dxa" w:w="7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Performance optimisation: Promise.all on the pending-queue blockchain reads. Stress test: 25 dispense() trials confirming single-dispense invariant holds under concurrent calls. appointments.js queries extended to include paymentStatus and consultationFee to avoid N+1 frontend calls.</w:t>
            </w:r>
          </w:p>
        </w:tc>
      </w:tr>
      <w:tr>
        <w:tc>
          <w:tcPr>
            <w:tcW w:type="dxa" w:w="14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Sprint 8</w:t>
            </w:r>
          </w:p>
        </w:tc>
        <w:tc>
          <w:tcPr>
            <w:tcW w:type="dxa" w:w="79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server/app.js extracted to export Express app without server.listen() — required for Supertest integration. Backend technical documentation (README). Final security review pass. Evidence portfolio and research report finalised.</w:t>
            </w:r>
          </w:p>
        </w:tc>
      </w:tr>
    </w:tbl>
    <w:p>
      <w:pPr>
        <w:spacing w:after="0" w:before="80"/>
      </w:pPr>
      <w:r>
        <w:t xml:space="preserve"/>
      </w:r>
    </w:p>
    <w:p>
      <w:pPr>
        <w:pStyle w:val="Heading3"/>
        <w:spacing w:after="60" w:before="200"/>
      </w:pPr>
      <w:r>
        <w:rPr>
          <w:rFonts w:ascii="Calibri" w:cs="Calibri" w:eastAsia="Calibri" w:hAnsi="Calibri"/>
          <w:b/>
          <w:bCs/>
          <w:color w:val="1a6b68"/>
          <w:sz w:val="22"/>
          <w:szCs w:val="22"/>
        </w:rPr>
        <w:t xml:space="preserve">Key Technical Artefacts</w:t>
      </w:r>
    </w:p>
    <w:p>
      <w:pPr>
        <w:spacing w:after="60" w:before="60"/>
        <w:jc w:val="both"/>
      </w:pPr>
      <w:r>
        <w:rPr>
          <w:rFonts w:ascii="Calibri" w:cs="Calibri" w:eastAsia="Calibri" w:hAnsi="Calibri"/>
          <w:b w:val="false"/>
          <w:bCs w:val="false"/>
          <w:i w:val="false"/>
          <w:iCs w:val="false"/>
          <w:color w:val="334155"/>
          <w:sz w:val="20"/>
          <w:szCs w:val="20"/>
        </w:rPr>
        <w:t xml:space="preserve">Three artefacts most clearly demonstrate the depth of my backend and blockchain contribution:</w:t>
      </w:r>
    </w:p>
    <w:p>
      <w:pPr>
        <w:spacing w:after="0" w:before="40"/>
      </w:pPr>
      <w:r>
        <w:t xml:space="preserve"/>
      </w:r>
    </w:p>
    <w:p>
      <w:pPr>
        <w:pStyle w:val="ListParagraph"/>
        <w:numPr>
          <w:ilvl w:val="0"/>
          <w:numId w:val="2"/>
        </w:numPr>
        <w:spacing w:after="30" w:before="30"/>
      </w:pPr>
      <w:r>
        <w:rPr>
          <w:rFonts w:ascii="Calibri" w:cs="Calibri" w:eastAsia="Calibri" w:hAnsi="Calibri"/>
          <w:color w:val="334155"/>
          <w:sz w:val="20"/>
          <w:szCs w:val="20"/>
        </w:rPr>
        <w:t xml:space="preserve">ReportIntegrity.sol — The Solidity smart contract is the security foundation of the entire pharmacy system. The single-dispense invariant is enforced at the EVM level via require(!prescriptions[reportId].isDispensed). No application code, database rule, or network request can bypass this — it is enforced by every Ethereum validator node globally. The bytes32 storage type for hashes was chosen deliberately: a SHA-256 hash is exactly 256 bits, fitting one EVM storage slot at minimum gas cost.</w:t>
      </w:r>
    </w:p>
    <w:p>
      <w:pPr>
        <w:pStyle w:val="ListParagraph"/>
        <w:numPr>
          <w:ilvl w:val="0"/>
          <w:numId w:val="2"/>
        </w:numPr>
        <w:spacing w:after="30" w:before="30"/>
      </w:pPr>
      <w:r>
        <w:rPr>
          <w:rFonts w:ascii="Calibri" w:cs="Calibri" w:eastAsia="Calibri" w:hAnsi="Calibri"/>
          <w:color w:val="334155"/>
          <w:sz w:val="20"/>
          <w:szCs w:val="20"/>
        </w:rPr>
        <w:t xml:space="preserve">POST /api/symptoms (Groq integration) — The four-clause system prompt was designed following Singhal et al.'s (2023) research on LLM medical safety: (1) prohibit diagnosis explicitly, (2) require JSON-only output with a fixed schema, (3) restrict specialty to a controlled list, (4) assess urgency on a four-point scale. This is specialist knowledge applied — not just an API call.</w:t>
      </w:r>
    </w:p>
    <w:p>
      <w:pPr>
        <w:pStyle w:val="ListParagraph"/>
        <w:numPr>
          <w:ilvl w:val="0"/>
          <w:numId w:val="2"/>
        </w:numPr>
        <w:spacing w:after="30" w:before="30"/>
      </w:pPr>
      <w:r>
        <w:rPr>
          <w:rFonts w:ascii="Calibri" w:cs="Calibri" w:eastAsia="Calibri" w:hAnsi="Calibri"/>
          <w:color w:val="334155"/>
          <w:sz w:val="20"/>
          <w:szCs w:val="20"/>
        </w:rPr>
        <w:t xml:space="preserve">POST /api/payments/create-intent + /confirm — The server-side retrieve pattern means Stripe's servers are the source of truth for payment status, not the browser. The backend calls stripe.paymentIntents.retrieve() independently before creating the appointment — a client cannot fake payment success by intercepting browser events.</w:t>
      </w:r>
    </w:p>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4.  Evaluation of Problems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bCs/>
                <w:color w:val="92400e"/>
                <w:sz w:val="18"/>
                <w:szCs w:val="18"/>
              </w:rPr>
              <w:t xml:space="preserve">LO 2.1</w:t>
            </w:r>
          </w:p>
        </w:tc>
        <w:tc>
          <w:tcPr>
            <w:tcW w:type="dxa" w:w="816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val="false"/>
                <w:bCs w:val="false"/>
                <w:color w:val="78350f"/>
                <w:sz w:val="18"/>
                <w:szCs w:val="18"/>
              </w:rPr>
              <w:t xml:space="preserve">Conduct independent research into a specialist area, identifying key theories, technologies, or practices — with evidence from peer-reviewed and industry sources.</w:t>
            </w:r>
          </w:p>
        </w:tc>
      </w:tr>
    </w:tbl>
    <w:p>
      <w:pPr>
        <w:spacing w:after="0" w:before="80"/>
      </w:pPr>
      <w:r>
        <w:t xml:space="preserve"/>
      </w:r>
    </w:p>
    <w:p>
      <w:pPr>
        <w:pStyle w:val="Heading2"/>
        <w:spacing w:after="80" w:before="260"/>
      </w:pPr>
      <w:r>
        <w:rPr>
          <w:rFonts w:ascii="Calibri" w:cs="Calibri" w:eastAsia="Calibri" w:hAnsi="Calibri"/>
          <w:b/>
          <w:bCs/>
          <w:color w:val="1e293b"/>
          <w:sz w:val="26"/>
          <w:szCs w:val="26"/>
        </w:rPr>
        <w:t xml:space="preserve">4.1   Blockchain and Smart Contract Design</w:t>
      </w:r>
    </w:p>
    <w:p>
      <w:pPr>
        <w:spacing w:after="60" w:before="60"/>
        <w:jc w:val="both"/>
      </w:pPr>
      <w:r>
        <w:rPr>
          <w:rFonts w:ascii="Calibri" w:cs="Calibri" w:eastAsia="Calibri" w:hAnsi="Calibri"/>
          <w:b w:val="false"/>
          <w:bCs w:val="false"/>
          <w:i w:val="false"/>
          <w:iCs w:val="false"/>
          <w:color w:val="334155"/>
          <w:sz w:val="20"/>
          <w:szCs w:val="20"/>
        </w:rPr>
        <w:t xml:space="preserve">The decision to store prescription hashes on Ethereum rather than in a database alone is the most architecturally significant choice in the project. The justification is grounded in independent research.</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Rensaa et al. (2021) developed VerifyMed, the first Ethereum-based proof-of-concept for validating healthcare professional credentials and treatment records, demonstrating that Ethereum smart contracts provide a cost-effective mechanism for healthcare verification at approximately US$1 per contract deployment and US$0.50 per treatment evaluation. A systematic review of 80 blockchain-and-health-policy studies (Information, 2025), covering 2019–2025, concluded that blockchain-enabled smart contracts consistently improve data integrity and provide verifiable automation in clinical operations. Litchfield and Khan (2021) validated blockchain specifically for prescription management at AUT, building BlockPres on Ethereum and Solidity to prevent forgery and double dispensing — directly establishing that the technical approach in OneStep Healthcare has a NZ academic precedent.</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Three smart contract design choices reflect applied understanding of the EVM, not surface-level usage:</w:t>
      </w:r>
    </w:p>
    <w:p>
      <w:pPr>
        <w:spacing w:after="0" w:before="40"/>
      </w:pPr>
      <w:r>
        <w:t xml:space="preserve"/>
      </w:r>
    </w:p>
    <w:p>
      <w:pPr>
        <w:pStyle w:val="ListParagraph"/>
        <w:numPr>
          <w:ilvl w:val="0"/>
          <w:numId w:val="2"/>
        </w:numPr>
        <w:spacing w:after="30" w:before="30"/>
      </w:pPr>
      <w:r>
        <w:rPr>
          <w:rFonts w:ascii="Calibri" w:cs="Calibri" w:eastAsia="Calibri" w:hAnsi="Calibri"/>
          <w:color w:val="334155"/>
          <w:sz w:val="20"/>
          <w:szCs w:val="20"/>
        </w:rPr>
        <w:t xml:space="preserve">bytes32 for hash storage. A SHA-256 hash is exactly 256 bits — fitting precisely into one EVM storage slot. Using string would require a dynamic-length storage type costing more gas per write and more code per comparison.</w:t>
      </w:r>
    </w:p>
    <w:p>
      <w:pPr>
        <w:pStyle w:val="ListParagraph"/>
        <w:numPr>
          <w:ilvl w:val="0"/>
          <w:numId w:val="2"/>
        </w:numPr>
        <w:spacing w:after="30" w:before="30"/>
      </w:pPr>
      <w:r>
        <w:rPr>
          <w:rFonts w:ascii="Calibri" w:cs="Calibri" w:eastAsia="Calibri" w:hAnsi="Calibri"/>
          <w:color w:val="334155"/>
          <w:sz w:val="20"/>
          <w:szCs w:val="20"/>
        </w:rPr>
        <w:t xml:space="preserve">Struct field ordering for storage packing. The boolean fields isValid and isDispensed are placed adjacent in the prescription struct. Solidity's storage packing places adjacent booleans in a single 32-byte slot, making the dispense() write a one-SSTORE operation rather than two.</w:t>
      </w:r>
    </w:p>
    <w:p>
      <w:pPr>
        <w:pStyle w:val="ListParagraph"/>
        <w:numPr>
          <w:ilvl w:val="0"/>
          <w:numId w:val="2"/>
        </w:numPr>
        <w:spacing w:after="30" w:before="30"/>
      </w:pPr>
      <w:r>
        <w:rPr>
          <w:rFonts w:ascii="Calibri" w:cs="Calibri" w:eastAsia="Calibri" w:hAnsi="Calibri"/>
          <w:color w:val="334155"/>
          <w:sz w:val="20"/>
          <w:szCs w:val="20"/>
        </w:rPr>
        <w:t xml:space="preserve">require() as business-rule enforcement. The invariant require(!prescriptions[reportId].isDispensed, 'Already dispensed') is enforced at the EVM level. There is no code path through the network — including bugs or exploits in the application layer — that can bypass it. This is qualitatively different from an application-level check in Express middleware.</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Wood's (2014) Ethereum Yellow Paper describes the EVM as a transactional singleton machine: every validator runs an identical virtual machine over the same global state. Since the Merge in September 2022, consensus is Proof-of-Stake. Altering a stored hash would require corrupting more than two-thirds of staked ETH globally — a threat model fundamentally different from compromising a single database.</w:t>
      </w:r>
    </w:p>
    <w:p>
      <w:pPr>
        <w:spacing w:after="0" w:before="80"/>
      </w:pPr>
      <w:r>
        <w:t xml:space="preserve"/>
      </w:r>
    </w:p>
    <w:p>
      <w:pPr>
        <w:pStyle w:val="Heading2"/>
        <w:spacing w:after="80" w:before="260"/>
      </w:pPr>
      <w:r>
        <w:rPr>
          <w:rFonts w:ascii="Calibri" w:cs="Calibri" w:eastAsia="Calibri" w:hAnsi="Calibri"/>
          <w:b/>
          <w:bCs/>
          <w:color w:val="1e293b"/>
          <w:sz w:val="26"/>
          <w:szCs w:val="26"/>
        </w:rPr>
        <w:t xml:space="preserve">4.2   AI Symptom Triage — LLM Selection and Prompt Design</w:t>
      </w:r>
    </w:p>
    <w:p>
      <w:pPr>
        <w:spacing w:after="60" w:before="60"/>
        <w:jc w:val="both"/>
      </w:pPr>
      <w:r>
        <w:rPr>
          <w:rFonts w:ascii="Calibri" w:cs="Calibri" w:eastAsia="Calibri" w:hAnsi="Calibri"/>
          <w:b w:val="false"/>
          <w:bCs w:val="false"/>
          <w:i w:val="false"/>
          <w:iCs w:val="false"/>
          <w:color w:val="334155"/>
          <w:sz w:val="20"/>
          <w:szCs w:val="20"/>
        </w:rPr>
        <w:t xml:space="preserve">Patients frequently do not know which medical specialty is appropriate for their symptoms, causing incorrect bookings and delayed diagnosis. Traditional rule-based chatbots address this poorly because they cannot handle multi-symptom descriptions in natural language.</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Levine et al. (2025) in npj Digital Medicine reviewed 19 studies of symptom assessment applications, finding that LLMs achieve 57.8–76.0% self-triage accuracy with low variability, compared to 47.3–62.4% for unassisted laypeople and 11.5–90.0% for traditional rule-based systems (high variability). This finding directly justifies replacing the Studio 5 rule-based chatbot with an LLM — the LLM is both more accurate and more consistent. Fraser et al. (2023) compared ChatGPT against WebMD and Ada Health for emergency department triage and found competitive LLM performance against established commercial products.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provider selection compared four options: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Approach</w:t>
            </w:r>
          </w:p>
        </w:tc>
        <w:tc>
          <w:tcPr>
            <w:tcW w:type="dxa" w:w="18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Triage Accuracy</w:t>
            </w:r>
          </w:p>
        </w:tc>
        <w:tc>
          <w:tcPr>
            <w:tcW w:type="dxa" w:w="18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NL Understanding</w:t>
            </w:r>
          </w:p>
        </w:tc>
        <w:tc>
          <w:tcPr>
            <w:tcW w:type="dxa" w:w="18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Cost</w:t>
            </w:r>
          </w:p>
        </w:tc>
        <w:tc>
          <w:tcPr>
            <w:tcW w:type="dxa" w:w="176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Selected?</w:t>
            </w:r>
          </w:p>
        </w:tc>
      </w:tr>
      <w:tr>
        <w:tc>
          <w:tcPr>
            <w:tcW w:type="dxa" w:w="22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Rule-Based (Studio 5)</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Low, keyword-limited</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None</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Free</w:t>
            </w:r>
          </w:p>
        </w:tc>
        <w:tc>
          <w:tcPr>
            <w:tcW w:type="dxa" w:w="17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No — replaced S6</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OpenAI GPT-4o</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Very high</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Excellent</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Paid (removed free tier)</w:t>
            </w:r>
          </w:p>
        </w:tc>
        <w:tc>
          <w:tcPr>
            <w:tcW w:type="dxa" w:w="1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No — cost</w:t>
            </w:r>
          </w:p>
        </w:tc>
      </w:tr>
      <w:tr>
        <w:tc>
          <w:tcPr>
            <w:tcW w:type="dxa" w:w="22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Fine-tuned ML model</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High if trained</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Good</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High training cost</w:t>
            </w:r>
          </w:p>
        </w:tc>
        <w:tc>
          <w:tcPr>
            <w:tcW w:type="dxa" w:w="17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No — infeasible</w:t>
            </w:r>
          </w:p>
        </w:tc>
      </w:tr>
      <w:tr>
        <w:tc>
          <w:tcPr>
            <w:tcW w:type="dxa" w:w="220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bCs/>
                <w:color w:val="334155"/>
                <w:sz w:val="19"/>
                <w:szCs w:val="19"/>
              </w:rPr>
              <w:t xml:space="preserve">Groq Llama 3.3-70b</w:t>
            </w:r>
          </w:p>
        </w:tc>
        <w:tc>
          <w:tcPr>
            <w:tcW w:type="dxa" w:w="180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57.8–76%</w:t>
            </w:r>
          </w:p>
        </w:tc>
        <w:tc>
          <w:tcPr>
            <w:tcW w:type="dxa" w:w="180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Excellent</w:t>
            </w:r>
          </w:p>
        </w:tc>
        <w:tc>
          <w:tcPr>
            <w:tcW w:type="dxa" w:w="180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Free tier (30 rpm)</w:t>
            </w:r>
          </w:p>
        </w:tc>
        <w:tc>
          <w:tcPr>
            <w:tcW w:type="dxa" w:w="176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YES</w:t>
            </w:r>
          </w:p>
        </w:tc>
      </w:tr>
    </w:tbl>
    <w:p>
      <w:pPr>
        <w:spacing w:after="0" w:before="6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four-clause system prompt was designed following Singhal et al.'s (2023) research finding that careful prompt engineering significantly improves LLM medical response quality and safety. The clauses are: (1) explicitly prohibit diagnosis; (2) require JSON-only output with a fixed schema {specialty, urgency, reasoning}; (3) restrict the specialty field to a controlled enumeration matching our doctor specialty database; (4) assess urgency on a four-point scale (1 = self-care, 4 = emergency). This structured approach ensures the AI's output can always be parsed and acted on by the frontend, regardless of symptom input variation.</w:t>
      </w:r>
    </w:p>
    <w:p>
      <w:pPr>
        <w:spacing w:after="0" w:before="80"/>
      </w:pPr>
      <w:r>
        <w:t xml:space="preserve"/>
      </w:r>
    </w:p>
    <w:p>
      <w:pPr>
        <w:pStyle w:val="Heading2"/>
        <w:spacing w:after="80" w:before="260"/>
      </w:pPr>
      <w:r>
        <w:rPr>
          <w:rFonts w:ascii="Calibri" w:cs="Calibri" w:eastAsia="Calibri" w:hAnsi="Calibri"/>
          <w:b/>
          <w:bCs/>
          <w:color w:val="1e293b"/>
          <w:sz w:val="26"/>
          <w:szCs w:val="26"/>
        </w:rPr>
        <w:t xml:space="preserve">4.3   Payment Gateway Architecture</w:t>
      </w:r>
    </w:p>
    <w:p>
      <w:pPr>
        <w:spacing w:after="60" w:before="60"/>
        <w:jc w:val="both"/>
      </w:pPr>
      <w:r>
        <w:rPr>
          <w:rFonts w:ascii="Calibri" w:cs="Calibri" w:eastAsia="Calibri" w:hAnsi="Calibri"/>
          <w:b w:val="false"/>
          <w:bCs w:val="false"/>
          <w:i w:val="false"/>
          <w:iCs w:val="false"/>
          <w:color w:val="334155"/>
          <w:sz w:val="20"/>
          <w:szCs w:val="20"/>
        </w:rPr>
        <w:t xml:space="preserve">Manual payment collection in healthcare creates two documented problems: high no-show rates when patients have made no financial commitment, and untracked revenue. As New Zealand's digital health market grows at 5.99% annually (Statista, 2024), professional payment infrastructure is essential.</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Three Stripe confirmation patterns were evaluated before selecting server-side retrieve:</w:t>
      </w:r>
    </w:p>
    <w:p>
      <w:pPr>
        <w:pStyle w:val="ListParagraph"/>
        <w:numPr>
          <w:ilvl w:val="0"/>
          <w:numId w:val="2"/>
        </w:numPr>
        <w:spacing w:after="30" w:before="30"/>
      </w:pPr>
      <w:r>
        <w:rPr>
          <w:rFonts w:ascii="Calibri" w:cs="Calibri" w:eastAsia="Calibri" w:hAnsi="Calibri"/>
          <w:color w:val="334155"/>
          <w:sz w:val="20"/>
          <w:szCs w:val="20"/>
        </w:rPr>
        <w:t xml:space="preserve">Client-side confirmation — Insecure. A client can intercept the Stripe.js response and fabricate a success event. Rejected as fundamentally unsafe.</w:t>
      </w:r>
    </w:p>
    <w:p>
      <w:pPr>
        <w:pStyle w:val="ListParagraph"/>
        <w:numPr>
          <w:ilvl w:val="0"/>
          <w:numId w:val="2"/>
        </w:numPr>
        <w:spacing w:after="30" w:before="30"/>
      </w:pPr>
      <w:r>
        <w:rPr>
          <w:rFonts w:ascii="Calibri" w:cs="Calibri" w:eastAsia="Calibri" w:hAnsi="Calibri"/>
          <w:color w:val="334155"/>
          <w:sz w:val="20"/>
          <w:szCs w:val="20"/>
        </w:rPr>
        <w:t xml:space="preserve">Webhook confirmation — Most secure, as Stripe pushes event data to a backend URL. Rejected because webhooks require a publicly reachable endpoint that cannot be tested reliably in local development without tunnelling tools, introducing friction across the whole team.</w:t>
      </w:r>
    </w:p>
    <w:p>
      <w:pPr>
        <w:pStyle w:val="ListParagraph"/>
        <w:numPr>
          <w:ilvl w:val="0"/>
          <w:numId w:val="2"/>
        </w:numPr>
        <w:spacing w:after="30" w:before="30"/>
      </w:pPr>
      <w:r>
        <w:rPr>
          <w:rFonts w:ascii="Calibri" w:cs="Calibri" w:eastAsia="Calibri" w:hAnsi="Calibri"/>
          <w:color w:val="334155"/>
          <w:sz w:val="20"/>
          <w:szCs w:val="20"/>
        </w:rPr>
        <w:t xml:space="preserve">Server-side retrieve (selected) — After the client confirms the card payment, the backend calls stripe.paymentIntents.retrieve(id) directly from Stripe's API to independently verify status before creating the appointment row. The source of truth is Stripe's servers, not the browser. Fraudulent booking creation without payment is impossible.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360"/>
      </w:tblGrid>
      <w:tr>
        <w:tc>
          <w:tcPr>
            <w:tcW w:type="dxa" w:w="20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Gateway</w:t>
            </w:r>
          </w:p>
        </w:tc>
        <w:tc>
          <w:tcPr>
            <w:tcW w:type="dxa" w:w="16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NZ Fee</w:t>
            </w:r>
          </w:p>
        </w:tc>
        <w:tc>
          <w:tcPr>
            <w:tcW w:type="dxa" w:w="16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Test Mode</w:t>
            </w:r>
          </w:p>
        </w:tc>
        <w:tc>
          <w:tcPr>
            <w:tcW w:type="dxa" w:w="18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Server-Side Confirm</w:t>
            </w:r>
          </w:p>
        </w:tc>
        <w:tc>
          <w:tcPr>
            <w:tcW w:type="dxa" w:w="236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Selected?</w:t>
            </w:r>
          </w:p>
        </w:tc>
      </w:tr>
      <w:tr>
        <w:tc>
          <w:tcPr>
            <w:tcW w:type="dxa" w:w="20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Manual Invoice</w:t>
            </w:r>
          </w:p>
        </w:tc>
        <w:tc>
          <w:tcPr>
            <w:tcW w:type="dxa" w:w="16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None</w:t>
            </w:r>
          </w:p>
        </w:tc>
        <w:tc>
          <w:tcPr>
            <w:tcW w:type="dxa" w:w="16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N/A</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No</w:t>
            </w:r>
          </w:p>
        </w:tc>
        <w:tc>
          <w:tcPr>
            <w:tcW w:type="dxa" w:w="2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No — no commitment</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PayPal</w:t>
            </w:r>
          </w:p>
        </w:tc>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2.6% + $0.30</w:t>
            </w:r>
          </w:p>
        </w:tc>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Sandbox</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No</w:t>
            </w:r>
          </w:p>
        </w:tc>
        <w:tc>
          <w:tcPr>
            <w:tcW w:type="dxa" w:w="23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No — higher fee</w:t>
            </w:r>
          </w:p>
        </w:tc>
      </w:tr>
      <w:tr>
        <w:tc>
          <w:tcPr>
            <w:tcW w:type="dxa" w:w="20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Square</w:t>
            </w:r>
          </w:p>
        </w:tc>
        <w:tc>
          <w:tcPr>
            <w:tcW w:type="dxa" w:w="16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1.6% flat</w:t>
            </w:r>
          </w:p>
        </w:tc>
        <w:tc>
          <w:tcPr>
            <w:tcW w:type="dxa" w:w="16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Sandbox</w:t>
            </w:r>
          </w:p>
        </w:tc>
        <w:tc>
          <w:tcPr>
            <w:tcW w:type="dxa" w:w="180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Partial</w:t>
            </w:r>
          </w:p>
        </w:tc>
        <w:tc>
          <w:tcPr>
            <w:tcW w:type="dxa" w:w="236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991b1b"/>
                <w:sz w:val="19"/>
                <w:szCs w:val="19"/>
              </w:rPr>
              <w:t xml:space="preserve">No — weaker docs</w:t>
            </w:r>
          </w:p>
        </w:tc>
      </w:tr>
      <w:tr>
        <w:tc>
          <w:tcPr>
            <w:tcW w:type="dxa" w:w="200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bCs/>
                <w:color w:val="334155"/>
                <w:sz w:val="19"/>
                <w:szCs w:val="19"/>
              </w:rPr>
              <w:t xml:space="preserve">Stripe</w:t>
            </w:r>
          </w:p>
        </w:tc>
        <w:tc>
          <w:tcPr>
            <w:tcW w:type="dxa" w:w="160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1.7% + $0.10</w:t>
            </w:r>
          </w:p>
        </w:tc>
        <w:tc>
          <w:tcPr>
            <w:tcW w:type="dxa" w:w="160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Full test cards</w:t>
            </w:r>
          </w:p>
        </w:tc>
        <w:tc>
          <w:tcPr>
            <w:tcW w:type="dxa" w:w="180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Yes — retrieve API</w:t>
            </w:r>
          </w:p>
        </w:tc>
        <w:tc>
          <w:tcPr>
            <w:tcW w:type="dxa" w:w="2360"/>
            <w:tcBorders>
              <w:top w:val="single" w:color="cbd5e1" w:sz="1"/>
              <w:left w:val="single" w:color="cbd5e1" w:sz="1"/>
              <w:bottom w:val="single" w:color="cbd5e1" w:sz="1"/>
              <w:right w:val="single" w:color="cbd5e1" w:sz="1"/>
            </w:tcBorders>
            <w:shd w:fill="d0ecea" w:val="clear"/>
            <w:tcMar>
              <w:top w:type="dxa" w:w="90"/>
              <w:left w:type="dxa" w:w="130"/>
              <w:bottom w:type="dxa" w:w="90"/>
              <w:right w:type="dxa" w:w="130"/>
            </w:tcMar>
            <w:vAlign w:val="top"/>
          </w:tcPr>
          <w:p>
            <w:pPr>
              <w:jc w:val="left"/>
            </w:pPr>
            <w:r>
              <w:rPr>
                <w:rFonts w:ascii="Calibri" w:cs="Calibri" w:eastAsia="Calibri" w:hAnsi="Calibri"/>
                <w:b/>
                <w:bCs/>
                <w:color w:val="1a6b68"/>
                <w:sz w:val="19"/>
                <w:szCs w:val="19"/>
              </w:rPr>
              <w:t xml:space="preserve">YES</w:t>
            </w:r>
          </w:p>
        </w:tc>
      </w:tr>
    </w:tbl>
    <w:p>
      <w:pPr>
        <w:spacing w:after="0" w:before="80"/>
      </w:pPr>
      <w:r>
        <w:t xml:space="preserve"/>
      </w:r>
    </w:p>
    <w:p>
      <w:pPr>
        <w:pStyle w:val="Heading2"/>
        <w:spacing w:after="80" w:before="260"/>
      </w:pPr>
      <w:r>
        <w:rPr>
          <w:rFonts w:ascii="Calibri" w:cs="Calibri" w:eastAsia="Calibri" w:hAnsi="Calibri"/>
          <w:b/>
          <w:bCs/>
          <w:color w:val="1e293b"/>
          <w:sz w:val="26"/>
          <w:szCs w:val="26"/>
        </w:rPr>
        <w:t xml:space="preserve">4.4   Video Consultation — WebRTC vs Agora RTC</w:t>
      </w:r>
    </w:p>
    <w:p>
      <w:pPr>
        <w:spacing w:after="60" w:before="60"/>
        <w:jc w:val="both"/>
      </w:pPr>
      <w:r>
        <w:rPr>
          <w:rFonts w:ascii="Calibri" w:cs="Calibri" w:eastAsia="Calibri" w:hAnsi="Calibri"/>
          <w:b w:val="false"/>
          <w:bCs w:val="false"/>
          <w:i w:val="false"/>
          <w:iCs w:val="false"/>
          <w:color w:val="334155"/>
          <w:sz w:val="20"/>
          <w:szCs w:val="20"/>
        </w:rPr>
        <w:t xml:space="preserve">OneStep Healthcare initially implemented WebRTC with Socket.io signalling for video consultations. Peer-to-peer WebRTC is free and browser-native but requires STUN/TURN servers for NAT traversal; approximately 10–20% of connections require TURN relay when direct peer-to-peer fails (Forasoft, 2026). On the Railway hosted environment, WebRTC encountered critical failures: Railway does not reliably support the WebSocket upgrade required for Socket.io signalling, and HTTPS is required for camera access.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Agora RTC resolves all of these issues by providing a managed global TURN infrastructure. Digittrix (2025) identifies Agora as specifically suited for healthcare teleconferencing with 99.98% uptime and 40% reduction in development time versus building from scratch. The migration to Agora reduced VideoCall.jsx complexity substantially and eliminated all connectivity failures.</w:t>
      </w:r>
    </w:p>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5.  Communication for Sustainable Productivity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bCs/>
                <w:color w:val="92400e"/>
                <w:sz w:val="18"/>
                <w:szCs w:val="18"/>
              </w:rPr>
              <w:t xml:space="preserve">LO 3.2</w:t>
            </w:r>
          </w:p>
        </w:tc>
        <w:tc>
          <w:tcPr>
            <w:tcW w:type="dxa" w:w="816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val="false"/>
                <w:bCs w:val="false"/>
                <w:color w:val="78350f"/>
                <w:sz w:val="18"/>
                <w:szCs w:val="18"/>
              </w:rPr>
              <w:t xml:space="preserve">Support team development by mentoring peers, resolving conflicts, and promoting a positive team environment.</w:t>
            </w:r>
          </w:p>
        </w:tc>
      </w:tr>
    </w:tbl>
    <w:p>
      <w:pPr>
        <w:spacing w:after="0" w:before="8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Maintaining consistent productivity across an eight-week two-person project required deliberate communication practices from Sprint 1. Three practices were established and sustained throughout the project.</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5.1   API Contracts Agreed Before Code</w:t>
      </w:r>
    </w:p>
    <w:p>
      <w:pPr>
        <w:spacing w:after="60" w:before="60"/>
        <w:jc w:val="both"/>
      </w:pPr>
      <w:r>
        <w:rPr>
          <w:rFonts w:ascii="Calibri" w:cs="Calibri" w:eastAsia="Calibri" w:hAnsi="Calibri"/>
          <w:b w:val="false"/>
          <w:bCs w:val="false"/>
          <w:i w:val="false"/>
          <w:iCs w:val="false"/>
          <w:color w:val="334155"/>
          <w:sz w:val="20"/>
          <w:szCs w:val="20"/>
        </w:rPr>
        <w:t xml:space="preserve">Before any new backend endpoint was written, Tannu and I agreed the exact JSON response shape in a Microsoft Teams meeting. For example, before building the pharmacy verification endpoint in Sprint 3, we agreed the full response contract: { ok, isValid, isDispensed, dispensedAt, txHash, patientName, doctorName, specialty, diagnosis, prescription, blockchainHash }. This allowed Tannu to begin building the PharmacyDashboard frontend against a mock while my backend implementation was still in progress. Every cross-layer feature followed this pattern. There were no integration mismatches at the end of any sprint — not because we were lucky, but because the interface was agreed and documented before either side wrote code.</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This practice also served a mentoring function. By walking through the JSON contract together, Tannu developed a clear model of how Express routes produce structured data and how that data maps to React component state. Rather than handing over code to integrate, I explained the data contract and let Tannu implement the display independently. This investment in shared understanding paid dividends in Sprint 6 when she identified the access control gap on the verify endpoint independently — something she would not have been positioned to notice without understanding the backend data flow.</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5.2   Conflict Resolution by Experiment</w:t>
      </w:r>
    </w:p>
    <w:p>
      <w:pPr>
        <w:spacing w:after="60" w:before="60"/>
        <w:jc w:val="both"/>
      </w:pPr>
      <w:r>
        <w:rPr>
          <w:rFonts w:ascii="Calibri" w:cs="Calibri" w:eastAsia="Calibri" w:hAnsi="Calibri"/>
          <w:b w:val="false"/>
          <w:bCs w:val="false"/>
          <w:i w:val="false"/>
          <w:iCs w:val="false"/>
          <w:color w:val="334155"/>
          <w:sz w:val="20"/>
          <w:szCs w:val="20"/>
        </w:rPr>
        <w:t xml:space="preserve">Two genuine technical disagreements arose during the project. Both were resolved by empirical test rather than by authority or compromise.</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first was the AI provider choice. I advocated for OpenAI GPT-4o on quality grounds; Tannu argued for a free-tier provider to avoid dependency on paid credits. Rather than resolving by seniority, we agreed to spend a half-day each running the same set of 12 symptom descriptions through both providers and comparing the structured JSON output for specialty accuracy and urgency consistency. Groq Llama 3.3-70b produced results comparable to GPT-4o across 10 of 12 cases, with the two divergent cases being edge conditions unlikely to appear in normal use. The empirical result settled the choice — no one conceded; the evidence decided.</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second disagreement was around code review turnaround time. In Sprint 3, a pull request from Tannu sat unreviewed for over 24 hours, blocking her frontend progress. Rather than address this informally, I proposed writing a turnaround rule into the Sprint 4 working agreement: pull requests submitted before 8pm must be reviewed by 10am the following day. Committing to a concrete, auditable standard — rather than a general agreement to 'be faster' — eliminated the recurrence.</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5.3   Visible Individual Credit</w:t>
      </w:r>
    </w:p>
    <w:p>
      <w:pPr>
        <w:spacing w:after="60" w:before="60"/>
        <w:jc w:val="both"/>
      </w:pPr>
      <w:r>
        <w:rPr>
          <w:rFonts w:ascii="Calibri" w:cs="Calibri" w:eastAsia="Calibri" w:hAnsi="Calibri"/>
          <w:b w:val="false"/>
          <w:bCs w:val="false"/>
          <w:i w:val="false"/>
          <w:iCs w:val="false"/>
          <w:color w:val="334155"/>
          <w:sz w:val="20"/>
          <w:szCs w:val="20"/>
        </w:rPr>
        <w:t xml:space="preserve">Commit messages in the shared repository attribute work specifically. For example: 'Add dispense() require() precondition — co-authored with Tannu on the ENUM debugging.' This practice kept individual contributions visible in the public Git history and prevented the dilution effect where one team member's heavier week becomes invisible in an undifferentiated repository. It also created an accurate record of where skills developed during the project — Tannu's progression from frontend-only in Sprint 1 to independently identifying a backend security gap in Sprint 6 is traceable through the commit history.</w:t>
      </w:r>
    </w:p>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6.  Managing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bCs/>
                <w:color w:val="92400e"/>
                <w:sz w:val="18"/>
                <w:szCs w:val="18"/>
              </w:rPr>
              <w:t xml:space="preserve">LO 3.1</w:t>
            </w:r>
          </w:p>
        </w:tc>
        <w:tc>
          <w:tcPr>
            <w:tcW w:type="dxa" w:w="816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val="false"/>
                <w:bCs w:val="false"/>
                <w:color w:val="78350f"/>
                <w:sz w:val="18"/>
                <w:szCs w:val="18"/>
              </w:rPr>
              <w:t xml:space="preserve">Plan and coordinate team tasks, ensuring roles are clearly defined and progress is monitored.</w:t>
            </w:r>
          </w:p>
        </w:tc>
      </w:tr>
    </w:tbl>
    <w:p>
      <w:pPr>
        <w:spacing w:after="0" w:before="8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Project management operated across three layers simultaneously — individual task, sprint, and block — each with its own tooling and rhythm.</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6.1   Task Level — GitHub Projects Kanban Board</w:t>
      </w:r>
    </w:p>
    <w:p>
      <w:pPr>
        <w:spacing w:after="60" w:before="60"/>
        <w:jc w:val="both"/>
      </w:pPr>
      <w:r>
        <w:rPr>
          <w:rFonts w:ascii="Calibri" w:cs="Calibri" w:eastAsia="Calibri" w:hAnsi="Calibri"/>
          <w:b w:val="false"/>
          <w:bCs w:val="false"/>
          <w:i w:val="false"/>
          <w:iCs w:val="false"/>
          <w:color w:val="334155"/>
          <w:sz w:val="20"/>
          <w:szCs w:val="20"/>
        </w:rPr>
        <w:t xml:space="preserve">Every piece of work was created as a GitHub Issue before it was started. Issues were labelled with the sprint number, assigned to the responsible team member, and moved through a five-column board: Backlog, Ready, In Progress, Review, Done. Column transitions are timestamped by GitHub automatically, creating an auditable record of when every task started, entered review, and was completed.</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Role assignment was explicit from Sprint 1. Ambiguously owned tasks — such as the integration testing suite in Sprint 8 — were formally assigned at the sprint planning session with an agreed definition of done. This prevented the common team failure mode where important cross-cutting work belongs to everyone in theory and no one in practice.</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6.2   Sprint Level — Weekly Retrospectives</w:t>
      </w:r>
    </w:p>
    <w:p>
      <w:pPr>
        <w:spacing w:after="60" w:before="60"/>
        <w:jc w:val="both"/>
      </w:pPr>
      <w:r>
        <w:rPr>
          <w:rFonts w:ascii="Calibri" w:cs="Calibri" w:eastAsia="Calibri" w:hAnsi="Calibri"/>
          <w:b w:val="false"/>
          <w:bCs w:val="false"/>
          <w:i w:val="false"/>
          <w:iCs w:val="false"/>
          <w:color w:val="334155"/>
          <w:sz w:val="20"/>
          <w:szCs w:val="20"/>
        </w:rPr>
        <w:t xml:space="preserve">Each sprint concluded with a Microsoft Teams retrospective meeting. The format covered four topics: completed work, slips and their reasons, learnings, and the agreed backlog for the next sprint. Minutes were written and shared in the Teams channel within 24 hours of the session.</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Sprint 4 retrospective was the most consequential planning event of the project. During a demo, Tannu logged in as a fresh pharmacist user and observed that there was no way to discover which prescriptions needed action. The observation was immediately captured as a priority item and drove the entire Sprint 5 scope — including GET /api/pharmacy/pending, the prescription code system (RX-2026-{id}), and the PharmacyDashboard list view. None of these features were in the original backlog. The retrospective format created the conditions for this discovery to surface and be acted on.</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6.3   Block Level — Weekly Progress Reports</w:t>
      </w:r>
    </w:p>
    <w:p>
      <w:pPr>
        <w:spacing w:after="60" w:before="60"/>
        <w:jc w:val="both"/>
      </w:pPr>
      <w:r>
        <w:rPr>
          <w:rFonts w:ascii="Calibri" w:cs="Calibri" w:eastAsia="Calibri" w:hAnsi="Calibri"/>
          <w:b w:val="false"/>
          <w:bCs w:val="false"/>
          <w:i w:val="false"/>
          <w:iCs w:val="false"/>
          <w:color w:val="334155"/>
          <w:sz w:val="20"/>
          <w:szCs w:val="20"/>
        </w:rPr>
        <w:t xml:space="preserve">Eight progress report presentations were produced across the studio, each covering: summary of sprint position, objectives status, deliverables completed, challenges encountered, and achievements. The eight reports together form a chronicle of how the backlog evolved — showing where the original plan was maintained, where it adapted, and why.</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6.4   Role Clarity and Sprint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Sprint</w:t>
            </w:r>
          </w:p>
        </w:tc>
        <w:tc>
          <w:tcPr>
            <w:tcW w:type="dxa" w:w="204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Vivek Primary Work</w:t>
            </w:r>
          </w:p>
        </w:tc>
        <w:tc>
          <w:tcPr>
            <w:tcW w:type="dxa" w:w="204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Tannu Primary Work</w:t>
            </w:r>
          </w:p>
        </w:tc>
        <w:tc>
          <w:tcPr>
            <w:tcW w:type="dxa" w:w="204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Joint / Review</w:t>
            </w:r>
          </w:p>
        </w:tc>
        <w:tc>
          <w:tcPr>
            <w:tcW w:type="dxa" w:w="2040"/>
            <w:tcBorders>
              <w:top w:val="single" w:color="cbd5e1" w:sz="1"/>
              <w:left w:val="single" w:color="cbd5e1" w:sz="1"/>
              <w:bottom w:val="single" w:color="cbd5e1" w:sz="1"/>
              <w:right w:val="single" w:color="cbd5e1" w:sz="1"/>
            </w:tcBorders>
            <w:shd w:fill="1a6b68" w:val="clear"/>
            <w:tcMar>
              <w:top w:type="dxa" w:w="90"/>
              <w:left w:type="dxa" w:w="130"/>
              <w:bottom w:type="dxa" w:w="90"/>
              <w:right w:type="dxa" w:w="130"/>
            </w:tcMar>
            <w:vAlign w:val="top"/>
          </w:tcPr>
          <w:p>
            <w:pPr>
              <w:jc w:val="left"/>
            </w:pPr>
            <w:r>
              <w:rPr>
                <w:rFonts w:ascii="Calibri" w:cs="Calibri" w:eastAsia="Calibri" w:hAnsi="Calibri"/>
                <w:b/>
                <w:bCs/>
                <w:color w:val="ffffff"/>
                <w:sz w:val="19"/>
                <w:szCs w:val="19"/>
              </w:rPr>
              <w:t xml:space="preserve">Outcome</w:t>
            </w:r>
          </w:p>
        </w:tc>
      </w:tr>
      <w:tr>
        <w:tc>
          <w:tcPr>
            <w:tcW w:type="dxa" w:w="12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S1</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Auth backend, JWT middleware, DB schema</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Login/Register pages, routing scaffold</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API contract for auth endpoints</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Auth end-to-end working</w:t>
            </w:r>
          </w:p>
        </w:tc>
      </w:tr>
      <w:tr>
        <w:tc>
          <w:tcPr>
            <w:tcW w:type="dxa" w:w="12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S2</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Appointment API, doctor routes</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FindDoctor, BookAppointment pages</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Appointment JSON contract</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Booking flow end-to-end</w:t>
            </w:r>
          </w:p>
        </w:tc>
      </w:tr>
      <w:tr>
        <w:tc>
          <w:tcPr>
            <w:tcW w:type="dxa" w:w="12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S3</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Reports API, pharmacy verify endpoint</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PatientDashboard, DoctorDashboard</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Report + pharmacy contracts</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Dashboards live, hash-on-chain</w:t>
            </w:r>
          </w:p>
        </w:tc>
      </w:tr>
      <w:tr>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top"/>
          </w:tcPr>
          <w:p>
            <w:pPr>
              <w:jc w:val="left"/>
            </w:pPr>
            <w:r>
              <w:rPr>
                <w:rFonts w:ascii="Calibri" w:cs="Calibri" w:eastAsia="Calibri" w:hAnsi="Calibri"/>
                <w:b/>
                <w:bCs/>
                <w:color w:val="334155"/>
                <w:sz w:val="19"/>
                <w:szCs w:val="19"/>
              </w:rPr>
              <w:t xml:space="preserve">S4</w:t>
            </w:r>
          </w:p>
        </w:tc>
        <w:tc>
          <w:tcPr>
            <w:tcW w:type="dxa" w:w="204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Dispense endpoint, Groq, Stripe backend</w:t>
            </w:r>
          </w:p>
        </w:tc>
        <w:tc>
          <w:tcPr>
            <w:tcW w:type="dxa" w:w="204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PharmacyDashboard frontend</w:t>
            </w:r>
          </w:p>
        </w:tc>
        <w:tc>
          <w:tcPr>
            <w:tcW w:type="dxa" w:w="204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Retro — discoverability gap found</w:t>
            </w:r>
          </w:p>
        </w:tc>
        <w:tc>
          <w:tcPr>
            <w:tcW w:type="dxa" w:w="204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Gap documented; S5 scope reset</w:t>
            </w:r>
          </w:p>
        </w:tc>
      </w:tr>
      <w:tr>
        <w:tc>
          <w:tcPr>
            <w:tcW w:type="dxa" w:w="12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S5</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Pending queue API, code system, Railway deploy</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Pending list UI, history page</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Security review of routes</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Full pharmacist journey working</w:t>
            </w:r>
          </w:p>
        </w:tc>
      </w:tr>
      <w:tr>
        <w:tc>
          <w:tcPr>
            <w:tcW w:type="dxa" w:w="12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S6</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Pre-flight read, structured errors, auth gap fix</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Access control audit, hash normalisation</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Four-stream integration merge</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All 4 streams shipped</w:t>
            </w:r>
          </w:p>
        </w:tc>
      </w:tr>
      <w:tr>
        <w:tc>
          <w:tcPr>
            <w:tcW w:type="dxa" w:w="12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S7</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Promise.all optimisation, N+1 fix</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PaymentStatus badges, CardElement remount</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Performance and UX review</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Queue 8s -&gt; &lt;2s</w:t>
            </w:r>
          </w:p>
        </w:tc>
      </w:tr>
      <w:tr>
        <w:tc>
          <w:tcPr>
            <w:tcW w:type="dxa" w:w="1200"/>
            <w:tcBorders>
              <w:top w:val="single" w:color="cbd5e1" w:sz="1"/>
              <w:left w:val="single" w:color="cbd5e1" w:sz="1"/>
              <w:bottom w:val="single" w:color="cbd5e1" w:sz="1"/>
              <w:right w:val="single" w:color="cbd5e1" w:sz="1"/>
            </w:tcBorders>
            <w:shd w:fill="e8f5f4" w:val="clear"/>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S8</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app.js extraction, backend docs</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8-scenario Jest test suite</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Final QA sign-off</w:t>
            </w:r>
          </w:p>
        </w:tc>
        <w:tc>
          <w:tcPr>
            <w:tcW w:type="dxa" w:w="2040"/>
            <w:tcBorders>
              <w:top w:val="single" w:color="cbd5e1" w:sz="1"/>
              <w:left w:val="single" w:color="cbd5e1" w:sz="1"/>
              <w:bottom w:val="single" w:color="cbd5e1" w:sz="1"/>
              <w:right w:val="single" w:color="cbd5e1" w:sz="1"/>
            </w:tcBorders>
            <w:tcMar>
              <w:top w:type="dxa" w:w="90"/>
              <w:left w:type="dxa" w:w="130"/>
              <w:bottom w:type="dxa" w:w="90"/>
              <w:right w:type="dxa" w:w="130"/>
            </w:tcMar>
            <w:vAlign w:val="top"/>
          </w:tcPr>
          <w:p>
            <w:pPr>
              <w:jc w:val="left"/>
            </w:pPr>
            <w:r>
              <w:rPr>
                <w:rFonts w:ascii="Calibri" w:cs="Calibri" w:eastAsia="Calibri" w:hAnsi="Calibri"/>
                <w:b w:val="false"/>
                <w:bCs w:val="false"/>
                <w:color w:val="334155"/>
                <w:sz w:val="19"/>
                <w:szCs w:val="19"/>
              </w:rPr>
              <w:t xml:space="preserve">All 8 tests green</w:t>
            </w:r>
          </w:p>
        </w:tc>
      </w:tr>
    </w:tbl>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7.  Issues and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bCs/>
                <w:color w:val="92400e"/>
                <w:sz w:val="18"/>
                <w:szCs w:val="18"/>
              </w:rPr>
              <w:t xml:space="preserve">LO 1.2</w:t>
            </w:r>
          </w:p>
        </w:tc>
        <w:tc>
          <w:tcPr>
            <w:tcW w:type="dxa" w:w="8160"/>
            <w:tcBorders>
              <w:top w:val="single" w:color="cbd5e1" w:sz="1"/>
              <w:left w:val="single" w:color="cbd5e1" w:sz="1"/>
              <w:bottom w:val="single" w:color="cbd5e1" w:sz="1"/>
              <w:right w:val="single" w:color="cbd5e1" w:sz="1"/>
            </w:tcBorders>
            <w:shd w:fill="fef3c7" w:val="clear"/>
            <w:tcMar>
              <w:top w:type="dxa" w:w="90"/>
              <w:left w:type="dxa" w:w="130"/>
              <w:bottom w:type="dxa" w:w="90"/>
              <w:right w:type="dxa" w:w="130"/>
            </w:tcMar>
            <w:vAlign w:val="top"/>
          </w:tcPr>
          <w:p>
            <w:pPr>
              <w:jc w:val="left"/>
            </w:pPr>
            <w:r>
              <w:rPr>
                <w:rFonts w:ascii="Calibri" w:cs="Calibri" w:eastAsia="Calibri" w:hAnsi="Calibri"/>
                <w:b w:val="false"/>
                <w:bCs w:val="false"/>
                <w:color w:val="78350f"/>
                <w:sz w:val="18"/>
                <w:szCs w:val="18"/>
              </w:rPr>
              <w:t xml:space="preserve">Critically reflect on the effectiveness of the chosen process and how challenges were addressed within it.</w:t>
            </w:r>
          </w:p>
        </w:tc>
      </w:tr>
    </w:tbl>
    <w:p>
      <w:pPr>
        <w:spacing w:after="0" w:before="8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Several technical and process challenges arose across the project. Each is documented here with the cause, the resolution, and the reflection on what it reveals about the process.</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7.1   Cross-System Hash Format Mismatch</w:t>
      </w:r>
    </w:p>
    <w:p>
      <w:pPr>
        <w:spacing w:after="60" w:before="60"/>
        <w:jc w:val="both"/>
      </w:pPr>
      <w:r>
        <w:rPr>
          <w:rFonts w:ascii="Calibri" w:cs="Calibri" w:eastAsia="Calibri" w:hAnsi="Calibri"/>
          <w:b w:val="false"/>
          <w:bCs w:val="false"/>
          <w:i w:val="false"/>
          <w:iCs w:val="false"/>
          <w:color w:val="334155"/>
          <w:sz w:val="20"/>
          <w:szCs w:val="20"/>
        </w:rPr>
        <w:t xml:space="preserve">Solidity returns bytes32 values with an 0x prefix and zero-padding to exactly 64 hexadecimal characters. Node.js crypto.createHash returns plain hex strings of variable length, with leading zeros omitted when they exist. Without normalisation, every three-way verification check returned a false mismatch — the system reported tampering on every report, even untouched ones.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fix was a deterministic normalisation step applied symmetrically on both sides of every comparison: padStart(64, '0') to restore leading zeros, and replace('0x', '') to strip the Solidity prefix. Once both sides of the comparison were normalised to the same canonical form, three-way verification produced correct results.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Process reflection: IID caught this early because Sprint 3 included a full vertical slice — database write, blockchain write, and frontend display in the same sprint. The mismatch was caught at integration testing in Week 3, not at final demo. A waterfall approach building the backend and frontend separately before integration would have caught this much later.</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7.2   OpenAI Free Tier Removal</w:t>
      </w:r>
    </w:p>
    <w:p>
      <w:pPr>
        <w:spacing w:after="60" w:before="60"/>
        <w:jc w:val="both"/>
      </w:pPr>
      <w:r>
        <w:rPr>
          <w:rFonts w:ascii="Calibri" w:cs="Calibri" w:eastAsia="Calibri" w:hAnsi="Calibri"/>
          <w:b w:val="false"/>
          <w:bCs w:val="false"/>
          <w:i w:val="false"/>
          <w:iCs w:val="false"/>
          <w:color w:val="334155"/>
          <w:sz w:val="20"/>
          <w:szCs w:val="20"/>
        </w:rPr>
        <w:t xml:space="preserve">Mid-Studio-6, OpenAI removed free credits for the account used during development. The planned AI symptom checker, designed around OpenAI GPT-4o, became unfeasible without ongoing payment. This was discovered at Sprint 3 when the API returned a billing error.</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Resolution: Rather than abandon the feature, the team ran an empirical provider comparison (documented in Section 5.2). Groq Llama 3.3-70b was selected after confirming equivalent structured JSON output quality across 10 of 12 test cases. The switch was completed within three days.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Process reflection: The IID backlog-evolution model handled this cleanly. The AI provider was not a committed architectural decision locked in from Sprint 1 — it was a Sprint 3 implementation choice that could be changed without downstream consequences. A waterfall plan with a provider dependency baked in from Week 1 would have required formal change control.</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7.3   Pharmacist Discoverability Gap</w:t>
      </w:r>
    </w:p>
    <w:p>
      <w:pPr>
        <w:spacing w:after="60" w:before="60"/>
        <w:jc w:val="both"/>
      </w:pPr>
      <w:r>
        <w:rPr>
          <w:rFonts w:ascii="Calibri" w:cs="Calibri" w:eastAsia="Calibri" w:hAnsi="Calibri"/>
          <w:b w:val="false"/>
          <w:bCs w:val="false"/>
          <w:i w:val="false"/>
          <w:iCs w:val="false"/>
          <w:color w:val="334155"/>
          <w:sz w:val="20"/>
          <w:szCs w:val="20"/>
        </w:rPr>
        <w:t xml:space="preserve">Identified in Sprint 4 retrospective testing — the PharmacyDashboard allowed a pharmacist to verify a prescription if they already knew the report ID, but provided no mechanism to discover which prescriptions were waiting for action. A pharmacist logging in for the first time had no useful starting point.</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Resolution: Adopted the New Zealand ePrescription model. The patient receives a prescription code (RX-2026-{reportId}) on their PatientDashboard and presents it at the pharmacy. The GET /api/pharmacy/pending endpoint provides a list of unverified un-dispensed prescriptions as a discovery queue. Both were built in Sprint 5.</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Process reflection: This is the clearest demonstration of IID's value in the project. The gap was not in the original plan — it was discovered through a realistic demo from a fresh user perspective. No upfront-planned methodology could have anticipated it. The retrospective format created the space for the observation to be made and acted on within one sprint.</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7.4   Unauthenticated Pharmacy Verify Endpoint</w:t>
      </w:r>
    </w:p>
    <w:p>
      <w:pPr>
        <w:spacing w:after="60" w:before="60"/>
        <w:jc w:val="both"/>
      </w:pPr>
      <w:r>
        <w:rPr>
          <w:rFonts w:ascii="Calibri" w:cs="Calibri" w:eastAsia="Calibri" w:hAnsi="Calibri"/>
          <w:b w:val="false"/>
          <w:bCs w:val="false"/>
          <w:i w:val="false"/>
          <w:iCs w:val="false"/>
          <w:color w:val="334155"/>
          <w:sz w:val="20"/>
          <w:szCs w:val="20"/>
        </w:rPr>
        <w:t xml:space="preserve">Identified during Sprint 6 security review. The GET /api/pharmacy/prescription/:id endpoint was protected by authRequired but not requireRole('PHARMACIST'). A PATIENT or DOCTOR token could query any prescription by guessing a report ID, returning the patient's name, doctor's name, diagnosis, and prescription text — a significant privacy exposure.</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Resolution: requireRole('PHARMACIST') added to the verify endpoint. The same review identified the same gap on the dispense and history routes and closed all three simultaneously. HTTP 403 is returned to non-pharmacist authenticated users; HTTP 401 to unauthenticated requests.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Process reflection: The security gap existed because the route was first written quickly in Sprint 3 to unblock Tannu's frontend work. The retrospective and security review in Sprint 6 caught it before production. This is an argument for explicit security review as a sprint task, not an implicit assumption.</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7.5   Appointment ENUM Mismatch</w:t>
      </w:r>
    </w:p>
    <w:p>
      <w:pPr>
        <w:spacing w:after="60" w:before="60"/>
        <w:jc w:val="both"/>
      </w:pPr>
      <w:r>
        <w:rPr>
          <w:rFonts w:ascii="Calibri" w:cs="Calibri" w:eastAsia="Calibri" w:hAnsi="Calibri"/>
          <w:b w:val="false"/>
          <w:bCs w:val="false"/>
          <w:i w:val="false"/>
          <w:iCs w:val="false"/>
          <w:color w:val="334155"/>
          <w:sz w:val="20"/>
          <w:szCs w:val="20"/>
        </w:rPr>
        <w:t xml:space="preserve">Stripe payments were failing with 'Data truncated for column status' MySQL error. The backend code was inserting status = 'PENDING' into the appointments table, but the ENUM definition used 'REQUESTED' as the initial value. The application and the database had drifted out of sync.</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Resolution: Identified by reading the live Railway MySQL schema directly and comparing it against the application code. Fixed by aligning the INSERT statement with the ENUM definition.</w:t>
      </w:r>
    </w:p>
    <w:p>
      <w:pPr>
        <w:spacing w:after="0" w:before="60"/>
      </w:pPr>
      <w:r>
        <w:t xml:space="preserve"/>
      </w:r>
    </w:p>
    <w:p>
      <w:pPr>
        <w:pStyle w:val="Heading2"/>
        <w:spacing w:after="80" w:before="260"/>
      </w:pPr>
      <w:r>
        <w:rPr>
          <w:rFonts w:ascii="Calibri" w:cs="Calibri" w:eastAsia="Calibri" w:hAnsi="Calibri"/>
          <w:b/>
          <w:bCs/>
          <w:color w:val="1e293b"/>
          <w:sz w:val="26"/>
          <w:szCs w:val="26"/>
        </w:rPr>
        <w:t xml:space="preserve">7.6   Sepolia Network Latency</w:t>
      </w:r>
    </w:p>
    <w:p>
      <w:pPr>
        <w:spacing w:after="60" w:before="60"/>
        <w:jc w:val="both"/>
      </w:pPr>
      <w:r>
        <w:rPr>
          <w:rFonts w:ascii="Calibri" w:cs="Calibri" w:eastAsia="Calibri" w:hAnsi="Calibri"/>
          <w:b w:val="false"/>
          <w:bCs w:val="false"/>
          <w:i w:val="false"/>
          <w:iCs w:val="false"/>
          <w:color w:val="334155"/>
          <w:sz w:val="20"/>
          <w:szCs w:val="20"/>
        </w:rPr>
        <w:t xml:space="preserve">Ethereum Sepolia transactions occasionally exceeded 30 seconds during peak hours. The GET /api/pharmacy/pending endpoint, which originally read blockchain state for each prescription sequentially, took up to 8 seconds for a queue of five prescriptions.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Resolution: Replaced sequential blockchain reads with Promise.all, issuing all Ethers.js calls concurrently. Response time dropped from 8 seconds to under 2 seconds. For the dispense() endpoint, a pre-flight blockchain re-read was added before submitting the transaction — if the pre-flight read shows isDispensed:true, the request returns HTTP 400 without spending gas on a guaranteed-revert transaction.</w:t>
      </w:r>
    </w:p>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8.  Conclusion</w:t>
      </w:r>
    </w:p>
    <w:p>
      <w:pPr>
        <w:spacing w:after="60" w:before="60"/>
        <w:jc w:val="both"/>
      </w:pPr>
      <w:r>
        <w:rPr>
          <w:rFonts w:ascii="Calibri" w:cs="Calibri" w:eastAsia="Calibri" w:hAnsi="Calibri"/>
          <w:b w:val="false"/>
          <w:bCs w:val="false"/>
          <w:i w:val="false"/>
          <w:iCs w:val="false"/>
          <w:color w:val="334155"/>
          <w:sz w:val="20"/>
          <w:szCs w:val="20"/>
        </w:rPr>
        <w:t xml:space="preserve">OneStep Healthcare extended a Studio 5 telemedicine prototype into a production-deployed system that addresses real healthcare problems with verifiable technical substance. My contribution centred on the backend and blockchain: the Solidity smart contract, every Express route, the Groq AI integration, the Stripe payment backend, the MySQL schema, and the Railway deployment pipeline.</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single-dispense invariant — proven by 25 concurrent stress-test trials — is the strongest technical guarantee in the project. It is enforced not by application code but by the Ethereum Virtual Machine itself, replicated across thousands of validators globally. This reflects genuine understanding of when blockchain adds architectural value and when it does not: the invariant cannot be enforced more cheaply by any other means, because any database-backed check remains corruptible by anyone with database access.</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The methodology comparison and IID application fulfilled LO 1.1 and 1.2 not in theory but in practice — the IID process caught three significant problems early (hash mismatch, OpenAI removal, discoverability gap) that a fixed-plan methodology would have caught late or not at all. The critical reflection in Section 7 is honest about the one IID weakness observed: Sprint 6's four-stream scope was too broad for the team size, and a more explicit capacity constraint per sprint would have prevented it.</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Independent research across six specialist areas — JWT authentication, blockchain verification, video consultation technology, prescription fraud in New Zealand, LLM-based symptom triage, and payment gateway architecture — supported every major technology decision. Each technology is traceable to a documented real-world healthcare problem and a peer-reviewed or industry-sourced justification. The Groq system prompt design, the Solidity struct field ordering, and the Stripe server-side retrieve pattern all demonstrate that the research was integrated into implementation decisions, not merely cited.</w:t>
      </w:r>
    </w:p>
    <w:p>
      <w:pPr>
        <w:spacing w:after="0" w:before="40"/>
      </w:pPr>
      <w:r>
        <w:t xml:space="preserve"/>
      </w:r>
    </w:p>
    <w:p>
      <w:pPr>
        <w:spacing w:after="60" w:before="60"/>
        <w:jc w:val="both"/>
      </w:pPr>
      <w:r>
        <w:rPr>
          <w:rFonts w:ascii="Calibri" w:cs="Calibri" w:eastAsia="Calibri" w:hAnsi="Calibri"/>
          <w:b w:val="false"/>
          <w:bCs w:val="false"/>
          <w:i w:val="false"/>
          <w:iCs w:val="false"/>
          <w:color w:val="334155"/>
          <w:sz w:val="20"/>
          <w:szCs w:val="20"/>
        </w:rPr>
        <w:t xml:space="preserve">Team coordination across eight sprints with consistent role clarity, documented retrospectives, and explicit conflict resolution produced a finished product where every feature is integrated and tested. The pharmacist discoverability gap — identified at Sprint 4 and resolved at Sprint 5 — is the clearest single example of the project's development model functioning as intended.</w:t>
      </w:r>
    </w:p>
    <w:p>
      <w:r>
        <w:br w:type="page"/>
      </w:r>
    </w:p>
    <w:p>
      <w:pPr>
        <w:pStyle w:val="Heading1"/>
        <w:pBdr>
          <w:bottom w:val="single" w:color="1a6b68" w:sz="6" w:space="6"/>
        </w:pBdr>
        <w:spacing w:after="120" w:before="360"/>
      </w:pPr>
      <w:r>
        <w:rPr>
          <w:rFonts w:ascii="Calibri" w:cs="Calibri" w:eastAsia="Calibri" w:hAnsi="Calibri"/>
          <w:b/>
          <w:bCs/>
          <w:color w:val="1a6b68"/>
          <w:sz w:val="34"/>
          <w:szCs w:val="34"/>
        </w:rPr>
        <w:t xml:space="preserve">9.  References</w:t>
      </w:r>
    </w:p>
    <w:p>
      <w:pPr>
        <w:spacing w:after="60" w:before="60"/>
        <w:ind w:left="480" w:hanging="480"/>
        <w:jc w:val="left"/>
      </w:pPr>
      <w:r>
        <w:rPr>
          <w:rFonts w:ascii="Calibri" w:cs="Calibri" w:eastAsia="Calibri" w:hAnsi="Calibri"/>
          <w:color w:val="334155"/>
          <w:sz w:val="18"/>
          <w:szCs w:val="18"/>
        </w:rPr>
        <w:t xml:space="preserve">Anderson, D. J. (2010). Kanban: Successful evolutionary change for your technology business. Blue Hole Press.</w:t>
      </w:r>
    </w:p>
    <w:p>
      <w:pPr>
        <w:spacing w:after="60" w:before="60"/>
        <w:ind w:left="480" w:hanging="480"/>
        <w:jc w:val="left"/>
      </w:pPr>
      <w:r>
        <w:rPr>
          <w:rFonts w:ascii="Calibri" w:cs="Calibri" w:eastAsia="Calibri" w:hAnsi="Calibri"/>
          <w:color w:val="334155"/>
          <w:sz w:val="18"/>
          <w:szCs w:val="18"/>
        </w:rPr>
        <w:t xml:space="preserve">Beck, K. (2000). Extreme programming explained: Embrace change. Addison-Wesley.</w:t>
      </w:r>
    </w:p>
    <w:p>
      <w:pPr>
        <w:spacing w:after="60" w:before="60"/>
        <w:ind w:left="480" w:hanging="480"/>
        <w:jc w:val="left"/>
      </w:pPr>
      <w:r>
        <w:rPr>
          <w:rFonts w:ascii="Calibri" w:cs="Calibri" w:eastAsia="Calibri" w:hAnsi="Calibri"/>
          <w:color w:val="334155"/>
          <w:sz w:val="18"/>
          <w:szCs w:val="18"/>
        </w:rPr>
        <w:t xml:space="preserve">Boehm, B. W. (1988). A spiral model of software development and enhancement. IEEE Computer, 21(5), 61–72. https://doi.org/10.1109/2.59</w:t>
      </w:r>
    </w:p>
    <w:p>
      <w:pPr>
        <w:spacing w:after="60" w:before="60"/>
        <w:ind w:left="480" w:hanging="480"/>
        <w:jc w:val="left"/>
      </w:pPr>
      <w:r>
        <w:rPr>
          <w:rFonts w:ascii="Calibri" w:cs="Calibri" w:eastAsia="Calibri" w:hAnsi="Calibri"/>
          <w:color w:val="334155"/>
          <w:sz w:val="18"/>
          <w:szCs w:val="18"/>
        </w:rPr>
        <w:t xml:space="preserve">bpacnz. (2024). Unintentional misuse of prescription medicines: Opioids, benzodiazepines, and gabapentinoids. https://bpac.org.nz/2024/misuse-medicines.aspx</w:t>
      </w:r>
    </w:p>
    <w:p>
      <w:pPr>
        <w:spacing w:after="60" w:before="60"/>
        <w:ind w:left="480" w:hanging="480"/>
        <w:jc w:val="left"/>
      </w:pPr>
      <w:r>
        <w:rPr>
          <w:rFonts w:ascii="Calibri" w:cs="Calibri" w:eastAsia="Calibri" w:hAnsi="Calibri"/>
          <w:color w:val="334155"/>
          <w:sz w:val="18"/>
          <w:szCs w:val="18"/>
        </w:rPr>
        <w:t xml:space="preserve">Bucko, A. (2023). Enhancing JWT authentication and authorization in web applications based on user behavior history. Computers, 12(4), 78. https://doi.org/10.3390/computers12040078</w:t>
      </w:r>
    </w:p>
    <w:p>
      <w:pPr>
        <w:spacing w:after="60" w:before="60"/>
        <w:ind w:left="480" w:hanging="480"/>
        <w:jc w:val="left"/>
      </w:pPr>
      <w:r>
        <w:rPr>
          <w:rFonts w:ascii="Calibri" w:cs="Calibri" w:eastAsia="Calibri" w:hAnsi="Calibri"/>
          <w:color w:val="334155"/>
          <w:sz w:val="18"/>
          <w:szCs w:val="18"/>
        </w:rPr>
        <w:t xml:space="preserve">Digittrix. (2025). WebRTC vs Agora: Key differences for real-time communication apps. https://www.digittrix.com/blogs/webrtc-vs-agora-key-differences</w:t>
      </w:r>
    </w:p>
    <w:p>
      <w:pPr>
        <w:spacing w:after="60" w:before="60"/>
        <w:ind w:left="480" w:hanging="480"/>
        <w:jc w:val="left"/>
      </w:pPr>
      <w:r>
        <w:rPr>
          <w:rFonts w:ascii="Calibri" w:cs="Calibri" w:eastAsia="Calibri" w:hAnsi="Calibri"/>
          <w:color w:val="334155"/>
          <w:sz w:val="18"/>
          <w:szCs w:val="18"/>
        </w:rPr>
        <w:t xml:space="preserve">Forasoft. (2026). WebRTC vs Agora: Architecture tradeoffs. https://www.forasoft.com/blog/article/webrtc-vs-agora-architecture-tradeoffs</w:t>
      </w:r>
    </w:p>
    <w:p>
      <w:pPr>
        <w:spacing w:after="60" w:before="60"/>
        <w:ind w:left="480" w:hanging="480"/>
        <w:jc w:val="left"/>
      </w:pPr>
      <w:r>
        <w:rPr>
          <w:rFonts w:ascii="Calibri" w:cs="Calibri" w:eastAsia="Calibri" w:hAnsi="Calibri"/>
          <w:color w:val="334155"/>
          <w:sz w:val="18"/>
          <w:szCs w:val="18"/>
        </w:rPr>
        <w:t xml:space="preserve">Fraser, H., Crossland, D., Bacher, I., Ranney, M., Madsen, T., &amp; Hilliard, R. (2023). Comparison of diagnostic and triage accuracy of Ada Health and WebMD symptom checkers, ChatGPT, and physicians for patients in an emergency department. JMIR Medical Informatics, 25(1), e49995. https://doi.org/10.2196/49995</w:t>
      </w:r>
    </w:p>
    <w:p>
      <w:pPr>
        <w:spacing w:after="60" w:before="60"/>
        <w:ind w:left="480" w:hanging="480"/>
        <w:jc w:val="left"/>
      </w:pPr>
      <w:r>
        <w:rPr>
          <w:rFonts w:ascii="Calibri" w:cs="Calibri" w:eastAsia="Calibri" w:hAnsi="Calibri"/>
          <w:color w:val="334155"/>
          <w:sz w:val="18"/>
          <w:szCs w:val="18"/>
        </w:rPr>
        <w:t xml:space="preserve">Information. (2025). Smart contracts, blockchain, and health policies: Past, present, and future. MDPI Information, 16(10), 853. https://doi.org/10.3390/info16100853</w:t>
      </w:r>
    </w:p>
    <w:p>
      <w:pPr>
        <w:spacing w:after="60" w:before="60"/>
        <w:ind w:left="480" w:hanging="480"/>
        <w:jc w:val="left"/>
      </w:pPr>
      <w:r>
        <w:rPr>
          <w:rFonts w:ascii="Calibri" w:cs="Calibri" w:eastAsia="Calibri" w:hAnsi="Calibri"/>
          <w:color w:val="334155"/>
          <w:sz w:val="18"/>
          <w:szCs w:val="18"/>
        </w:rPr>
        <w:t xml:space="preserve">Larman, C., &amp; Basili, V. R. (2003). Iterative and incremental development: A brief history. IEEE Computer, 36(6), 47–56. https://doi.org/10.1109/MC.2003.1204375</w:t>
      </w:r>
    </w:p>
    <w:p>
      <w:pPr>
        <w:spacing w:after="60" w:before="60"/>
        <w:ind w:left="480" w:hanging="480"/>
        <w:jc w:val="left"/>
      </w:pPr>
      <w:r>
        <w:rPr>
          <w:rFonts w:ascii="Calibri" w:cs="Calibri" w:eastAsia="Calibri" w:hAnsi="Calibri"/>
          <w:color w:val="334155"/>
          <w:sz w:val="18"/>
          <w:szCs w:val="18"/>
        </w:rPr>
        <w:t xml:space="preserve">Levine, D. M., Crosby, J. C., Hart, M., &amp; Mehrotra, A. (2025). Accuracy of online symptom assessment applications, large language models, and laypeople for self-triage decisions. npj Digital Medicine, 8(1). https://doi.org/10.1038/s41746-025-01566-6</w:t>
      </w:r>
    </w:p>
    <w:p>
      <w:pPr>
        <w:spacing w:after="60" w:before="60"/>
        <w:ind w:left="480" w:hanging="480"/>
        <w:jc w:val="left"/>
      </w:pPr>
      <w:r>
        <w:rPr>
          <w:rFonts w:ascii="Calibri" w:cs="Calibri" w:eastAsia="Calibri" w:hAnsi="Calibri"/>
          <w:color w:val="334155"/>
          <w:sz w:val="18"/>
          <w:szCs w:val="18"/>
        </w:rPr>
        <w:t xml:space="preserve">Litchfield, A., &amp; Khan, A. (2021). BlockPres: A novel blockchain-based incentive mechanism to mitigate inequalities for prescription management system. Sensors, 21(15), 5035. https://doi.org/10.3390/s21155035</w:t>
      </w:r>
    </w:p>
    <w:p>
      <w:pPr>
        <w:spacing w:after="60" w:before="60"/>
        <w:ind w:left="480" w:hanging="480"/>
        <w:jc w:val="left"/>
      </w:pPr>
      <w:r>
        <w:rPr>
          <w:rFonts w:ascii="Calibri" w:cs="Calibri" w:eastAsia="Calibri" w:hAnsi="Calibri"/>
          <w:color w:val="334155"/>
          <w:sz w:val="18"/>
          <w:szCs w:val="18"/>
        </w:rPr>
        <w:t xml:space="preserve">National Drug Intelligence Bureau. (2023). The New Zealand illicit drug harm index 2023: Research report. Ministry of Health. https://www.health.govt.nz/publications/the-new-zealand-illicit-drug-harm-index-2023-research-report</w:t>
      </w:r>
    </w:p>
    <w:p>
      <w:pPr>
        <w:spacing w:after="60" w:before="60"/>
        <w:ind w:left="480" w:hanging="480"/>
        <w:jc w:val="left"/>
      </w:pPr>
      <w:r>
        <w:rPr>
          <w:rFonts w:ascii="Calibri" w:cs="Calibri" w:eastAsia="Calibri" w:hAnsi="Calibri"/>
          <w:color w:val="334155"/>
          <w:sz w:val="18"/>
          <w:szCs w:val="18"/>
        </w:rPr>
        <w:t xml:space="preserve">Rana, M., Sahoo, S., &amp; Gajbhiye, P. (2023). Enhancing data security: A comprehensive study on the efficacy of JSON web token (JWT) and HMAC SHA-256 algorithm for web application security. International Journal on Recent and Innovation Trends in Computing and Communication, 11(9), 4409–4416. https://doi.org/10.17762/ijritcc.v11i9.9930</w:t>
      </w:r>
    </w:p>
    <w:p>
      <w:pPr>
        <w:spacing w:after="60" w:before="60"/>
        <w:ind w:left="480" w:hanging="480"/>
        <w:jc w:val="left"/>
      </w:pPr>
      <w:r>
        <w:rPr>
          <w:rFonts w:ascii="Calibri" w:cs="Calibri" w:eastAsia="Calibri" w:hAnsi="Calibri"/>
          <w:color w:val="334155"/>
          <w:sz w:val="18"/>
          <w:szCs w:val="18"/>
        </w:rPr>
        <w:t xml:space="preserve">Rensaa, J. H., Gligoroski, D., Kralevska, K., Hasselgren, A., &amp; Faxvaag, A. (2021). VerifyMed: A blockchain platform for transparent trust in virtualized healthcare: Proof-of-concept. arXiv. https://arxiv.org/abs/2005.08804</w:t>
      </w:r>
    </w:p>
    <w:p>
      <w:pPr>
        <w:spacing w:after="60" w:before="60"/>
        <w:ind w:left="480" w:hanging="480"/>
        <w:jc w:val="left"/>
      </w:pPr>
      <w:r>
        <w:rPr>
          <w:rFonts w:ascii="Calibri" w:cs="Calibri" w:eastAsia="Calibri" w:hAnsi="Calibri"/>
          <w:color w:val="334155"/>
          <w:sz w:val="18"/>
          <w:szCs w:val="18"/>
        </w:rPr>
        <w:t xml:space="preserve">Schwaber, K., &amp; Sutherland, J. (2020). The Scrum guide: The definitive guide to Scrum. https://scrumguides.org/</w:t>
      </w:r>
    </w:p>
    <w:p>
      <w:pPr>
        <w:spacing w:after="60" w:before="60"/>
        <w:ind w:left="480" w:hanging="480"/>
        <w:jc w:val="left"/>
      </w:pPr>
      <w:r>
        <w:rPr>
          <w:rFonts w:ascii="Calibri" w:cs="Calibri" w:eastAsia="Calibri" w:hAnsi="Calibri"/>
          <w:color w:val="334155"/>
          <w:sz w:val="18"/>
          <w:szCs w:val="18"/>
        </w:rPr>
        <w:t xml:space="preserve">Shaikh, M. F., Hassan, S. H., Maccaro, A., Pratesi, G., &amp; Piaggio, D. (2025). A blockchain framework using proof of authority and smart contracts for ethical and secure healthcare asset management. Frontiers in Public Health, 13. https://doi.org/10.3389/fpubh.2025.1638546</w:t>
      </w:r>
    </w:p>
    <w:p>
      <w:pPr>
        <w:spacing w:after="60" w:before="60"/>
        <w:ind w:left="480" w:hanging="480"/>
        <w:jc w:val="left"/>
      </w:pPr>
      <w:r>
        <w:rPr>
          <w:rFonts w:ascii="Calibri" w:cs="Calibri" w:eastAsia="Calibri" w:hAnsi="Calibri"/>
          <w:color w:val="334155"/>
          <w:sz w:val="18"/>
          <w:szCs w:val="18"/>
        </w:rPr>
        <w:t xml:space="preserve">Singhal, K., Azizi, S., Tu, T., Mahdavi, S. S., Wei, J., Chung, H. W., Scales, N., Tanwani, A., Cole-Lewis, H., Pfohl, S., Papalampidi, P., Seneviratne, O., Yim, J., Zuberi, Z., Kulkarni, N., Bhatt, U., &amp; Natarajan, V. (2023). Large language models encode clinical knowledge. Nature, 620, 172–180. https://doi.org/10.1038/s41586-023-06291-2</w:t>
      </w:r>
    </w:p>
    <w:p>
      <w:pPr>
        <w:spacing w:after="60" w:before="60"/>
        <w:ind w:left="480" w:hanging="480"/>
        <w:jc w:val="left"/>
      </w:pPr>
      <w:r>
        <w:rPr>
          <w:rFonts w:ascii="Calibri" w:cs="Calibri" w:eastAsia="Calibri" w:hAnsi="Calibri"/>
          <w:color w:val="334155"/>
          <w:sz w:val="18"/>
          <w:szCs w:val="18"/>
        </w:rPr>
        <w:t xml:space="preserve">Statista. (2024). Online doctor consultations — New Zealand: Market forecast. https://www.statista.com/outlook/hmo/digital-health/online-doctor-consultations/new-zealand</w:t>
      </w:r>
    </w:p>
    <w:p>
      <w:pPr>
        <w:spacing w:after="60" w:before="60"/>
        <w:ind w:left="480" w:hanging="480"/>
        <w:jc w:val="left"/>
      </w:pPr>
      <w:r>
        <w:rPr>
          <w:rFonts w:ascii="Calibri" w:cs="Calibri" w:eastAsia="Calibri" w:hAnsi="Calibri"/>
          <w:color w:val="334155"/>
          <w:sz w:val="18"/>
          <w:szCs w:val="18"/>
        </w:rPr>
        <w:t xml:space="preserve">Stripe. (2024). Stripe payments documentation: Accept a payment. https://stripe.com/docs/payments/accept-a-payment</w:t>
      </w:r>
    </w:p>
    <w:p>
      <w:pPr>
        <w:spacing w:after="60" w:before="60"/>
        <w:ind w:left="480" w:hanging="480"/>
        <w:jc w:val="left"/>
      </w:pPr>
      <w:r>
        <w:rPr>
          <w:rFonts w:ascii="Calibri" w:cs="Calibri" w:eastAsia="Calibri" w:hAnsi="Calibri"/>
          <w:color w:val="334155"/>
          <w:sz w:val="18"/>
          <w:szCs w:val="18"/>
        </w:rPr>
        <w:t xml:space="preserve">Wang, Y., Ram, S. S., &amp; Scahill, S. (2024). Characteristics and risk factors of pharmacist misconduct in New Zealand: A retrospective nationwide analysis. BMC Health Services Research, 24(1), 223. https://doi.org/10.1186/s12913-024-10591-2</w:t>
      </w:r>
    </w:p>
    <w:p>
      <w:pPr>
        <w:spacing w:after="60" w:before="60"/>
        <w:ind w:left="480" w:hanging="480"/>
        <w:jc w:val="left"/>
      </w:pPr>
      <w:r>
        <w:rPr>
          <w:rFonts w:ascii="Calibri" w:cs="Calibri" w:eastAsia="Calibri" w:hAnsi="Calibri"/>
          <w:color w:val="334155"/>
          <w:sz w:val="18"/>
          <w:szCs w:val="18"/>
        </w:rPr>
        <w:t xml:space="preserve">Wood, G. (2014). Ethereum: A secure decentralised generalised transaction ledger (Ethereum Yellow Paper). https://ethereum.github.io/yellowpaper/paper.pdf</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Calibri" w:cs="Calibri" w:eastAsia="Calibri" w:hAnsi="Calibri"/>
        <w:color w:val="94a3b8"/>
        <w:sz w:val="16"/>
        <w:szCs w:val="16"/>
      </w:rPr>
      <w:t xml:space="preserve">Otago Polytechnic Auckland  |  1000118801  </w:t>
    </w:r>
    <w: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Calibri" w:cs="Calibri" w:eastAsia="Calibri" w:hAnsi="Calibri"/>
        <w:color w:val="94a3b8"/>
        <w:sz w:val="16"/>
        <w:szCs w:val="16"/>
      </w:rPr>
      <w:t xml:space="preserve">IA728001 — Studio 6  |  OneStep Healthcare  |  Evidence Portfolio</w:t>
    </w:r>
    <w:r>
      <w:t xml:space="preserve">	</w:t>
    </w:r>
    <w:r>
      <w:rPr>
        <w:rFonts w:ascii="Calibri" w:cs="Calibri" w:eastAsia="Calibri" w:hAnsi="Calibri"/>
        <w:b/>
        <w:bCs/>
        <w:color w:val="94a3b8"/>
        <w:sz w:val="16"/>
        <w:szCs w:val="16"/>
      </w:rPr>
      <w:t xml:space="preserve">Vivek Talpada Jayeshbhai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lvl>
  </w:abstractNum>
  <w:abstractNum w:abstractNumId="3" w15:restartNumberingAfterBreak="0">
    <w:multiLevelType w:val="hybridMultilevel"/>
    <w:lvl w:ilvl="0" w15:tentative="1">
      <w:start w:val="1"/>
      <w:numFmt w:val="bullet"/>
      <w:lvlText w:val="◦"/>
      <w:lvlJc w:val="left"/>
      <w:pPr>
        <w:ind w:left="760" w:hanging="280"/>
      </w:pPr>
    </w:lvl>
  </w:abstractNum>
  <w:abstractNum w:abstractNumId="4" w15:restartNumberingAfterBreak="0">
    <w:multiLevelType w:val="hybridMultilevel"/>
    <w:lvl w:ilvl="0" w15:tentative="1">
      <w:start w:val="1"/>
      <w:numFmt w:val="decimal"/>
      <w:lvlText w:val="%1."/>
      <w:lvlJc w:val="left"/>
      <w:pPr>
        <w:ind w:left="45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a6b68"/>
      <w:sz w:val="34"/>
      <w:szCs w:val="34"/>
    </w:rPr>
  </w:style>
  <w:style w:type="paragraph" w:styleId="Heading2">
    <w:name w:val="Heading 2"/>
    <w:basedOn w:val="Normal"/>
    <w:next w:val="Normal"/>
    <w:qFormat/>
    <w:pPr>
      <w:spacing w:after="80" w:before="26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1a6b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2026-06-10T15:19:20.538Z</dcterms:created>
  <dcterms:modified xsi:type="dcterms:W3CDTF">2026-06-10T15:19:20.542Z</dcterms:modified>
</cp:coreProperties>
</file>

<file path=docProps/custom.xml><?xml version="1.0" encoding="utf-8"?>
<Properties xmlns="http://schemas.openxmlformats.org/officeDocument/2006/custom-properties" xmlns:vt="http://schemas.openxmlformats.org/officeDocument/2006/docPropsVTypes"/>
</file>