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8"/>
          <w:szCs w:val="48"/>
        </w:rPr>
        <w:t xml:space="preserve">Claude for Legal</w:t>
      </w:r>
    </w:p>
    <w:p>
      <w:pPr>
        <w:spacing w:after="240"/>
      </w:pPr>
      <w:r>
        <w:rPr>
          <w:color w:val="595959"/>
          <w:sz w:val="26"/>
          <w:szCs w:val="26"/>
        </w:rPr>
        <w:t xml:space="preserve">A user guide to the legal plugins and agents</w:t>
      </w:r>
    </w:p>
    <w:p>
      <w:pPr>
        <w:pBdr>
          <w:bottom w:val="single" w:color="2E75B6" w:sz="8" w:space="1"/>
        </w:pBdr>
        <w:spacing w:after="200"/>
      </w:pPr>
    </w:p>
    <w:p>
      <w:pPr>
        <w:spacing w:after="140"/>
      </w:pPr>
      <w:r>
        <w:rPr>
          <w:sz w:val="22"/>
          <w:szCs w:val="22"/>
        </w:rPr>
        <w:t xml:space="preserve">These plugins bring legal-practice workflows into Claude — in-house commercial, privacy, product, corporate, employment, litigation, regulatory, AI governance, and IP, plus the learning side of the practice (law-school clinics and students). Install the plugins that match your work, run each one's cold-start interview, and connect your research tools, then use them as shown below. Every output is a draft for a licensed attorney to review.</w:t>
      </w:r>
    </w:p>
    <w:p>
      <w:pPr>
        <w:spacing w:after="200"/>
      </w:pPr>
      <w:r>
        <w:rPr>
          <w:b/>
          <w:bCs/>
          <w:color w:val="9C2A2A"/>
          <w:sz w:val="22"/>
          <w:szCs w:val="22"/>
        </w:rPr>
        <w:t xml:space="preserve">Important: </w:t>
      </w:r>
      <w:r>
        <w:rPr>
          <w:sz w:val="22"/>
          <w:szCs w:val="22"/>
        </w:rPr>
        <w:t xml:space="preserve">Every output is a draft for attorney review — not legal advice, not a legal conclusion, and not a substitute for a lawyer. See “Important risks using these plugins” below.</w:t>
      </w:r>
    </w:p>
    <w:p>
      <w:pPr>
        <w:pStyle w:val="Heading1"/>
      </w:pPr>
      <w:r>
        <w:t xml:space="preserve">How to use these plugins</w:t>
      </w:r>
    </w:p>
    <w:p>
      <w:pPr>
        <w:spacing w:after="100"/>
      </w:pPr>
      <w:r>
        <w:rPr>
          <w:b/>
          <w:bCs/>
          <w:color w:val="1F3864"/>
          <w:sz w:val="22"/>
          <w:szCs w:val="22"/>
        </w:rPr>
        <w:t xml:space="preserve">Skills via /plugin:skill — </w:t>
      </w:r>
      <w:r>
        <w:rPr>
          <w:sz w:val="22"/>
          <w:szCs w:val="22"/>
        </w:rPr>
        <w:t xml:space="preserve">Type "/" in a session to see what a plugin exposes, then pick a skill (e.g. /litigation-legal:chronology). Skills are the building blocks; many also fire automatically when your request matches.</w:t>
      </w:r>
    </w:p>
    <w:p>
      <w:pPr>
        <w:spacing w:after="100"/>
      </w:pPr>
      <w:r>
        <w:rPr>
          <w:b/>
          <w:bCs/>
          <w:color w:val="1F3864"/>
          <w:sz w:val="22"/>
          <w:szCs w:val="22"/>
        </w:rPr>
        <w:t xml:space="preserve">Just describe the task — </w:t>
      </w:r>
      <w:r>
        <w:rPr>
          <w:sz w:val="22"/>
          <w:szCs w:val="22"/>
        </w:rPr>
        <w:t xml:space="preserve">Plainly state what you need and attach the documents; the matching skill activates. Run /&lt;plugin&gt;:cold-start-interview first so the plugin is tailored to your practice.</w:t>
      </w:r>
    </w:p>
    <w:p>
      <w:pPr>
        <w:spacing w:after="100"/>
      </w:pPr>
      <w:r>
        <w:rPr>
          <w:b/>
          <w:bCs/>
          <w:color w:val="1F3864"/>
          <w:sz w:val="22"/>
          <w:szCs w:val="22"/>
        </w:rPr>
        <w:t xml:space="preserve">Scheduled watcher agents — </w:t>
      </w:r>
      <w:r>
        <w:rPr>
          <w:sz w:val="22"/>
          <w:szCs w:val="22"/>
        </w:rPr>
        <w:t xml:space="preserve">Each plugin includes background agents that run on a cadence — renewal-watcher, docket-watcher, leave-tracker, reg-change-monitor — and post to a channel you configure. You can also trigger them on demand ("check renewals", "any new filings").</w:t>
      </w:r>
    </w:p>
    <w:p>
      <w:pPr>
        <w:spacing w:after="100"/>
      </w:pPr>
      <w:r>
        <w:rPr>
          <w:b/>
          <w:bCs/>
          <w:color w:val="1F3864"/>
          <w:sz w:val="22"/>
          <w:szCs w:val="22"/>
        </w:rPr>
        <w:t xml:space="preserve">Connect research tools first — </w:t>
      </w:r>
      <w:r>
        <w:rPr>
          <w:sz w:val="22"/>
          <w:szCs w:val="22"/>
        </w:rPr>
        <w:t xml:space="preserve">Plugins read from the systems legal teams live in (Slack, Google Drive, CourtListener, iManage, Everlaw, and more). Connect a research tool before anything else so citations are verified against authoritative databases and tagged by source.</w:t>
      </w:r>
    </w:p>
    <w:p>
      <w:pPr>
        <w:pStyle w:val="Heading1"/>
        <w:spacing w:before="240"/>
      </w:pPr>
      <w:r>
        <w:t xml:space="preserve">All plugins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4960"/>
      </w:tblGrid>
      <w:tr>
        <w:trPr>
          <w:tblHeader/>
        </w:trPr>
        <w:tc>
          <w:tcPr>
            <w:tcW w:type="dxa" w:w="25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Plugin</w:t>
            </w:r>
          </w:p>
        </w:tc>
        <w:tc>
          <w:tcPr>
            <w:tcW w:type="dxa" w:w="19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Group</w:t>
            </w:r>
          </w:p>
        </w:tc>
        <w:tc>
          <w:tcPr>
            <w:tcW w:type="dxa" w:w="49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What it's for</w:t>
            </w:r>
          </w:p>
        </w:tc>
      </w:tr>
      <w:tr>
        <w:tc>
          <w:tcPr>
            <w:tcW w:type="dxa" w:w="2500"/>
            <w:tcBorders>
              <w:top w:val="single" w:color="BFBFBF" w:sz="1"/>
              <w:left w:val="single" w:color="BFBFBF" w:sz="1"/>
              <w:bottom w:val="single" w:color="BFBFBF" w:sz="1"/>
              <w:right w:val="single" w:color="BFBFBF" w:sz="1"/>
            </w:tcBorders>
            <w:shd w:fill="F2F6FC" w:val="clear"/>
            <w:tcMar>
              <w:top w:type="dxa" w:w="60"/>
              <w:left w:type="dxa" w:w="120"/>
              <w:bottom w:type="dxa" w:w="60"/>
              <w:right w:type="dxa" w:w="120"/>
            </w:tcMar>
          </w:tcPr>
          <w:p>
            <w:r>
              <w:rPr>
                <w:b/>
                <w:bCs/>
                <w:sz w:val="20"/>
                <w:szCs w:val="20"/>
              </w:rPr>
              <w:t xml:space="preserve">commercial-legal</w:t>
            </w:r>
          </w:p>
        </w:tc>
        <w:tc>
          <w:tcPr>
            <w:tcW w:type="dxa" w:w="1900"/>
            <w:tcBorders>
              <w:top w:val="single" w:color="BFBFBF" w:sz="1"/>
              <w:left w:val="single" w:color="BFBFBF" w:sz="1"/>
              <w:bottom w:val="single" w:color="BFBFBF" w:sz="1"/>
              <w:right w:val="single" w:color="BFBFBF" w:sz="1"/>
            </w:tcBorders>
            <w:shd w:fill="F2F6FC" w:val="clear"/>
            <w:tcMar>
              <w:top w:type="dxa" w:w="60"/>
              <w:left w:type="dxa" w:w="120"/>
              <w:bottom w:type="dxa" w:w="60"/>
              <w:right w:type="dxa" w:w="120"/>
            </w:tcMar>
          </w:tcPr>
          <w:p>
            <w:r>
              <w:rPr>
                <w:b w:val="false"/>
                <w:bCs w:val="false"/>
                <w:sz w:val="20"/>
                <w:szCs w:val="20"/>
              </w:rPr>
              <w:t xml:space="preserve">Advisory</w:t>
            </w:r>
          </w:p>
        </w:tc>
        <w:tc>
          <w:tcPr>
            <w:tcW w:type="dxa" w:w="4960"/>
            <w:tcBorders>
              <w:top w:val="single" w:color="BFBFBF" w:sz="1"/>
              <w:left w:val="single" w:color="BFBFBF" w:sz="1"/>
              <w:bottom w:val="single" w:color="BFBFBF" w:sz="1"/>
              <w:right w:val="single" w:color="BFBFBF" w:sz="1"/>
            </w:tcBorders>
            <w:shd w:fill="F2F6FC" w:val="clear"/>
            <w:tcMar>
              <w:top w:type="dxa" w:w="60"/>
              <w:left w:type="dxa" w:w="120"/>
              <w:bottom w:type="dxa" w:w="60"/>
              <w:right w:type="dxa" w:w="120"/>
            </w:tcMar>
          </w:tcPr>
          <w:p>
            <w:r>
              <w:rPr>
                <w:b w:val="false"/>
                <w:bCs w:val="false"/>
                <w:sz w:val="20"/>
                <w:szCs w:val="20"/>
              </w:rPr>
              <w:t xml:space="preserve">Playbook review of NDAs/MSAs/SaaS, amendment tracing, renewal alerts</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bCs/>
                <w:sz w:val="20"/>
                <w:szCs w:val="20"/>
              </w:rPr>
              <w:t xml:space="preserve">corporate-legal</w:t>
            </w:r>
          </w:p>
        </w:tc>
        <w:tc>
          <w:tcPr>
            <w:tcW w:type="dxa" w:w="1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sz w:val="20"/>
                <w:szCs w:val="20"/>
              </w:rPr>
              <w:t xml:space="preserve">Advisory</w:t>
            </w:r>
          </w:p>
        </w:tc>
        <w:tc>
          <w:tcPr>
            <w:tcW w:type="dxa" w:w="4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sz w:val="20"/>
                <w:szCs w:val="20"/>
              </w:rPr>
              <w:t xml:space="preserve">M&amp;A diligence (cited tabular review), disclosure schedules, board consents, entity compliance</w:t>
            </w:r>
          </w:p>
        </w:tc>
      </w:tr>
      <w:tr>
        <w:tc>
          <w:tcPr>
            <w:tcW w:type="dxa" w:w="2500"/>
            <w:tcBorders>
              <w:top w:val="single" w:color="BFBFBF" w:sz="1"/>
              <w:left w:val="single" w:color="BFBFBF" w:sz="1"/>
              <w:bottom w:val="single" w:color="BFBFBF" w:sz="1"/>
              <w:right w:val="single" w:color="BFBFBF" w:sz="1"/>
            </w:tcBorders>
            <w:shd w:fill="F2F6FC" w:val="clear"/>
            <w:tcMar>
              <w:top w:type="dxa" w:w="60"/>
              <w:left w:type="dxa" w:w="120"/>
              <w:bottom w:type="dxa" w:w="60"/>
              <w:right w:type="dxa" w:w="120"/>
            </w:tcMar>
          </w:tcPr>
          <w:p>
            <w:r>
              <w:rPr>
                <w:b/>
                <w:bCs/>
                <w:sz w:val="20"/>
                <w:szCs w:val="20"/>
              </w:rPr>
              <w:t xml:space="preserve">privacy-legal</w:t>
            </w:r>
          </w:p>
        </w:tc>
        <w:tc>
          <w:tcPr>
            <w:tcW w:type="dxa" w:w="1900"/>
            <w:tcBorders>
              <w:top w:val="single" w:color="BFBFBF" w:sz="1"/>
              <w:left w:val="single" w:color="BFBFBF" w:sz="1"/>
              <w:bottom w:val="single" w:color="BFBFBF" w:sz="1"/>
              <w:right w:val="single" w:color="BFBFBF" w:sz="1"/>
            </w:tcBorders>
            <w:shd w:fill="F2F6FC" w:val="clear"/>
            <w:tcMar>
              <w:top w:type="dxa" w:w="60"/>
              <w:left w:type="dxa" w:w="120"/>
              <w:bottom w:type="dxa" w:w="60"/>
              <w:right w:type="dxa" w:w="120"/>
            </w:tcMar>
          </w:tcPr>
          <w:p>
            <w:r>
              <w:rPr>
                <w:b w:val="false"/>
                <w:bCs w:val="false"/>
                <w:sz w:val="20"/>
                <w:szCs w:val="20"/>
              </w:rPr>
              <w:t xml:space="preserve">Advisory</w:t>
            </w:r>
          </w:p>
        </w:tc>
        <w:tc>
          <w:tcPr>
            <w:tcW w:type="dxa" w:w="4960"/>
            <w:tcBorders>
              <w:top w:val="single" w:color="BFBFBF" w:sz="1"/>
              <w:left w:val="single" w:color="BFBFBF" w:sz="1"/>
              <w:bottom w:val="single" w:color="BFBFBF" w:sz="1"/>
              <w:right w:val="single" w:color="BFBFBF" w:sz="1"/>
            </w:tcBorders>
            <w:shd w:fill="F2F6FC" w:val="clear"/>
            <w:tcMar>
              <w:top w:type="dxa" w:w="60"/>
              <w:left w:type="dxa" w:w="120"/>
              <w:bottom w:type="dxa" w:w="60"/>
              <w:right w:type="dxa" w:w="120"/>
            </w:tcMar>
          </w:tcPr>
          <w:p>
            <w:r>
              <w:rPr>
                <w:b w:val="false"/>
                <w:bCs w:val="false"/>
                <w:sz w:val="20"/>
                <w:szCs w:val="20"/>
              </w:rPr>
              <w:t xml:space="preserve">PIA/DPIA triage, PIA generation, DPA review, DSAR response, policy-drift monitoring</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bCs/>
                <w:sz w:val="20"/>
                <w:szCs w:val="20"/>
              </w:rPr>
              <w:t xml:space="preserve">product-legal</w:t>
            </w:r>
          </w:p>
        </w:tc>
        <w:tc>
          <w:tcPr>
            <w:tcW w:type="dxa" w:w="1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sz w:val="20"/>
                <w:szCs w:val="20"/>
              </w:rPr>
              <w:t xml:space="preserve">Advisory</w:t>
            </w:r>
          </w:p>
        </w:tc>
        <w:tc>
          <w:tcPr>
            <w:tcW w:type="dxa" w:w="4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sz w:val="20"/>
                <w:szCs w:val="20"/>
              </w:rPr>
              <w:t xml:space="preserve">Launch review, marketing-claims check, "is this a problem?" triage</w:t>
            </w:r>
          </w:p>
        </w:tc>
      </w:tr>
      <w:tr>
        <w:tc>
          <w:tcPr>
            <w:tcW w:type="dxa" w:w="2500"/>
            <w:tcBorders>
              <w:top w:val="single" w:color="BFBFBF" w:sz="1"/>
              <w:left w:val="single" w:color="BFBFBF" w:sz="1"/>
              <w:bottom w:val="single" w:color="BFBFBF" w:sz="1"/>
              <w:right w:val="single" w:color="BFBFBF" w:sz="1"/>
            </w:tcBorders>
            <w:shd w:fill="F2F6FC" w:val="clear"/>
            <w:tcMar>
              <w:top w:type="dxa" w:w="60"/>
              <w:left w:type="dxa" w:w="120"/>
              <w:bottom w:type="dxa" w:w="60"/>
              <w:right w:type="dxa" w:w="120"/>
            </w:tcMar>
          </w:tcPr>
          <w:p>
            <w:r>
              <w:rPr>
                <w:b/>
                <w:bCs/>
                <w:sz w:val="20"/>
                <w:szCs w:val="20"/>
              </w:rPr>
              <w:t xml:space="preserve">employment-legal</w:t>
            </w:r>
          </w:p>
        </w:tc>
        <w:tc>
          <w:tcPr>
            <w:tcW w:type="dxa" w:w="1900"/>
            <w:tcBorders>
              <w:top w:val="single" w:color="BFBFBF" w:sz="1"/>
              <w:left w:val="single" w:color="BFBFBF" w:sz="1"/>
              <w:bottom w:val="single" w:color="BFBFBF" w:sz="1"/>
              <w:right w:val="single" w:color="BFBFBF" w:sz="1"/>
            </w:tcBorders>
            <w:shd w:fill="F2F6FC" w:val="clear"/>
            <w:tcMar>
              <w:top w:type="dxa" w:w="60"/>
              <w:left w:type="dxa" w:w="120"/>
              <w:bottom w:type="dxa" w:w="60"/>
              <w:right w:type="dxa" w:w="120"/>
            </w:tcMar>
          </w:tcPr>
          <w:p>
            <w:r>
              <w:rPr>
                <w:b w:val="false"/>
                <w:bCs w:val="false"/>
                <w:sz w:val="20"/>
                <w:szCs w:val="20"/>
              </w:rPr>
              <w:t xml:space="preserve">Advisory</w:t>
            </w:r>
          </w:p>
        </w:tc>
        <w:tc>
          <w:tcPr>
            <w:tcW w:type="dxa" w:w="4960"/>
            <w:tcBorders>
              <w:top w:val="single" w:color="BFBFBF" w:sz="1"/>
              <w:left w:val="single" w:color="BFBFBF" w:sz="1"/>
              <w:bottom w:val="single" w:color="BFBFBF" w:sz="1"/>
              <w:right w:val="single" w:color="BFBFBF" w:sz="1"/>
            </w:tcBorders>
            <w:shd w:fill="F2F6FC" w:val="clear"/>
            <w:tcMar>
              <w:top w:type="dxa" w:w="60"/>
              <w:left w:type="dxa" w:w="120"/>
              <w:bottom w:type="dxa" w:w="60"/>
              <w:right w:type="dxa" w:w="120"/>
            </w:tcMar>
          </w:tcPr>
          <w:p>
            <w:r>
              <w:rPr>
                <w:b w:val="false"/>
                <w:bCs w:val="false"/>
                <w:sz w:val="20"/>
                <w:szCs w:val="20"/>
              </w:rPr>
              <w:t xml:space="preserve">Hire/termination review, worker classification, leave tracking, investigations</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bCs/>
                <w:sz w:val="20"/>
                <w:szCs w:val="20"/>
              </w:rPr>
              <w:t xml:space="preserve">ai-governance-legal</w:t>
            </w:r>
          </w:p>
        </w:tc>
        <w:tc>
          <w:tcPr>
            <w:tcW w:type="dxa" w:w="1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sz w:val="20"/>
                <w:szCs w:val="20"/>
              </w:rPr>
              <w:t xml:space="preserve">Advisory</w:t>
            </w:r>
          </w:p>
        </w:tc>
        <w:tc>
          <w:tcPr>
            <w:tcW w:type="dxa" w:w="4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sz w:val="20"/>
                <w:szCs w:val="20"/>
              </w:rPr>
              <w:t xml:space="preserve">AI use-case triage, impact assessments, vendor AI review, reg-gap analysis</w:t>
            </w:r>
          </w:p>
        </w:tc>
      </w:tr>
      <w:tr>
        <w:tc>
          <w:tcPr>
            <w:tcW w:type="dxa" w:w="2500"/>
            <w:tcBorders>
              <w:top w:val="single" w:color="BFBFBF" w:sz="1"/>
              <w:left w:val="single" w:color="BFBFBF" w:sz="1"/>
              <w:bottom w:val="single" w:color="BFBFBF" w:sz="1"/>
              <w:right w:val="single" w:color="BFBFBF" w:sz="1"/>
            </w:tcBorders>
            <w:shd w:fill="F2F6FC" w:val="clear"/>
            <w:tcMar>
              <w:top w:type="dxa" w:w="60"/>
              <w:left w:type="dxa" w:w="120"/>
              <w:bottom w:type="dxa" w:w="60"/>
              <w:right w:type="dxa" w:w="120"/>
            </w:tcMar>
          </w:tcPr>
          <w:p>
            <w:r>
              <w:rPr>
                <w:b/>
                <w:bCs/>
                <w:sz w:val="20"/>
                <w:szCs w:val="20"/>
              </w:rPr>
              <w:t xml:space="preserve">regulatory-legal</w:t>
            </w:r>
          </w:p>
        </w:tc>
        <w:tc>
          <w:tcPr>
            <w:tcW w:type="dxa" w:w="1900"/>
            <w:tcBorders>
              <w:top w:val="single" w:color="BFBFBF" w:sz="1"/>
              <w:left w:val="single" w:color="BFBFBF" w:sz="1"/>
              <w:bottom w:val="single" w:color="BFBFBF" w:sz="1"/>
              <w:right w:val="single" w:color="BFBFBF" w:sz="1"/>
            </w:tcBorders>
            <w:shd w:fill="F2F6FC" w:val="clear"/>
            <w:tcMar>
              <w:top w:type="dxa" w:w="60"/>
              <w:left w:type="dxa" w:w="120"/>
              <w:bottom w:type="dxa" w:w="60"/>
              <w:right w:type="dxa" w:w="120"/>
            </w:tcMar>
          </w:tcPr>
          <w:p>
            <w:r>
              <w:rPr>
                <w:b w:val="false"/>
                <w:bCs w:val="false"/>
                <w:sz w:val="20"/>
                <w:szCs w:val="20"/>
              </w:rPr>
              <w:t xml:space="preserve">Advisory</w:t>
            </w:r>
          </w:p>
        </w:tc>
        <w:tc>
          <w:tcPr>
            <w:tcW w:type="dxa" w:w="4960"/>
            <w:tcBorders>
              <w:top w:val="single" w:color="BFBFBF" w:sz="1"/>
              <w:left w:val="single" w:color="BFBFBF" w:sz="1"/>
              <w:bottom w:val="single" w:color="BFBFBF" w:sz="1"/>
              <w:right w:val="single" w:color="BFBFBF" w:sz="1"/>
            </w:tcBorders>
            <w:shd w:fill="F2F6FC" w:val="clear"/>
            <w:tcMar>
              <w:top w:type="dxa" w:w="60"/>
              <w:left w:type="dxa" w:w="120"/>
              <w:bottom w:type="dxa" w:w="60"/>
              <w:right w:type="dxa" w:w="120"/>
            </w:tcMar>
          </w:tcPr>
          <w:p>
            <w:r>
              <w:rPr>
                <w:b w:val="false"/>
                <w:bCs w:val="false"/>
                <w:sz w:val="20"/>
                <w:szCs w:val="20"/>
              </w:rPr>
              <w:t xml:space="preserve">Reg-feed watcher, policy diff, gap tracker, Monday-morning digest</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bCs/>
                <w:sz w:val="20"/>
                <w:szCs w:val="20"/>
              </w:rPr>
              <w:t xml:space="preserve">ip-legal</w:t>
            </w:r>
          </w:p>
        </w:tc>
        <w:tc>
          <w:tcPr>
            <w:tcW w:type="dxa" w:w="1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sz w:val="20"/>
                <w:szCs w:val="20"/>
              </w:rPr>
              <w:t xml:space="preserve">Advisory</w:t>
            </w:r>
          </w:p>
        </w:tc>
        <w:tc>
          <w:tcPr>
            <w:tcW w:type="dxa" w:w="4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sz w:val="20"/>
                <w:szCs w:val="20"/>
              </w:rPr>
              <w:t xml:space="preserve">TM clearance, FTO triage, C&amp;D/DMCA, OSS compliance, portfolio deadlines</w:t>
            </w:r>
          </w:p>
        </w:tc>
      </w:tr>
      <w:tr>
        <w:tc>
          <w:tcPr>
            <w:tcW w:type="dxa" w:w="2500"/>
            <w:tcBorders>
              <w:top w:val="single" w:color="BFBFBF" w:sz="1"/>
              <w:left w:val="single" w:color="BFBFBF" w:sz="1"/>
              <w:bottom w:val="single" w:color="BFBFBF" w:sz="1"/>
              <w:right w:val="single" w:color="BFBFBF" w:sz="1"/>
            </w:tcBorders>
            <w:shd w:fill="F2F6FC" w:val="clear"/>
            <w:tcMar>
              <w:top w:type="dxa" w:w="60"/>
              <w:left w:type="dxa" w:w="120"/>
              <w:bottom w:type="dxa" w:w="60"/>
              <w:right w:type="dxa" w:w="120"/>
            </w:tcMar>
          </w:tcPr>
          <w:p>
            <w:r>
              <w:rPr>
                <w:b/>
                <w:bCs/>
                <w:sz w:val="20"/>
                <w:szCs w:val="20"/>
              </w:rPr>
              <w:t xml:space="preserve">litigation-legal</w:t>
            </w:r>
          </w:p>
        </w:tc>
        <w:tc>
          <w:tcPr>
            <w:tcW w:type="dxa" w:w="1900"/>
            <w:tcBorders>
              <w:top w:val="single" w:color="BFBFBF" w:sz="1"/>
              <w:left w:val="single" w:color="BFBFBF" w:sz="1"/>
              <w:bottom w:val="single" w:color="BFBFBF" w:sz="1"/>
              <w:right w:val="single" w:color="BFBFBF" w:sz="1"/>
            </w:tcBorders>
            <w:shd w:fill="F2F6FC" w:val="clear"/>
            <w:tcMar>
              <w:top w:type="dxa" w:w="60"/>
              <w:left w:type="dxa" w:w="120"/>
              <w:bottom w:type="dxa" w:w="60"/>
              <w:right w:type="dxa" w:w="120"/>
            </w:tcMar>
          </w:tcPr>
          <w:p>
            <w:r>
              <w:rPr>
                <w:b w:val="false"/>
                <w:bCs w:val="false"/>
                <w:sz w:val="20"/>
                <w:szCs w:val="20"/>
              </w:rPr>
              <w:t xml:space="preserve">Litigation</w:t>
            </w:r>
          </w:p>
        </w:tc>
        <w:tc>
          <w:tcPr>
            <w:tcW w:type="dxa" w:w="4960"/>
            <w:tcBorders>
              <w:top w:val="single" w:color="BFBFBF" w:sz="1"/>
              <w:left w:val="single" w:color="BFBFBF" w:sz="1"/>
              <w:bottom w:val="single" w:color="BFBFBF" w:sz="1"/>
              <w:right w:val="single" w:color="BFBFBF" w:sz="1"/>
            </w:tcBorders>
            <w:shd w:fill="F2F6FC" w:val="clear"/>
            <w:tcMar>
              <w:top w:type="dxa" w:w="60"/>
              <w:left w:type="dxa" w:w="120"/>
              <w:bottom w:type="dxa" w:w="60"/>
              <w:right w:type="dxa" w:w="120"/>
            </w:tcMar>
          </w:tcPr>
          <w:p>
            <w:r>
              <w:rPr>
                <w:b w:val="false"/>
                <w:bCs w:val="false"/>
                <w:sz w:val="20"/>
                <w:szCs w:val="20"/>
              </w:rPr>
              <w:t xml:space="preserve">Matters/holds/demands; chronologies, claim charts, depo prep, privilege logs, briefs</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bCs/>
                <w:sz w:val="20"/>
                <w:szCs w:val="20"/>
              </w:rPr>
              <w:t xml:space="preserve">law-student</w:t>
            </w:r>
          </w:p>
        </w:tc>
        <w:tc>
          <w:tcPr>
            <w:tcW w:type="dxa" w:w="1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sz w:val="20"/>
                <w:szCs w:val="20"/>
              </w:rPr>
              <w:t xml:space="preserve">Learning &amp; practice</w:t>
            </w:r>
          </w:p>
        </w:tc>
        <w:tc>
          <w:tcPr>
            <w:tcW w:type="dxa" w:w="4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sz w:val="20"/>
                <w:szCs w:val="20"/>
              </w:rPr>
              <w:t xml:space="preserve">Socratic drills, case briefs, outlines, IRAC grading, bar prep — learning mode</w:t>
            </w:r>
          </w:p>
        </w:tc>
      </w:tr>
      <w:tr>
        <w:tc>
          <w:tcPr>
            <w:tcW w:type="dxa" w:w="2500"/>
            <w:tcBorders>
              <w:top w:val="single" w:color="BFBFBF" w:sz="1"/>
              <w:left w:val="single" w:color="BFBFBF" w:sz="1"/>
              <w:bottom w:val="single" w:color="BFBFBF" w:sz="1"/>
              <w:right w:val="single" w:color="BFBFBF" w:sz="1"/>
            </w:tcBorders>
            <w:shd w:fill="F2F6FC" w:val="clear"/>
            <w:tcMar>
              <w:top w:type="dxa" w:w="60"/>
              <w:left w:type="dxa" w:w="120"/>
              <w:bottom w:type="dxa" w:w="60"/>
              <w:right w:type="dxa" w:w="120"/>
            </w:tcMar>
          </w:tcPr>
          <w:p>
            <w:r>
              <w:rPr>
                <w:b/>
                <w:bCs/>
                <w:sz w:val="20"/>
                <w:szCs w:val="20"/>
              </w:rPr>
              <w:t xml:space="preserve">legal-clinic</w:t>
            </w:r>
          </w:p>
        </w:tc>
        <w:tc>
          <w:tcPr>
            <w:tcW w:type="dxa" w:w="1900"/>
            <w:tcBorders>
              <w:top w:val="single" w:color="BFBFBF" w:sz="1"/>
              <w:left w:val="single" w:color="BFBFBF" w:sz="1"/>
              <w:bottom w:val="single" w:color="BFBFBF" w:sz="1"/>
              <w:right w:val="single" w:color="BFBFBF" w:sz="1"/>
            </w:tcBorders>
            <w:shd w:fill="F2F6FC" w:val="clear"/>
            <w:tcMar>
              <w:top w:type="dxa" w:w="60"/>
              <w:left w:type="dxa" w:w="120"/>
              <w:bottom w:type="dxa" w:w="60"/>
              <w:right w:type="dxa" w:w="120"/>
            </w:tcMar>
          </w:tcPr>
          <w:p>
            <w:r>
              <w:rPr>
                <w:b w:val="false"/>
                <w:bCs w:val="false"/>
                <w:sz w:val="20"/>
                <w:szCs w:val="20"/>
              </w:rPr>
              <w:t xml:space="preserve">Learning &amp; practice</w:t>
            </w:r>
          </w:p>
        </w:tc>
        <w:tc>
          <w:tcPr>
            <w:tcW w:type="dxa" w:w="4960"/>
            <w:tcBorders>
              <w:top w:val="single" w:color="BFBFBF" w:sz="1"/>
              <w:left w:val="single" w:color="BFBFBF" w:sz="1"/>
              <w:bottom w:val="single" w:color="BFBFBF" w:sz="1"/>
              <w:right w:val="single" w:color="BFBFBF" w:sz="1"/>
            </w:tcBorders>
            <w:shd w:fill="F2F6FC" w:val="clear"/>
            <w:tcMar>
              <w:top w:type="dxa" w:w="60"/>
              <w:left w:type="dxa" w:w="120"/>
              <w:bottom w:type="dxa" w:w="60"/>
              <w:right w:type="dxa" w:w="120"/>
            </w:tcMar>
          </w:tcPr>
          <w:p>
            <w:r>
              <w:rPr>
                <w:b w:val="false"/>
                <w:bCs w:val="false"/>
                <w:sz w:val="20"/>
                <w:szCs w:val="20"/>
              </w:rPr>
              <w:t xml:space="preserve">Clinic setup, intake, deadlines, memos, client letters, handoff (ABA Op. 512)</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bCs/>
                <w:sz w:val="20"/>
                <w:szCs w:val="20"/>
              </w:rPr>
              <w:t xml:space="preserve">legal-builder-hub</w:t>
            </w:r>
          </w:p>
        </w:tc>
        <w:tc>
          <w:tcPr>
            <w:tcW w:type="dxa" w:w="1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sz w:val="20"/>
                <w:szCs w:val="20"/>
              </w:rPr>
              <w:t xml:space="preserve">Ecosystem</w:t>
            </w:r>
          </w:p>
        </w:tc>
        <w:tc>
          <w:tcPr>
            <w:tcW w:type="dxa" w:w="4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sz w:val="20"/>
                <w:szCs w:val="20"/>
              </w:rPr>
              <w:t xml:space="preserve">Discover/install community legal skills behind a security &amp; trust gate</w:t>
            </w:r>
          </w:p>
        </w:tc>
      </w:tr>
      <w:tr>
        <w:tc>
          <w:tcPr>
            <w:tcW w:type="dxa" w:w="2500"/>
            <w:tcBorders>
              <w:top w:val="single" w:color="BFBFBF" w:sz="1"/>
              <w:left w:val="single" w:color="BFBFBF" w:sz="1"/>
              <w:bottom w:val="single" w:color="BFBFBF" w:sz="1"/>
              <w:right w:val="single" w:color="BFBFBF" w:sz="1"/>
            </w:tcBorders>
            <w:shd w:fill="F2F6FC" w:val="clear"/>
            <w:tcMar>
              <w:top w:type="dxa" w:w="60"/>
              <w:left w:type="dxa" w:w="120"/>
              <w:bottom w:type="dxa" w:w="60"/>
              <w:right w:type="dxa" w:w="120"/>
            </w:tcMar>
          </w:tcPr>
          <w:p>
            <w:r>
              <w:rPr>
                <w:b/>
                <w:bCs/>
                <w:sz w:val="20"/>
                <w:szCs w:val="20"/>
              </w:rPr>
              <w:t xml:space="preserve">cocounsel-legal</w:t>
            </w:r>
          </w:p>
        </w:tc>
        <w:tc>
          <w:tcPr>
            <w:tcW w:type="dxa" w:w="1900"/>
            <w:tcBorders>
              <w:top w:val="single" w:color="BFBFBF" w:sz="1"/>
              <w:left w:val="single" w:color="BFBFBF" w:sz="1"/>
              <w:bottom w:val="single" w:color="BFBFBF" w:sz="1"/>
              <w:right w:val="single" w:color="BFBFBF" w:sz="1"/>
            </w:tcBorders>
            <w:shd w:fill="F2F6FC" w:val="clear"/>
            <w:tcMar>
              <w:top w:type="dxa" w:w="60"/>
              <w:left w:type="dxa" w:w="120"/>
              <w:bottom w:type="dxa" w:w="60"/>
              <w:right w:type="dxa" w:w="120"/>
            </w:tcMar>
          </w:tcPr>
          <w:p>
            <w:r>
              <w:rPr>
                <w:b w:val="false"/>
                <w:bCs w:val="false"/>
                <w:sz w:val="20"/>
                <w:szCs w:val="20"/>
              </w:rPr>
              <w:t xml:space="preserve">Partner (TR)</w:t>
            </w:r>
          </w:p>
        </w:tc>
        <w:tc>
          <w:tcPr>
            <w:tcW w:type="dxa" w:w="4960"/>
            <w:tcBorders>
              <w:top w:val="single" w:color="BFBFBF" w:sz="1"/>
              <w:left w:val="single" w:color="BFBFBF" w:sz="1"/>
              <w:bottom w:val="single" w:color="BFBFBF" w:sz="1"/>
              <w:right w:val="single" w:color="BFBFBF" w:sz="1"/>
            </w:tcBorders>
            <w:shd w:fill="F2F6FC" w:val="clear"/>
            <w:tcMar>
              <w:top w:type="dxa" w:w="60"/>
              <w:left w:type="dxa" w:w="120"/>
              <w:bottom w:type="dxa" w:w="60"/>
              <w:right w:type="dxa" w:w="120"/>
            </w:tcMar>
          </w:tcPr>
          <w:p>
            <w:r>
              <w:rPr>
                <w:b w:val="false"/>
                <w:bCs w:val="false"/>
                <w:sz w:val="20"/>
                <w:szCs w:val="20"/>
              </w:rPr>
              <w:t xml:space="preserve">Westlaw Deep Research — fully cited, linked reports across jurisdictions</w:t>
            </w:r>
          </w:p>
        </w:tc>
      </w:tr>
    </w:tbl>
    <w:p>
      <w:pPr>
        <w:pStyle w:val="Heading1"/>
        <w:pageBreakBefore/>
      </w:pPr>
      <w:r>
        <w:t xml:space="preserve">Important Risks Using These Plugins</w:t>
      </w:r>
    </w:p>
    <w:p>
      <w:pPr>
        <w:spacing w:after="150"/>
      </w:pPr>
      <w:r>
        <w:rPr>
          <w:sz w:val="22"/>
          <w:szCs w:val="22"/>
        </w:rPr>
        <w:t xml:space="preserve">AI-generated legal work is a starting point, not a finished work product. Every output must be reviewed by a licensed attorney who takes professional responsibility for it before it is filed, sent, signed, or relied on. The points below apply to all of the plugins in this guide.</w:t>
      </w:r>
    </w:p>
    <w:p>
      <w:pPr>
        <w:spacing w:after="110"/>
      </w:pPr>
      <w:r>
        <w:rPr>
          <w:b/>
          <w:bCs/>
          <w:color w:val="1F3864"/>
          <w:sz w:val="22"/>
          <w:szCs w:val="22"/>
        </w:rPr>
        <w:t xml:space="preserve">Not legal advice; drafts for attorney review — </w:t>
      </w:r>
      <w:r>
        <w:rPr>
          <w:sz w:val="22"/>
          <w:szCs w:val="22"/>
        </w:rPr>
        <w:t xml:space="preserve">These tools do not provide legal advice, do not create an attorney-client relationship, and do not substitute for a lawyer's judgment. Every output is a draft for a qualified attorney to review, verify, and own.</w:t>
      </w:r>
    </w:p>
    <w:p>
      <w:pPr>
        <w:spacing w:after="110"/>
      </w:pPr>
      <w:r>
        <w:rPr>
          <w:b/>
          <w:bCs/>
          <w:color w:val="1F3864"/>
          <w:sz w:val="22"/>
          <w:szCs w:val="22"/>
        </w:rPr>
        <w:t xml:space="preserve">Verify every citation against an authoritative source — </w:t>
      </w:r>
      <w:r>
        <w:rPr>
          <w:sz w:val="22"/>
          <w:szCs w:val="22"/>
        </w:rPr>
        <w:t xml:space="preserve">AI can fabricate or misstate case law, statutes, holdings, deadlines, and quotations. Confirm every authority exists, is current/good law, and stands for what the output claims, using a primary source or research database — not the model's say-so. Cites not verified through a research connector are flagged [verify]; treat them as unconfirmed.</w:t>
      </w:r>
    </w:p>
    <w:p>
      <w:pPr>
        <w:spacing w:after="110"/>
      </w:pPr>
      <w:r>
        <w:rPr>
          <w:b/>
          <w:bCs/>
          <w:color w:val="1F3864"/>
          <w:sz w:val="22"/>
          <w:szCs w:val="22"/>
        </w:rPr>
        <w:t xml:space="preserve">Connect your research tools first — </w:t>
      </w:r>
      <w:r>
        <w:rPr>
          <w:sz w:val="22"/>
          <w:szCs w:val="22"/>
        </w:rPr>
        <w:t xml:space="preserve">The plugins are most trustworthy wired to authoritative sources (CourtListener, Westlaw/CoCounsel, and others). Connected, they pull from current databases and tag each cite by source; without one, outputs lean on training knowledge and must be checked independently.</w:t>
      </w:r>
    </w:p>
    <w:p>
      <w:pPr>
        <w:spacing w:after="110"/>
      </w:pPr>
      <w:r>
        <w:rPr>
          <w:b/>
          <w:bCs/>
          <w:color w:val="1F3864"/>
          <w:sz w:val="22"/>
          <w:szCs w:val="22"/>
        </w:rPr>
        <w:t xml:space="preserve">Never the sole basis for a legal decision or action — </w:t>
      </w:r>
      <w:r>
        <w:rPr>
          <w:sz w:val="22"/>
          <w:szCs w:val="22"/>
        </w:rPr>
        <w:t xml:space="preserve">Do not file, send, sign, advise on, or rely on any AI-generated work product without independent attorney analysis and the required sign-off. Use these tools to accelerate review, not to replace it.</w:t>
      </w:r>
    </w:p>
    <w:p>
      <w:pPr>
        <w:spacing w:after="110"/>
      </w:pPr>
      <w:r>
        <w:rPr>
          <w:b/>
          <w:bCs/>
          <w:color w:val="1F3864"/>
          <w:sz w:val="22"/>
          <w:szCs w:val="22"/>
        </w:rPr>
        <w:t xml:space="preserve">Confidentiality and privilege — </w:t>
      </w:r>
      <w:r>
        <w:rPr>
          <w:sz w:val="22"/>
          <w:szCs w:val="22"/>
        </w:rPr>
        <w:t xml:space="preserve">These tools handle privileged and confidential client material. Follow your duty of confidentiality, your firm's data-handling and information-barrier policies, and your retention obligations, and take care that AI use and connector configuration do not waive privilege.</w:t>
      </w:r>
    </w:p>
    <w:p>
      <w:pPr>
        <w:spacing w:after="110"/>
      </w:pPr>
      <w:r>
        <w:rPr>
          <w:b/>
          <w:bCs/>
          <w:color w:val="1F3864"/>
          <w:sz w:val="22"/>
          <w:szCs w:val="22"/>
        </w:rPr>
        <w:t xml:space="preserve">Jurisdiction-specific and evolving law — </w:t>
      </w:r>
      <w:r>
        <w:rPr>
          <w:sz w:val="22"/>
          <w:szCs w:val="22"/>
        </w:rPr>
        <w:t xml:space="preserve">The law differs by jurisdiction and changes constantly. Outputs surface jurisdiction assumptions, but you must confirm the governing law, the current rules and deadlines, and any local variations before relying on them.</w:t>
      </w:r>
    </w:p>
    <w:p>
      <w:pPr>
        <w:spacing w:after="110"/>
      </w:pPr>
      <w:r>
        <w:rPr>
          <w:b/>
          <w:bCs/>
          <w:color w:val="1F3864"/>
          <w:sz w:val="22"/>
          <w:szCs w:val="22"/>
        </w:rPr>
        <w:t xml:space="preserve">Unauthorized practice of law — </w:t>
      </w:r>
      <w:r>
        <w:rPr>
          <w:sz w:val="22"/>
          <w:szCs w:val="22"/>
        </w:rPr>
        <w:t xml:space="preserve">These tools are for use under the supervision of a licensed attorney. They are not legal representation; non-lawyers should consult a qualified attorney rather than rely on output. legal-clinic is built within ABA Formal Opinion 512.</w:t>
      </w:r>
    </w:p>
    <w:p>
      <w:pPr>
        <w:spacing w:after="110"/>
      </w:pPr>
      <w:r>
        <w:rPr>
          <w:b/>
          <w:bCs/>
          <w:color w:val="1F3864"/>
          <w:sz w:val="22"/>
          <w:szCs w:val="22"/>
        </w:rPr>
        <w:t xml:space="preserve">Deadlines are aids, not a system of record — </w:t>
      </w:r>
      <w:r>
        <w:rPr>
          <w:sz w:val="22"/>
          <w:szCs w:val="22"/>
        </w:rPr>
        <w:t xml:space="preserve">Renewal, filing, leave, DSAR, and comment-period tracking help you spot what's coming; they are not a docketing system of record. Verify every computed date against the controlling rule and your authoritative calendar — a missed deadline can be malpractice.</w:t>
      </w:r>
    </w:p>
    <w:p>
      <w:pPr>
        <w:spacing w:after="110"/>
      </w:pPr>
      <w:r>
        <w:rPr>
          <w:b/>
          <w:bCs/>
          <w:color w:val="1F3864"/>
          <w:sz w:val="22"/>
          <w:szCs w:val="22"/>
        </w:rPr>
        <w:t xml:space="preserve">Data accuracy and AI errors — </w:t>
      </w:r>
      <w:r>
        <w:rPr>
          <w:sz w:val="22"/>
          <w:szCs w:val="22"/>
        </w:rPr>
        <w:t xml:space="preserve">Outputs can miscalculate, misread a document, omit material facts, or state confidently incorrect details ("hallucinations"). Clean formatting is not evidence of accuracy; read the underlying documents.</w:t>
      </w:r>
    </w:p>
    <w:p>
      <w:pPr>
        <w:spacing w:after="110"/>
      </w:pPr>
      <w:r>
        <w:rPr>
          <w:b/>
          <w:bCs/>
          <w:color w:val="1F3864"/>
          <w:sz w:val="22"/>
          <w:szCs w:val="22"/>
        </w:rPr>
        <w:t xml:space="preserve">Templates to tune, not turnkey — </w:t>
      </w:r>
      <w:r>
        <w:rPr>
          <w:sz w:val="22"/>
          <w:szCs w:val="22"/>
        </w:rPr>
        <w:t xml:space="preserve">These are reference templates reflecting general practice and do not represent Anthropic's legal positions. Run each plugin's cold-start interview, adapt it to your jurisdiction, playbook, and house style, and confirm behavior before depending on it.</w:t>
      </w:r>
    </w:p>
    <w:p>
      <w:pPr>
        <w:pStyle w:val="Heading1"/>
        <w:pageBreakBefore/>
      </w:pPr>
      <w:r>
        <w:t xml:space="preserve">Advisory &amp; transactional</w:t>
      </w:r>
    </w:p>
    <w:p>
      <w:pPr>
        <w:spacing w:after="160"/>
      </w:pPr>
      <w:r>
        <w:rPr>
          <w:i/>
          <w:iCs/>
          <w:color w:val="595959"/>
          <w:sz w:val="21"/>
          <w:szCs w:val="21"/>
        </w:rPr>
        <w:t xml:space="preserve">In-house and transactional practice areas. Run /&lt;plugin&gt;:cold-start-interview first — it tailors each plugin to your team.</w:t>
      </w:r>
    </w:p>
    <w:p>
      <w:pPr>
        <w:pStyle w:val="Heading2"/>
        <w:spacing w:after="60" w:before="200"/>
      </w:pPr>
      <w:r>
        <w:t xml:space="preserve">commercial-legal</w:t>
      </w:r>
    </w:p>
    <w:p>
      <w:pPr>
        <w:spacing w:after="80"/>
      </w:pPr>
      <w:r>
        <w:rPr>
          <w:b/>
          <w:bCs/>
          <w:color w:val="1F3864"/>
          <w:sz w:val="21"/>
          <w:szCs w:val="21"/>
        </w:rPr>
        <w:t xml:space="preserve">What it does:  </w:t>
      </w:r>
      <w:r>
        <w:rPr>
          <w:sz w:val="22"/>
          <w:szCs w:val="22"/>
        </w:rPr>
        <w:t xml:space="preserve">Playbook-aware review of vendor agreements, NDAs, and SaaS subscriptions; amendment tracing across base and amendments; a renewal register with cancel-by alerts; escalation routing; and business-stakeholder summaries.</w:t>
      </w:r>
    </w:p>
    <w:p>
      <w:pPr>
        <w:spacing w:after="80"/>
      </w:pPr>
      <w:r>
        <w:rPr>
          <w:b/>
          <w:bCs/>
          <w:color w:val="1F3864"/>
          <w:sz w:val="21"/>
          <w:szCs w:val="21"/>
        </w:rPr>
        <w:t xml:space="preserve">How to use:  </w:t>
      </w:r>
      <w:r>
        <w:rPr>
          <w:rFonts w:ascii="Consolas" w:cs="Consolas" w:eastAsia="Consolas" w:hAnsi="Consolas"/>
          <w:sz w:val="19"/>
          <w:szCs w:val="19"/>
        </w:rPr>
        <w:t xml:space="preserve">/commercial-legal:cold-start-interview, then :review, :amendment-history, :renewal-tracker, :escalation-flagger. Scheduled agents: renewal-watcher, deal-debrief, playbook-monitor.</w:t>
      </w:r>
    </w:p>
    <w:p>
      <w:pPr>
        <w:spacing w:after="80"/>
      </w:pPr>
      <w:r>
        <w:rPr>
          <w:b/>
          <w:bCs/>
          <w:color w:val="1F3864"/>
          <w:sz w:val="21"/>
          <w:szCs w:val="21"/>
        </w:rPr>
        <w:t xml:space="preserve">Try this:  </w:t>
      </w:r>
      <w:r>
        <w:rPr>
          <w:rFonts w:ascii="Consolas" w:cs="Consolas" w:eastAsia="Consolas" w:hAnsi="Consolas"/>
          <w:sz w:val="19"/>
          <w:szCs w:val="19"/>
        </w:rPr>
        <w:t xml:space="preserve">/commercial-legal:review — review this vendor MSA against our purchasing playbook and flag deviations with fallback positions. (attach the agreement)</w:t>
      </w:r>
    </w:p>
    <w:p>
      <w:pPr>
        <w:pStyle w:val="Heading2"/>
        <w:spacing w:after="60" w:before="200"/>
      </w:pPr>
      <w:r>
        <w:t xml:space="preserve">corporate-legal</w:t>
      </w:r>
    </w:p>
    <w:p>
      <w:pPr>
        <w:spacing w:after="80"/>
      </w:pPr>
      <w:r>
        <w:rPr>
          <w:b/>
          <w:bCs/>
          <w:color w:val="1F3864"/>
          <w:sz w:val="21"/>
          <w:szCs w:val="21"/>
        </w:rPr>
        <w:t xml:space="preserve">What it does:  </w:t>
      </w:r>
      <w:r>
        <w:rPr>
          <w:sz w:val="22"/>
          <w:szCs w:val="22"/>
        </w:rPr>
        <w:t xml:space="preserve">M&amp;A diligence at scale with cited, one-row-per-document tabular review; disclosure schedules and closing checklists; board consents and minutes in house format; an entity-compliance tracker across jurisdictions; and post-close integration tracking.</w:t>
      </w:r>
    </w:p>
    <w:p>
      <w:pPr>
        <w:spacing w:after="80"/>
      </w:pPr>
      <w:r>
        <w:rPr>
          <w:b/>
          <w:bCs/>
          <w:color w:val="1F3864"/>
          <w:sz w:val="21"/>
          <w:szCs w:val="21"/>
        </w:rPr>
        <w:t xml:space="preserve">How to use:  </w:t>
      </w:r>
      <w:r>
        <w:rPr>
          <w:rFonts w:ascii="Consolas" w:cs="Consolas" w:eastAsia="Consolas" w:hAnsi="Consolas"/>
          <w:sz w:val="19"/>
          <w:szCs w:val="19"/>
        </w:rPr>
        <w:t xml:space="preserve">/corporate-legal:cold-start-interview (optionally --new-deal), then :tabular-review, :diligence-issue-extraction, :material-contract-schedule, :closing-checklist, :written-consent, :entity-compliance. Scheduled agent: dataroom-watcher.</w:t>
      </w:r>
    </w:p>
    <w:p>
      <w:pPr>
        <w:spacing w:after="80"/>
      </w:pPr>
      <w:r>
        <w:rPr>
          <w:b/>
          <w:bCs/>
          <w:color w:val="1F3864"/>
          <w:sz w:val="21"/>
          <w:szCs w:val="21"/>
        </w:rPr>
        <w:t xml:space="preserve">Try this:  </w:t>
      </w:r>
      <w:r>
        <w:rPr>
          <w:rFonts w:ascii="Consolas" w:cs="Consolas" w:eastAsia="Consolas" w:hAnsi="Consolas"/>
          <w:sz w:val="19"/>
          <w:szCs w:val="19"/>
        </w:rPr>
        <w:t xml:space="preserve">/corporate-legal:tabular-review — review the VDR contracts folder, one row per document with every cell cited to its source.</w:t>
      </w:r>
    </w:p>
    <w:p>
      <w:pPr>
        <w:pStyle w:val="Heading2"/>
        <w:spacing w:after="60" w:before="200"/>
      </w:pPr>
      <w:r>
        <w:t xml:space="preserve">privacy-legal</w:t>
      </w:r>
    </w:p>
    <w:p>
      <w:pPr>
        <w:spacing w:after="80"/>
      </w:pPr>
      <w:r>
        <w:rPr>
          <w:b/>
          <w:bCs/>
          <w:color w:val="1F3864"/>
          <w:sz w:val="21"/>
          <w:szCs w:val="21"/>
        </w:rPr>
        <w:t xml:space="preserve">What it does:  </w:t>
      </w:r>
      <w:r>
        <w:rPr>
          <w:sz w:val="22"/>
          <w:szCs w:val="22"/>
        </w:rPr>
        <w:t xml:space="preserve">Privacy triage (PIA vs GDPR DPIA vs proceed), PIA generation, DPA review that auto-detects controller vs processor, DSAR response within statutory timelines, and a policy monitor that watches drift between policy and practice.</w:t>
      </w:r>
    </w:p>
    <w:p>
      <w:pPr>
        <w:spacing w:after="80"/>
      </w:pPr>
      <w:r>
        <w:rPr>
          <w:b/>
          <w:bCs/>
          <w:color w:val="1F3864"/>
          <w:sz w:val="21"/>
          <w:szCs w:val="21"/>
        </w:rPr>
        <w:t xml:space="preserve">How to use:  </w:t>
      </w:r>
      <w:r>
        <w:rPr>
          <w:rFonts w:ascii="Consolas" w:cs="Consolas" w:eastAsia="Consolas" w:hAnsi="Consolas"/>
          <w:sz w:val="19"/>
          <w:szCs w:val="19"/>
        </w:rPr>
        <w:t xml:space="preserve">/privacy-legal:cold-start-interview, then :use-case-triage, :pia-generation, :dpa-review, :dsar-response, :reg-gap-analysis, :policy-monitor.</w:t>
      </w:r>
    </w:p>
    <w:p>
      <w:pPr>
        <w:spacing w:after="80"/>
      </w:pPr>
      <w:r>
        <w:rPr>
          <w:b/>
          <w:bCs/>
          <w:color w:val="1F3864"/>
          <w:sz w:val="21"/>
          <w:szCs w:val="21"/>
        </w:rPr>
        <w:t xml:space="preserve">Try this:  </w:t>
      </w:r>
      <w:r>
        <w:rPr>
          <w:rFonts w:ascii="Consolas" w:cs="Consolas" w:eastAsia="Consolas" w:hAnsi="Consolas"/>
          <w:sz w:val="19"/>
          <w:szCs w:val="19"/>
        </w:rPr>
        <w:t xml:space="preserve">/privacy-legal:dsar-response — walk this access request: verify identity, locate the data, assess exemptions, and draft the response within the deadline.</w:t>
      </w:r>
    </w:p>
    <w:p>
      <w:pPr>
        <w:pStyle w:val="Heading2"/>
        <w:spacing w:after="60" w:before="200"/>
      </w:pPr>
      <w:r>
        <w:t xml:space="preserve">product-legal</w:t>
      </w:r>
    </w:p>
    <w:p>
      <w:pPr>
        <w:spacing w:after="80"/>
      </w:pPr>
      <w:r>
        <w:rPr>
          <w:b/>
          <w:bCs/>
          <w:color w:val="1F3864"/>
          <w:sz w:val="21"/>
          <w:szCs w:val="21"/>
        </w:rPr>
        <w:t xml:space="preserve">What it does:  </w:t>
      </w:r>
      <w:r>
        <w:rPr>
          <w:sz w:val="22"/>
          <w:szCs w:val="22"/>
        </w:rPr>
        <w:t xml:space="preserve">Launch review against your house risk calibration, marketing-claims checks for statements that need substantiation, fast "is this a problem?" triage for the quick-question channel, and feature risk assessments.</w:t>
      </w:r>
    </w:p>
    <w:p>
      <w:pPr>
        <w:spacing w:after="80"/>
      </w:pPr>
      <w:r>
        <w:rPr>
          <w:b/>
          <w:bCs/>
          <w:color w:val="1F3864"/>
          <w:sz w:val="21"/>
          <w:szCs w:val="21"/>
        </w:rPr>
        <w:t xml:space="preserve">How to use:  </w:t>
      </w:r>
      <w:r>
        <w:rPr>
          <w:rFonts w:ascii="Consolas" w:cs="Consolas" w:eastAsia="Consolas" w:hAnsi="Consolas"/>
          <w:sz w:val="19"/>
          <w:szCs w:val="19"/>
        </w:rPr>
        <w:t xml:space="preserve">/product-legal:cold-start-interview, then :is-this-a-problem, :launch-review, :marketing-claims-review. Scheduled agent: launch-watcher.</w:t>
      </w:r>
    </w:p>
    <w:p>
      <w:pPr>
        <w:spacing w:after="80"/>
      </w:pPr>
      <w:r>
        <w:rPr>
          <w:b/>
          <w:bCs/>
          <w:color w:val="1F3864"/>
          <w:sz w:val="21"/>
          <w:szCs w:val="21"/>
        </w:rPr>
        <w:t xml:space="preserve">Try this:  </w:t>
      </w:r>
      <w:r>
        <w:rPr>
          <w:rFonts w:ascii="Consolas" w:cs="Consolas" w:eastAsia="Consolas" w:hAnsi="Consolas"/>
          <w:sz w:val="19"/>
          <w:szCs w:val="19"/>
        </w:rPr>
        <w:t xml:space="preserve">/product-legal:marketing-claims-review — check this landing-page copy for claims that need substantiation.</w:t>
      </w:r>
    </w:p>
    <w:p>
      <w:pPr>
        <w:pStyle w:val="Heading2"/>
        <w:spacing w:after="60" w:before="200"/>
      </w:pPr>
      <w:r>
        <w:t xml:space="preserve">employment-legal</w:t>
      </w:r>
    </w:p>
    <w:p>
      <w:pPr>
        <w:spacing w:after="80"/>
      </w:pPr>
      <w:r>
        <w:rPr>
          <w:b/>
          <w:bCs/>
          <w:color w:val="1F3864"/>
          <w:sz w:val="21"/>
          <w:szCs w:val="21"/>
        </w:rPr>
        <w:t xml:space="preserve">What it does:  </w:t>
      </w:r>
      <w:r>
        <w:rPr>
          <w:sz w:val="22"/>
          <w:szCs w:val="22"/>
        </w:rPr>
        <w:t xml:space="preserve">Hire and termination review with jurisdiction-specific risk flags, worker classification against the controlling state test, a leave tracker (FMLA/CFRA/PFL/ADA) that fires decision-point alerts, internal investigations, and policy drafting with state supplements.</w:t>
      </w:r>
    </w:p>
    <w:p>
      <w:pPr>
        <w:spacing w:after="80"/>
      </w:pPr>
      <w:r>
        <w:rPr>
          <w:b/>
          <w:bCs/>
          <w:color w:val="1F3864"/>
          <w:sz w:val="21"/>
          <w:szCs w:val="21"/>
        </w:rPr>
        <w:t xml:space="preserve">How to use:  </w:t>
      </w:r>
      <w:r>
        <w:rPr>
          <w:rFonts w:ascii="Consolas" w:cs="Consolas" w:eastAsia="Consolas" w:hAnsi="Consolas"/>
          <w:sz w:val="19"/>
          <w:szCs w:val="19"/>
        </w:rPr>
        <w:t xml:space="preserve">/employment-legal:cold-start-interview, then :hiring-review, :termination-review, :worker-classification, :wage-hour-qa, :policy-drafting, the investigation suite (:investigation-open / -add / -memo / -query / -summary), and :leave-tracker / :log-leave. Scheduled agent: leave-tracker.</w:t>
      </w:r>
    </w:p>
    <w:p>
      <w:pPr>
        <w:spacing w:after="80"/>
      </w:pPr>
      <w:r>
        <w:rPr>
          <w:b/>
          <w:bCs/>
          <w:color w:val="1F3864"/>
          <w:sz w:val="21"/>
          <w:szCs w:val="21"/>
        </w:rPr>
        <w:t xml:space="preserve">Try this:  </w:t>
      </w:r>
      <w:r>
        <w:rPr>
          <w:rFonts w:ascii="Consolas" w:cs="Consolas" w:eastAsia="Consolas" w:hAnsi="Consolas"/>
          <w:sz w:val="19"/>
          <w:szCs w:val="19"/>
        </w:rPr>
        <w:t xml:space="preserve">/employment-legal:termination-review — review this proposed termination in California for high-risk flags.</w:t>
      </w:r>
    </w:p>
    <w:p>
      <w:pPr>
        <w:pStyle w:val="Heading2"/>
        <w:spacing w:after="60" w:before="200"/>
      </w:pPr>
      <w:r>
        <w:t xml:space="preserve">ai-governance-legal</w:t>
      </w:r>
    </w:p>
    <w:p>
      <w:pPr>
        <w:spacing w:after="80"/>
      </w:pPr>
      <w:r>
        <w:rPr>
          <w:b/>
          <w:bCs/>
          <w:color w:val="1F3864"/>
          <w:sz w:val="21"/>
          <w:szCs w:val="21"/>
        </w:rPr>
        <w:t xml:space="preserve">What it does:  </w:t>
      </w:r>
      <w:r>
        <w:rPr>
          <w:sz w:val="22"/>
          <w:szCs w:val="22"/>
        </w:rPr>
        <w:t xml:space="preserve">Triage of proposed AI use cases against your registry, impact assessments across the regimes in scope, vendor AI-terms review (training-on-data, liability gaps), reg-to-policy gap analysis, and an EU AI Act per-system inventory.</w:t>
      </w:r>
    </w:p>
    <w:p>
      <w:pPr>
        <w:spacing w:after="80"/>
      </w:pPr>
      <w:r>
        <w:rPr>
          <w:b/>
          <w:bCs/>
          <w:color w:val="1F3864"/>
          <w:sz w:val="21"/>
          <w:szCs w:val="21"/>
        </w:rPr>
        <w:t xml:space="preserve">How to use:  </w:t>
      </w:r>
      <w:r>
        <w:rPr>
          <w:rFonts w:ascii="Consolas" w:cs="Consolas" w:eastAsia="Consolas" w:hAnsi="Consolas"/>
          <w:sz w:val="19"/>
          <w:szCs w:val="19"/>
        </w:rPr>
        <w:t xml:space="preserve">/ai-governance-legal:cold-start-interview, then :use-case-triage, :aia-generation, :vendor-ai-review, :reg-gap-analysis, :ai-inventory, :policy-starter, :policy-monitor.</w:t>
      </w:r>
    </w:p>
    <w:p>
      <w:pPr>
        <w:spacing w:after="80"/>
      </w:pPr>
      <w:r>
        <w:rPr>
          <w:b/>
          <w:bCs/>
          <w:color w:val="1F3864"/>
          <w:sz w:val="21"/>
          <w:szCs w:val="21"/>
        </w:rPr>
        <w:t xml:space="preserve">Try this:  </w:t>
      </w:r>
      <w:r>
        <w:rPr>
          <w:rFonts w:ascii="Consolas" w:cs="Consolas" w:eastAsia="Consolas" w:hAnsi="Consolas"/>
          <w:sz w:val="19"/>
          <w:szCs w:val="19"/>
        </w:rPr>
        <w:t xml:space="preserve">/ai-governance-legal:use-case-triage — classify this proposed AI feature (approved / conditional / no) against our registry and the EU AI Act.</w:t>
      </w:r>
    </w:p>
    <w:p>
      <w:pPr>
        <w:pStyle w:val="Heading2"/>
        <w:spacing w:after="60" w:before="200"/>
      </w:pPr>
      <w:r>
        <w:t xml:space="preserve">regulatory-legal</w:t>
      </w:r>
    </w:p>
    <w:p>
      <w:pPr>
        <w:spacing w:after="80"/>
      </w:pPr>
      <w:r>
        <w:rPr>
          <w:b/>
          <w:bCs/>
          <w:color w:val="1F3864"/>
          <w:sz w:val="21"/>
          <w:szCs w:val="21"/>
        </w:rPr>
        <w:t xml:space="preserve">What it does:  </w:t>
      </w:r>
      <w:r>
        <w:rPr>
          <w:sz w:val="22"/>
          <w:szCs w:val="22"/>
        </w:rPr>
        <w:t xml:space="preserve">A regulatory feed watcher, policy diffs against new rules, a gaps tracker, NPRM comment-period tracking, and the Monday-morning digest your team actually reads.</w:t>
      </w:r>
    </w:p>
    <w:p>
      <w:pPr>
        <w:spacing w:after="80"/>
      </w:pPr>
      <w:r>
        <w:rPr>
          <w:b/>
          <w:bCs/>
          <w:color w:val="1F3864"/>
          <w:sz w:val="21"/>
          <w:szCs w:val="21"/>
        </w:rPr>
        <w:t xml:space="preserve">How to use:  </w:t>
      </w:r>
      <w:r>
        <w:rPr>
          <w:rFonts w:ascii="Consolas" w:cs="Consolas" w:eastAsia="Consolas" w:hAnsi="Consolas"/>
          <w:sz w:val="19"/>
          <w:szCs w:val="19"/>
        </w:rPr>
        <w:t xml:space="preserve">/regulatory-legal:cold-start-interview, then :reg-feed-watcher, :policy-diff, :gaps, :policy-redraft, :comments. Scheduled agent: reg-change-monitor.</w:t>
      </w:r>
    </w:p>
    <w:p>
      <w:pPr>
        <w:spacing w:after="80"/>
      </w:pPr>
      <w:r>
        <w:rPr>
          <w:b/>
          <w:bCs/>
          <w:color w:val="1F3864"/>
          <w:sz w:val="21"/>
          <w:szCs w:val="21"/>
        </w:rPr>
        <w:t xml:space="preserve">Try this:  </w:t>
      </w:r>
      <w:r>
        <w:rPr>
          <w:rFonts w:ascii="Consolas" w:cs="Consolas" w:eastAsia="Consolas" w:hAnsi="Consolas"/>
          <w:sz w:val="19"/>
          <w:szCs w:val="19"/>
        </w:rPr>
        <w:t xml:space="preserve">/regulatory-legal:policy-diff — diff this new rule against our policy library and surface the open gaps.</w:t>
      </w:r>
    </w:p>
    <w:p>
      <w:pPr>
        <w:pStyle w:val="Heading2"/>
        <w:spacing w:after="60" w:before="200"/>
      </w:pPr>
      <w:r>
        <w:t xml:space="preserve">ip-legal</w:t>
      </w:r>
    </w:p>
    <w:p>
      <w:pPr>
        <w:spacing w:after="80"/>
      </w:pPr>
      <w:r>
        <w:rPr>
          <w:b/>
          <w:bCs/>
          <w:color w:val="1F3864"/>
          <w:sz w:val="21"/>
          <w:szCs w:val="21"/>
        </w:rPr>
        <w:t xml:space="preserve">What it does:  </w:t>
      </w:r>
      <w:r>
        <w:rPr>
          <w:sz w:val="22"/>
          <w:szCs w:val="22"/>
        </w:rPr>
        <w:t xml:space="preserve">First-pass trademark clearance and freedom-to-operate triage, invention-disclosure screening, cease-and-desist drafting and triage, DMCA takedown and counter-notice, open-source license compliance, IP clause review, and portfolio/renewal tracking.</w:t>
      </w:r>
    </w:p>
    <w:p>
      <w:pPr>
        <w:spacing w:after="80"/>
      </w:pPr>
      <w:r>
        <w:rPr>
          <w:b/>
          <w:bCs/>
          <w:color w:val="1F3864"/>
          <w:sz w:val="21"/>
          <w:szCs w:val="21"/>
        </w:rPr>
        <w:t xml:space="preserve">How to use:  </w:t>
      </w:r>
      <w:r>
        <w:rPr>
          <w:rFonts w:ascii="Consolas" w:cs="Consolas" w:eastAsia="Consolas" w:hAnsi="Consolas"/>
          <w:sz w:val="19"/>
          <w:szCs w:val="19"/>
        </w:rPr>
        <w:t xml:space="preserve">/ip-legal:cold-start-interview, then :clearance, :fto-triage, :invention-intake, :cease-desist, :takedown, :infringement-triage, :ip-clause-review, :oss-review, :portfolio. Scheduled agent: ip-renewal-watcher.</w:t>
      </w:r>
    </w:p>
    <w:p>
      <w:pPr>
        <w:spacing w:after="80"/>
      </w:pPr>
      <w:r>
        <w:rPr>
          <w:b/>
          <w:bCs/>
          <w:color w:val="1F3864"/>
          <w:sz w:val="21"/>
          <w:szCs w:val="21"/>
        </w:rPr>
        <w:t xml:space="preserve">Try this:  </w:t>
      </w:r>
      <w:r>
        <w:rPr>
          <w:rFonts w:ascii="Consolas" w:cs="Consolas" w:eastAsia="Consolas" w:hAnsi="Consolas"/>
          <w:sz w:val="19"/>
          <w:szCs w:val="19"/>
        </w:rPr>
        <w:t xml:space="preserve">/ip-legal:clearance — run a first-pass trademark clearance for the mark "Northwind" in class 9.</w:t>
      </w:r>
    </w:p>
    <w:p>
      <w:pPr>
        <w:pStyle w:val="Heading1"/>
        <w:pageBreakBefore/>
      </w:pPr>
      <w:r>
        <w:t xml:space="preserve">Litigation</w:t>
      </w:r>
    </w:p>
    <w:p>
      <w:pPr>
        <w:spacing w:after="160"/>
      </w:pPr>
      <w:r>
        <w:rPr>
          <w:i/>
          <w:iCs/>
          <w:color w:val="595959"/>
          <w:sz w:val="21"/>
          <w:szCs w:val="21"/>
        </w:rPr>
        <w:t xml:space="preserve">Portfolio management and litigation work product — adapts to in-house, firm, or solo practice.</w:t>
      </w:r>
    </w:p>
    <w:p>
      <w:pPr>
        <w:pStyle w:val="Heading2"/>
        <w:spacing w:after="60" w:before="200"/>
      </w:pPr>
      <w:r>
        <w:t xml:space="preserve">litigation-legal</w:t>
      </w:r>
    </w:p>
    <w:p>
      <w:pPr>
        <w:spacing w:after="80"/>
      </w:pPr>
      <w:r>
        <w:rPr>
          <w:b/>
          <w:bCs/>
          <w:color w:val="1F3864"/>
          <w:sz w:val="21"/>
          <w:szCs w:val="21"/>
        </w:rPr>
        <w:t xml:space="preserve">What it does:  </w:t>
      </w:r>
      <w:r>
        <w:rPr>
          <w:sz w:val="22"/>
          <w:szCs w:val="22"/>
        </w:rPr>
        <w:t xml:space="preserve">Manages the litigation portfolio (matters, deadlines, legal holds, demands, outside counsel) and does the work — claim charts (patent and civil), chronologies, deposition prep, privilege-log review, and brief drafting.</w:t>
      </w:r>
    </w:p>
    <w:p>
      <w:pPr>
        <w:spacing w:after="80"/>
      </w:pPr>
      <w:r>
        <w:rPr>
          <w:b/>
          <w:bCs/>
          <w:color w:val="1F3864"/>
          <w:sz w:val="21"/>
          <w:szCs w:val="21"/>
        </w:rPr>
        <w:t xml:space="preserve">How to use:  </w:t>
      </w:r>
      <w:r>
        <w:rPr>
          <w:rFonts w:ascii="Consolas" w:cs="Consolas" w:eastAsia="Consolas" w:hAnsi="Consolas"/>
          <w:sz w:val="19"/>
          <w:szCs w:val="19"/>
        </w:rPr>
        <w:t xml:space="preserve">/litigation-legal:cold-start-interview, then portfolio skills (:matter-intake, :portfolio-status, :legal-hold, :demand-draft, :subpoena-triage, :oc-status) and work product (:claim-chart, :chronology, :deposition-prep, :privilege-log-review, :brief-section-drafter). Scheduled agent: docket-watcher.</w:t>
      </w:r>
    </w:p>
    <w:p>
      <w:pPr>
        <w:spacing w:after="80"/>
      </w:pPr>
      <w:r>
        <w:rPr>
          <w:b/>
          <w:bCs/>
          <w:color w:val="1F3864"/>
          <w:sz w:val="21"/>
          <w:szCs w:val="21"/>
        </w:rPr>
        <w:t xml:space="preserve">Try this:  </w:t>
      </w:r>
      <w:r>
        <w:rPr>
          <w:rFonts w:ascii="Consolas" w:cs="Consolas" w:eastAsia="Consolas" w:hAnsi="Consolas"/>
          <w:sz w:val="19"/>
          <w:szCs w:val="19"/>
        </w:rPr>
        <w:t xml:space="preserve">/litigation-legal:chronology — build a chronology from the uploaded exhibits and the complaint, with a source cited for each event.</w:t>
      </w:r>
    </w:p>
    <w:p>
      <w:pPr>
        <w:pStyle w:val="Heading1"/>
        <w:pageBreakBefore/>
      </w:pPr>
      <w:r>
        <w:t xml:space="preserve">Learning &amp; practice</w:t>
      </w:r>
    </w:p>
    <w:p>
      <w:pPr>
        <w:spacing w:after="160"/>
      </w:pPr>
      <w:r>
        <w:rPr>
          <w:i/>
          <w:iCs/>
          <w:color w:val="595959"/>
          <w:sz w:val="21"/>
          <w:szCs w:val="21"/>
        </w:rPr>
        <w:t xml:space="preserve">For law students and law-school clinics. Learning mode — these never write the answer for the student.</w:t>
      </w:r>
    </w:p>
    <w:p>
      <w:pPr>
        <w:pStyle w:val="Heading2"/>
        <w:spacing w:after="60" w:before="200"/>
      </w:pPr>
      <w:r>
        <w:t xml:space="preserve">law-student</w:t>
      </w:r>
    </w:p>
    <w:p>
      <w:pPr>
        <w:spacing w:after="80"/>
      </w:pPr>
      <w:r>
        <w:rPr>
          <w:b/>
          <w:bCs/>
          <w:color w:val="1F3864"/>
          <w:sz w:val="21"/>
          <w:szCs w:val="21"/>
        </w:rPr>
        <w:t xml:space="preserve">What it does:  </w:t>
      </w:r>
      <w:r>
        <w:rPr>
          <w:sz w:val="22"/>
          <w:szCs w:val="22"/>
        </w:rPr>
        <w:t xml:space="preserve">A learning-mode study partner: Socratic drilling, case briefing, outline building, IRAC grading, cold-call prep, flashcards, jurisdiction-tuned bar prep, exam forecasting, and study planning. It never writes the answer for you.</w:t>
      </w:r>
    </w:p>
    <w:p>
      <w:pPr>
        <w:spacing w:after="80"/>
      </w:pPr>
      <w:r>
        <w:rPr>
          <w:b/>
          <w:bCs/>
          <w:color w:val="1F3864"/>
          <w:sz w:val="21"/>
          <w:szCs w:val="21"/>
        </w:rPr>
        <w:t xml:space="preserve">How to use:  </w:t>
      </w:r>
      <w:r>
        <w:rPr>
          <w:rFonts w:ascii="Consolas" w:cs="Consolas" w:eastAsia="Consolas" w:hAnsi="Consolas"/>
          <w:sz w:val="19"/>
          <w:szCs w:val="19"/>
        </w:rPr>
        <w:t xml:space="preserve">/law-student:cold-start-interview, then :socratic-drill, :case-brief, :outline-builder, :irac-practice, :legal-writing, :cold-call-prep, :bar-prep-questions, :flashcards, :exam-forecast, :study-plan.</w:t>
      </w:r>
    </w:p>
    <w:p>
      <w:pPr>
        <w:spacing w:after="80"/>
      </w:pPr>
      <w:r>
        <w:rPr>
          <w:b/>
          <w:bCs/>
          <w:color w:val="1F3864"/>
          <w:sz w:val="21"/>
          <w:szCs w:val="21"/>
        </w:rPr>
        <w:t xml:space="preserve">Try this:  </w:t>
      </w:r>
      <w:r>
        <w:rPr>
          <w:rFonts w:ascii="Consolas" w:cs="Consolas" w:eastAsia="Consolas" w:hAnsi="Consolas"/>
          <w:sz w:val="19"/>
          <w:szCs w:val="19"/>
        </w:rPr>
        <w:t xml:space="preserve">/law-student:socratic-drill — drill me on personal jurisdiction; ask, let me answer, then push back on my reasoning.</w:t>
      </w:r>
    </w:p>
    <w:p>
      <w:pPr>
        <w:pStyle w:val="Heading2"/>
        <w:spacing w:after="60" w:before="200"/>
      </w:pPr>
      <w:r>
        <w:t xml:space="preserve">legal-clinic</w:t>
      </w:r>
    </w:p>
    <w:p>
      <w:pPr>
        <w:spacing w:after="80"/>
      </w:pPr>
      <w:r>
        <w:rPr>
          <w:b/>
          <w:bCs/>
          <w:color w:val="1F3864"/>
          <w:sz w:val="21"/>
          <w:szCs w:val="21"/>
        </w:rPr>
        <w:t xml:space="preserve">What it does:  </w:t>
      </w:r>
      <w:r>
        <w:rPr>
          <w:sz w:val="22"/>
          <w:szCs w:val="22"/>
        </w:rPr>
        <w:t xml:space="preserve">Stands up a law-school clinic: professor setup and per-practice-area guides, student semester ramp, structured intake with cross-area issue spotting, malpractice-aware deadline tracking, memo scaffolds, client letters, and semester handoffs — built within ABA Formal Opinion 512.</w:t>
      </w:r>
    </w:p>
    <w:p>
      <w:pPr>
        <w:spacing w:after="80"/>
      </w:pPr>
      <w:r>
        <w:rPr>
          <w:b/>
          <w:bCs/>
          <w:color w:val="1F3864"/>
          <w:sz w:val="21"/>
          <w:szCs w:val="21"/>
        </w:rPr>
        <w:t xml:space="preserve">How to use:  </w:t>
      </w:r>
      <w:r>
        <w:rPr>
          <w:rFonts w:ascii="Consolas" w:cs="Consolas" w:eastAsia="Consolas" w:hAnsi="Consolas"/>
          <w:sz w:val="19"/>
          <w:szCs w:val="19"/>
        </w:rPr>
        <w:t xml:space="preserve">Professors: /legal-clinic:cold-start-interview, :build-guide, :supervisor-review-queue. Students: :ramp, :client-intake, :research-start, :memo, :draft, :client-letter, :status, :deadlines, :semester-handoff.</w:t>
      </w:r>
    </w:p>
    <w:p>
      <w:pPr>
        <w:spacing w:after="80"/>
      </w:pPr>
      <w:r>
        <w:rPr>
          <w:b/>
          <w:bCs/>
          <w:color w:val="1F3864"/>
          <w:sz w:val="21"/>
          <w:szCs w:val="21"/>
        </w:rPr>
        <w:t xml:space="preserve">Try this:  </w:t>
      </w:r>
      <w:r>
        <w:rPr>
          <w:rFonts w:ascii="Consolas" w:cs="Consolas" w:eastAsia="Consolas" w:hAnsi="Consolas"/>
          <w:sz w:val="19"/>
          <w:szCs w:val="19"/>
        </w:rPr>
        <w:t xml:space="preserve">/legal-clinic:client-intake — run a structured intake for a new housing matter and spot issues across practice areas.</w:t>
      </w:r>
    </w:p>
    <w:p>
      <w:pPr>
        <w:pStyle w:val="Heading1"/>
        <w:pageBreakBefore/>
      </w:pPr>
      <w:r>
        <w:t xml:space="preserve">Ecosystem</w:t>
      </w:r>
    </w:p>
    <w:p>
      <w:pPr>
        <w:spacing w:after="160"/>
      </w:pPr>
      <w:r>
        <w:rPr>
          <w:i/>
          <w:iCs/>
          <w:color w:val="595959"/>
          <w:sz w:val="21"/>
          <w:szCs w:val="21"/>
        </w:rPr>
        <w:t xml:space="preserve">Discover and install community legal skills behind a security and trust gate.</w:t>
      </w:r>
    </w:p>
    <w:p>
      <w:pPr>
        <w:pStyle w:val="Heading2"/>
        <w:spacing w:after="60" w:before="200"/>
      </w:pPr>
      <w:r>
        <w:t xml:space="preserve">legal-builder-hub</w:t>
      </w:r>
    </w:p>
    <w:p>
      <w:pPr>
        <w:spacing w:after="80"/>
      </w:pPr>
      <w:r>
        <w:rPr>
          <w:b/>
          <w:bCs/>
          <w:color w:val="1F3864"/>
          <w:sz w:val="21"/>
          <w:szCs w:val="21"/>
        </w:rPr>
        <w:t xml:space="preserve">What it does:  </w:t>
      </w:r>
      <w:r>
        <w:rPr>
          <w:sz w:val="22"/>
          <w:szCs w:val="22"/>
        </w:rPr>
        <w:t xml:space="preserve">Finds, evaluates, and installs community legal skills with a real trust layer — watched registries, a QA framework, SHA-pinned updates, a deployment-aware license gate, and a mandatory security review before anything lands in your environment.</w:t>
      </w:r>
    </w:p>
    <w:p>
      <w:pPr>
        <w:spacing w:after="80"/>
      </w:pPr>
      <w:r>
        <w:rPr>
          <w:b/>
          <w:bCs/>
          <w:color w:val="1F3864"/>
          <w:sz w:val="21"/>
          <w:szCs w:val="21"/>
        </w:rPr>
        <w:t xml:space="preserve">How to use:  </w:t>
      </w:r>
      <w:r>
        <w:rPr>
          <w:rFonts w:ascii="Consolas" w:cs="Consolas" w:eastAsia="Consolas" w:hAnsi="Consolas"/>
          <w:sz w:val="19"/>
          <w:szCs w:val="19"/>
        </w:rPr>
        <w:t xml:space="preserve">/legal-builder-hub:cold-start-interview, then :registry-browser, :skill-installer, :skills-qa, :related-skills-surfacer, :auto-updater, :disable, :uninstall. Scheduled agent: registry-sync.</w:t>
      </w:r>
    </w:p>
    <w:p>
      <w:pPr>
        <w:spacing w:after="80"/>
      </w:pPr>
      <w:r>
        <w:rPr>
          <w:b/>
          <w:bCs/>
          <w:color w:val="1F3864"/>
          <w:sz w:val="21"/>
          <w:szCs w:val="21"/>
        </w:rPr>
        <w:t xml:space="preserve">Try this:  </w:t>
      </w:r>
      <w:r>
        <w:rPr>
          <w:rFonts w:ascii="Consolas" w:cs="Consolas" w:eastAsia="Consolas" w:hAnsi="Consolas"/>
          <w:sz w:val="19"/>
          <w:szCs w:val="19"/>
        </w:rPr>
        <w:t xml:space="preserve">/legal-builder-hub:registry-browser — find community skills for trademark prosecution and run the trust check before installing anything.</w:t>
      </w:r>
    </w:p>
    <w:p>
      <w:pPr>
        <w:pStyle w:val="Heading1"/>
        <w:pageBreakBefore/>
      </w:pPr>
      <w:r>
        <w:t xml:space="preserve">Partner-built</w:t>
      </w:r>
    </w:p>
    <w:p>
      <w:pPr>
        <w:spacing w:after="160"/>
      </w:pPr>
      <w:r>
        <w:rPr>
          <w:i/>
          <w:iCs/>
          <w:color w:val="595959"/>
          <w:sz w:val="21"/>
          <w:szCs w:val="21"/>
        </w:rPr>
        <w:t xml:space="preserve">Built and supported by the vendor. Requires the vendor's subscription and connector.</w:t>
      </w:r>
    </w:p>
    <w:p>
      <w:pPr>
        <w:pStyle w:val="Heading2"/>
        <w:spacing w:after="60" w:before="200"/>
      </w:pPr>
      <w:r>
        <w:t xml:space="preserve">cocounsel-legal  (Thomson Reuters)</w:t>
      </w:r>
    </w:p>
    <w:p>
      <w:pPr>
        <w:spacing w:after="80"/>
      </w:pPr>
      <w:r>
        <w:rPr>
          <w:b/>
          <w:bCs/>
          <w:color w:val="1F3864"/>
          <w:sz w:val="21"/>
          <w:szCs w:val="21"/>
        </w:rPr>
        <w:t xml:space="preserve">What it does:  </w:t>
      </w:r>
      <w:r>
        <w:rPr>
          <w:sz w:val="22"/>
          <w:szCs w:val="22"/>
        </w:rPr>
        <w:t xml:space="preserve">Westlaw Deep Research that delivers fully cited reports — caselaw, statutes, regulations, Practical Law, and secondary sources — with inline, linked citations, across up to three U.S. jurisdictions per run. Requires a CoCounsel Legal subscription with the MCP connector enabled.</w:t>
      </w:r>
    </w:p>
    <w:p>
      <w:pPr>
        <w:spacing w:after="80"/>
      </w:pPr>
      <w:r>
        <w:rPr>
          <w:b/>
          <w:bCs/>
          <w:color w:val="1F3864"/>
          <w:sz w:val="21"/>
          <w:szCs w:val="21"/>
        </w:rPr>
        <w:t xml:space="preserve">How to use:  </w:t>
      </w:r>
      <w:r>
        <w:rPr>
          <w:rFonts w:ascii="Consolas" w:cs="Consolas" w:eastAsia="Consolas" w:hAnsi="Consolas"/>
          <w:sz w:val="19"/>
          <w:szCs w:val="19"/>
        </w:rPr>
        <w:t xml:space="preserve">/cocounsel-legal:deep-research.</w:t>
      </w:r>
    </w:p>
    <w:p>
      <w:pPr>
        <w:spacing w:after="80"/>
      </w:pPr>
      <w:r>
        <w:rPr>
          <w:b/>
          <w:bCs/>
          <w:color w:val="1F3864"/>
          <w:sz w:val="21"/>
          <w:szCs w:val="21"/>
        </w:rPr>
        <w:t xml:space="preserve">Try this:  </w:t>
      </w:r>
      <w:r>
        <w:rPr>
          <w:rFonts w:ascii="Consolas" w:cs="Consolas" w:eastAsia="Consolas" w:hAnsi="Consolas"/>
          <w:sz w:val="19"/>
          <w:szCs w:val="19"/>
        </w:rPr>
        <w:t xml:space="preserve">/cocounsel-legal:deep-research — research the enforceability of non-competes for software engineers in California, New York, and Texas.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Claude for Legal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2F3" w:sz="4" w:space="4"/>
      </w:pBdr>
      <w:spacing w:after="14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6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2026-05-21T20:48:24.569Z</dcterms:created>
  <dcterms:modified xsi:type="dcterms:W3CDTF">2026-05-21T20:48:24.569Z</dcterms:modified>
</cp:coreProperties>
</file>

<file path=docProps/custom.xml><?xml version="1.0" encoding="utf-8"?>
<Properties xmlns="http://schemas.openxmlformats.org/officeDocument/2006/custom-properties" xmlns:vt="http://schemas.openxmlformats.org/officeDocument/2006/docPropsVTypes"/>
</file>