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77C38"/>
    <w:p w14:paraId="0E80EEB9"/>
    <w:p w14:paraId="578586C2">
      <w:pPr>
        <w:jc w:val="center"/>
      </w:pPr>
      <w:r>
        <w:rPr>
          <w:rFonts w:ascii="宋体" w:hAnsi="宋体" w:eastAsia="宋体"/>
          <w:b/>
          <w:sz w:val="52"/>
        </w:rPr>
        <w:t>A股反转增强策略</w:t>
      </w:r>
    </w:p>
    <w:p w14:paraId="5D2B8045">
      <w:pPr>
        <w:jc w:val="center"/>
      </w:pPr>
      <w:r>
        <w:rPr>
          <w:rFonts w:ascii="宋体" w:hAnsi="宋体" w:eastAsia="宋体"/>
          <w:b/>
          <w:sz w:val="40"/>
        </w:rPr>
        <w:t>策略总结与优化历程</w:t>
      </w:r>
    </w:p>
    <w:p w14:paraId="19DB90E8"/>
    <w:p w14:paraId="7C56F286">
      <w:pPr>
        <w:jc w:val="center"/>
      </w:pPr>
      <w:r>
        <w:rPr>
          <w:rFonts w:ascii="宋体" w:hAnsi="宋体" w:eastAsia="宋体"/>
          <w:b w:val="0"/>
          <w:sz w:val="28"/>
        </w:rPr>
        <w:t>回测区间：2005年1月 — 2025年12月（252个月）</w:t>
      </w:r>
    </w:p>
    <w:p w14:paraId="621CA71B">
      <w:pPr>
        <w:jc w:val="center"/>
      </w:pPr>
      <w:r>
        <w:rPr>
          <w:rFonts w:ascii="宋体" w:hAnsi="宋体" w:eastAsia="宋体"/>
          <w:b w:val="0"/>
          <w:sz w:val="28"/>
        </w:rPr>
        <w:t>定稿日期：2026年6月14日</w:t>
      </w:r>
    </w:p>
    <w:p w14:paraId="4F482913">
      <w:r>
        <w:br w:type="page"/>
      </w:r>
    </w:p>
    <w:p w14:paraId="7B2AE667">
      <w:pPr>
        <w:pStyle w:val="3"/>
      </w:pPr>
      <w:r>
        <w:t>目录</w:t>
      </w:r>
    </w:p>
    <w:p w14:paraId="5534517A">
      <w:r>
        <w:rPr>
          <w:rFonts w:ascii="宋体" w:hAnsi="宋体" w:eastAsia="宋体"/>
          <w:b w:val="0"/>
          <w:sz w:val="22"/>
        </w:rPr>
        <w:t>第一部分：策略总结</w:t>
      </w:r>
    </w:p>
    <w:p w14:paraId="42B1D10C">
      <w:r>
        <w:rPr>
          <w:rFonts w:ascii="宋体" w:hAnsi="宋体" w:eastAsia="宋体"/>
          <w:b w:val="0"/>
          <w:sz w:val="22"/>
        </w:rPr>
        <w:t xml:space="preserve">  1.1 策略概述</w:t>
      </w:r>
    </w:p>
    <w:p w14:paraId="3CDE8DF7">
      <w:r>
        <w:rPr>
          <w:rFonts w:ascii="宋体" w:hAnsi="宋体" w:eastAsia="宋体"/>
          <w:b w:val="0"/>
          <w:sz w:val="22"/>
        </w:rPr>
        <w:t xml:space="preserve">  1.2 核心逻辑</w:t>
      </w:r>
    </w:p>
    <w:p w14:paraId="70C0D325">
      <w:r>
        <w:rPr>
          <w:rFonts w:ascii="宋体" w:hAnsi="宋体" w:eastAsia="宋体"/>
          <w:b w:val="0"/>
          <w:sz w:val="22"/>
        </w:rPr>
        <w:t xml:space="preserve">  1.3 最终配置</w:t>
      </w:r>
    </w:p>
    <w:p w14:paraId="1D8685C3">
      <w:r>
        <w:rPr>
          <w:rFonts w:ascii="宋体" w:hAnsi="宋体" w:eastAsia="宋体"/>
          <w:b w:val="0"/>
          <w:sz w:val="22"/>
        </w:rPr>
        <w:t xml:space="preserve">  1.4 回测表现</w:t>
      </w:r>
    </w:p>
    <w:p w14:paraId="598D6DE6">
      <w:r>
        <w:rPr>
          <w:rFonts w:ascii="宋体" w:hAnsi="宋体" w:eastAsia="宋体"/>
          <w:b w:val="0"/>
          <w:sz w:val="22"/>
        </w:rPr>
        <w:t xml:space="preserve">  1.5 归因分析</w:t>
      </w:r>
    </w:p>
    <w:p w14:paraId="3005926E">
      <w:r>
        <w:rPr>
          <w:rFonts w:ascii="宋体" w:hAnsi="宋体" w:eastAsia="宋体"/>
          <w:b w:val="0"/>
          <w:sz w:val="22"/>
        </w:rPr>
        <w:t xml:space="preserve">  1.6 与市场策略对比</w:t>
      </w:r>
    </w:p>
    <w:p w14:paraId="44A046FB">
      <w:r>
        <w:rPr>
          <w:rFonts w:ascii="宋体" w:hAnsi="宋体" w:eastAsia="宋体"/>
          <w:b w:val="0"/>
          <w:sz w:val="22"/>
        </w:rPr>
        <w:t>第二部分：优化历程</w:t>
      </w:r>
    </w:p>
    <w:p w14:paraId="74CBA04C">
      <w:r>
        <w:rPr>
          <w:rFonts w:ascii="宋体" w:hAnsi="宋体" w:eastAsia="宋体"/>
          <w:b w:val="0"/>
          <w:sz w:val="22"/>
        </w:rPr>
        <w:t xml:space="preserve">  2.1 基础策略探索</w:t>
      </w:r>
    </w:p>
    <w:p w14:paraId="70FD11C0">
      <w:r>
        <w:rPr>
          <w:rFonts w:ascii="宋体" w:hAnsi="宋体" w:eastAsia="宋体"/>
          <w:b w:val="0"/>
          <w:sz w:val="22"/>
        </w:rPr>
        <w:t xml:space="preserve">  2.2 基准策略确立</w:t>
      </w:r>
    </w:p>
    <w:p w14:paraId="2FA130DF">
      <w:r>
        <w:rPr>
          <w:rFonts w:ascii="宋体" w:hAnsi="宋体" w:eastAsia="宋体"/>
          <w:b w:val="0"/>
          <w:sz w:val="22"/>
        </w:rPr>
        <w:t xml:space="preserve">  2.3 信号增强类优化</w:t>
      </w:r>
    </w:p>
    <w:p w14:paraId="40158C41">
      <w:r>
        <w:rPr>
          <w:rFonts w:ascii="宋体" w:hAnsi="宋体" w:eastAsia="宋体"/>
          <w:b w:val="0"/>
          <w:sz w:val="22"/>
        </w:rPr>
        <w:t xml:space="preserve">  2.4 风控与回撤控制类优化</w:t>
      </w:r>
    </w:p>
    <w:p w14:paraId="09CEA0BA">
      <w:r>
        <w:rPr>
          <w:rFonts w:ascii="宋体" w:hAnsi="宋体" w:eastAsia="宋体"/>
          <w:b w:val="0"/>
          <w:sz w:val="22"/>
        </w:rPr>
        <w:t xml:space="preserve">  2.5 组合构建类优化</w:t>
      </w:r>
    </w:p>
    <w:p w14:paraId="020DE85E">
      <w:r>
        <w:rPr>
          <w:rFonts w:ascii="宋体" w:hAnsi="宋体" w:eastAsia="宋体"/>
          <w:b w:val="0"/>
          <w:sz w:val="22"/>
        </w:rPr>
        <w:t xml:space="preserve">  2.6 成本与换手率控制类优化</w:t>
      </w:r>
    </w:p>
    <w:p w14:paraId="15E00EA1">
      <w:r>
        <w:rPr>
          <w:rFonts w:ascii="宋体" w:hAnsi="宋体" w:eastAsia="宋体"/>
          <w:b w:val="0"/>
          <w:sz w:val="22"/>
        </w:rPr>
        <w:t xml:space="preserve">  2.7 实战可行性类优化</w:t>
      </w:r>
    </w:p>
    <w:p w14:paraId="3A265E08">
      <w:r>
        <w:rPr>
          <w:rFonts w:ascii="宋体" w:hAnsi="宋体" w:eastAsia="宋体"/>
          <w:b w:val="0"/>
          <w:sz w:val="22"/>
        </w:rPr>
        <w:t xml:space="preserve">  2.8 最终集成与归因</w:t>
      </w:r>
    </w:p>
    <w:p w14:paraId="7F0A1F78">
      <w:r>
        <w:rPr>
          <w:rFonts w:ascii="宋体" w:hAnsi="宋体" w:eastAsia="宋体"/>
          <w:b w:val="0"/>
          <w:sz w:val="22"/>
        </w:rPr>
        <w:t>第三部分：成功与失败方向总结</w:t>
      </w:r>
    </w:p>
    <w:p w14:paraId="206C8E21">
      <w:r>
        <w:rPr>
          <w:rFonts w:ascii="宋体" w:hAnsi="宋体" w:eastAsia="宋体"/>
          <w:b w:val="0"/>
          <w:sz w:val="22"/>
        </w:rPr>
        <w:t xml:space="preserve">  3.1 成功方向汇总</w:t>
      </w:r>
    </w:p>
    <w:p w14:paraId="7162746E">
      <w:r>
        <w:rPr>
          <w:rFonts w:ascii="宋体" w:hAnsi="宋体" w:eastAsia="宋体"/>
          <w:b w:val="0"/>
          <w:sz w:val="22"/>
        </w:rPr>
        <w:t xml:space="preserve">  3.2 失败方向汇总</w:t>
      </w:r>
    </w:p>
    <w:p w14:paraId="120C15BF">
      <w:r>
        <w:rPr>
          <w:rFonts w:ascii="宋体" w:hAnsi="宋体" w:eastAsia="宋体"/>
          <w:b w:val="0"/>
          <w:sz w:val="22"/>
        </w:rPr>
        <w:t xml:space="preserve">  3.3 策略设计原则</w:t>
      </w:r>
    </w:p>
    <w:p w14:paraId="6087FB7E">
      <w:r>
        <w:br w:type="page"/>
      </w:r>
    </w:p>
    <w:p w14:paraId="5FF48F14">
      <w:pPr>
        <w:pStyle w:val="3"/>
      </w:pPr>
      <w:r>
        <w:t>第一部分：策略总结</w:t>
      </w:r>
    </w:p>
    <w:p w14:paraId="75EAAC92">
      <w:pPr>
        <w:pStyle w:val="4"/>
      </w:pPr>
      <w:r>
        <w:t>1.1 策略概述</w:t>
      </w:r>
    </w:p>
    <w:p w14:paraId="3445A920">
      <w:r>
        <w:rPr>
          <w:rFonts w:ascii="宋体" w:hAnsi="宋体" w:eastAsia="宋体"/>
          <w:b w:val="0"/>
          <w:sz w:val="22"/>
        </w:rPr>
        <w:t>本策略是一个A股多头组合策略，核心逻辑为"做多近期跌幅最大+长期收益稳健的股票，市场下行时降仓"。策略通过反转因子捕捉过度反应后的均值回归，通过价值因子降低换手率并提供长期信号，通过MA市场过滤器规避熊市暴露，通过波动率目标控制组合风险。</w:t>
      </w:r>
    </w:p>
    <w:p w14:paraId="361820F4">
      <w:r>
        <w:rPr>
          <w:rFonts w:ascii="宋体" w:hAnsi="宋体" w:eastAsia="宋体"/>
          <w:b w:val="0"/>
          <w:sz w:val="22"/>
        </w:rPr>
        <w:t>策略经历了从纯反转（夏普0.35）到反转+价值组合（0.65），再到加入风控体系（1.04），最终集成MA6替代与信号阈值优化（1.22）的完整迭代过程。CH-3因子归因确认策略年化Alpha为14.58%（t=5.02），60%的收益来自真正的选股能力而非风格暴露。策略净夏普比率1.16（扣20bps交易成本后），显著优于A股反转学术策略基准（0.5-0.8）。</w:t>
      </w:r>
    </w:p>
    <w:p w14:paraId="536D02DB">
      <w:pPr>
        <w:pStyle w:val="4"/>
      </w:pPr>
      <w:r>
        <w:t>1.2 核心逻辑</w:t>
      </w:r>
    </w:p>
    <w:p w14:paraId="5539EDFF">
      <w:r>
        <w:rPr>
          <w:rFonts w:ascii="宋体" w:hAnsi="宋体" w:eastAsia="宋体"/>
          <w:b w:val="0"/>
          <w:sz w:val="22"/>
        </w:rPr>
        <w:t>反转因子（权重60%）：利用过去6个月累积收益的负值作为信号，捕捉投资者过度反应后的均值回归。跌幅越大的股票，预期反转收益越高。K=6是性价比最优的形成期——K=2夏普更高（0.92）但换手率高达947%，K=6换手率仅704%且夏普0.88。</w:t>
      </w:r>
    </w:p>
    <w:p w14:paraId="0AB2A461">
      <w:r>
        <w:rPr>
          <w:rFonts w:ascii="宋体" w:hAnsi="宋体" w:eastAsia="宋体"/>
          <w:b w:val="0"/>
          <w:sz w:val="22"/>
        </w:rPr>
        <w:t>价值因子（权重40%）：从价值因子数据文件加载，捕捉长期稳健公司的均值回归信号。价值因子的主要作用是降低换手率14%（604% vs 704%），而非直接提升夏普。Fama-MacBeth截面回归确认价值因子与反转交互项显著为正（t=3.30），验证了"长期表现好的股票反转更强"的假说——价值因子本质上是反转效应的横截面调节器。</w:t>
      </w:r>
    </w:p>
    <w:p w14:paraId="5AE3D3B1">
      <w:r>
        <w:rPr>
          <w:rFonts w:ascii="宋体" w:hAnsi="宋体" w:eastAsia="宋体"/>
          <w:b w:val="0"/>
          <w:sz w:val="22"/>
        </w:rPr>
        <w:t>MA市场过滤器：当全市场指数低于6月均线时降仓至50%，均线斜率向下时降仓至30%。这是所有优化中贡献最大的模块（夏普+0.33）。MA过滤器的核心价值是降低β_MKT（0.594→0.301），而非识别反转失效期——反转因子在所有市场状态下均有正收益，崩溃80%发生在牛市。</w:t>
      </w:r>
    </w:p>
    <w:p w14:paraId="058A15B5">
      <w:pPr>
        <w:pStyle w:val="4"/>
      </w:pPr>
      <w:r>
        <w:t>1.3 最终配置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1FE5B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30D7D08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2880" w:type="dxa"/>
          </w:tcPr>
          <w:p w14:paraId="48C8F80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2880" w:type="dxa"/>
          </w:tcPr>
          <w:p w14:paraId="34865B2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292467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79617BF9">
            <w:pPr>
              <w:spacing w:after="0" w:line="240" w:lineRule="auto"/>
              <w:jc w:val="center"/>
            </w:pPr>
            <w:r>
              <w:rPr>
                <w:sz w:val="18"/>
              </w:rPr>
              <w:t>信号构建</w:t>
            </w:r>
          </w:p>
        </w:tc>
        <w:tc>
          <w:tcPr>
            <w:tcW w:w="2880" w:type="dxa"/>
          </w:tcPr>
          <w:p w14:paraId="3ED4E35E">
            <w:pPr>
              <w:spacing w:after="0" w:line="240" w:lineRule="auto"/>
              <w:jc w:val="center"/>
            </w:pPr>
            <w:r>
              <w:rPr>
                <w:sz w:val="18"/>
              </w:rPr>
              <w:t>反转60% + 价值40%</w:t>
            </w:r>
          </w:p>
        </w:tc>
        <w:tc>
          <w:tcPr>
            <w:tcW w:w="2880" w:type="dxa"/>
          </w:tcPr>
          <w:p w14:paraId="64901BF2">
            <w:pPr>
              <w:spacing w:after="0" w:line="240" w:lineRule="auto"/>
              <w:jc w:val="center"/>
            </w:pPr>
            <w:r>
              <w:rPr>
                <w:sz w:val="18"/>
              </w:rPr>
              <w:t>Winsorize 1%/99%标准化</w:t>
            </w:r>
          </w:p>
        </w:tc>
      </w:tr>
      <w:tr w14:paraId="54C42B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2C04ED29">
            <w:pPr>
              <w:spacing w:after="0" w:line="240" w:lineRule="auto"/>
              <w:jc w:val="center"/>
            </w:pPr>
            <w:r>
              <w:rPr>
                <w:sz w:val="18"/>
              </w:rPr>
              <w:t>反转因子</w:t>
            </w:r>
          </w:p>
        </w:tc>
        <w:tc>
          <w:tcPr>
            <w:tcW w:w="2880" w:type="dxa"/>
          </w:tcPr>
          <w:p w14:paraId="379E8639">
            <w:pPr>
              <w:spacing w:after="0" w:line="240" w:lineRule="auto"/>
              <w:jc w:val="center"/>
            </w:pPr>
            <w:r>
              <w:rPr>
                <w:sz w:val="18"/>
              </w:rPr>
              <w:t>K=6个月</w:t>
            </w:r>
          </w:p>
        </w:tc>
        <w:tc>
          <w:tcPr>
            <w:tcW w:w="2880" w:type="dxa"/>
          </w:tcPr>
          <w:p w14:paraId="657640EC">
            <w:pPr>
              <w:spacing w:after="0" w:line="240" w:lineRule="auto"/>
              <w:jc w:val="center"/>
            </w:pPr>
            <w:r>
              <w:rPr>
                <w:sz w:val="18"/>
              </w:rPr>
              <w:t>-Σ(过去6个月月度收益)</w:t>
            </w:r>
          </w:p>
        </w:tc>
      </w:tr>
      <w:tr w14:paraId="2991FA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12669CF7">
            <w:pPr>
              <w:spacing w:after="0" w:line="240" w:lineRule="auto"/>
              <w:jc w:val="center"/>
            </w:pPr>
            <w:r>
              <w:rPr>
                <w:sz w:val="18"/>
              </w:rPr>
              <w:t>选股规则</w:t>
            </w:r>
          </w:p>
        </w:tc>
        <w:tc>
          <w:tcPr>
            <w:tcW w:w="2880" w:type="dxa"/>
          </w:tcPr>
          <w:p w14:paraId="06AFE5FB">
            <w:pPr>
              <w:spacing w:after="0" w:line="240" w:lineRule="auto"/>
              <w:jc w:val="center"/>
            </w:pPr>
            <w:r>
              <w:rPr>
                <w:sz w:val="18"/>
              </w:rPr>
              <w:t>信号阈值&gt;85%</w:t>
            </w:r>
          </w:p>
        </w:tc>
        <w:tc>
          <w:tcPr>
            <w:tcW w:w="2880" w:type="dxa"/>
          </w:tcPr>
          <w:p w14:paraId="1470601F">
            <w:pPr>
              <w:spacing w:after="0" w:line="240" w:lineRule="auto"/>
              <w:jc w:val="center"/>
            </w:pPr>
            <w:r>
              <w:rPr>
                <w:sz w:val="18"/>
              </w:rPr>
              <w:t>动态选股，信号集中时多选</w:t>
            </w:r>
          </w:p>
        </w:tc>
      </w:tr>
      <w:tr w14:paraId="41C1DE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327DC1DA">
            <w:pPr>
              <w:spacing w:after="0" w:line="240" w:lineRule="auto"/>
              <w:jc w:val="center"/>
            </w:pPr>
            <w:r>
              <w:rPr>
                <w:sz w:val="18"/>
              </w:rPr>
              <w:t>权重方案</w:t>
            </w:r>
          </w:p>
        </w:tc>
        <w:tc>
          <w:tcPr>
            <w:tcW w:w="2880" w:type="dxa"/>
          </w:tcPr>
          <w:p w14:paraId="2CD8891D">
            <w:pPr>
              <w:spacing w:after="0" w:line="240" w:lineRule="auto"/>
              <w:jc w:val="center"/>
            </w:pPr>
            <w:r>
              <w:rPr>
                <w:sz w:val="18"/>
              </w:rPr>
              <w:t>1/σ²最小方差</w:t>
            </w:r>
          </w:p>
        </w:tc>
        <w:tc>
          <w:tcPr>
            <w:tcW w:w="2880" w:type="dxa"/>
          </w:tcPr>
          <w:p w14:paraId="5CEB2D60">
            <w:pPr>
              <w:spacing w:after="0" w:line="240" w:lineRule="auto"/>
              <w:jc w:val="center"/>
            </w:pPr>
            <w:r>
              <w:rPr>
                <w:sz w:val="18"/>
              </w:rPr>
              <w:t>低波动股票权重更大</w:t>
            </w:r>
          </w:p>
        </w:tc>
      </w:tr>
      <w:tr w14:paraId="14C504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0403C436">
            <w:pPr>
              <w:spacing w:after="0" w:line="240" w:lineRule="auto"/>
              <w:jc w:val="center"/>
            </w:pPr>
            <w:r>
              <w:rPr>
                <w:sz w:val="18"/>
              </w:rPr>
              <w:t>持仓延续</w:t>
            </w:r>
          </w:p>
        </w:tc>
        <w:tc>
          <w:tcPr>
            <w:tcW w:w="2880" w:type="dxa"/>
          </w:tcPr>
          <w:p w14:paraId="3FE746FE">
            <w:pPr>
              <w:spacing w:after="0" w:line="240" w:lineRule="auto"/>
              <w:jc w:val="center"/>
            </w:pPr>
            <w:r>
              <w:rPr>
                <w:sz w:val="18"/>
              </w:rPr>
              <w:t>buffer=80</w:t>
            </w:r>
          </w:p>
        </w:tc>
        <w:tc>
          <w:tcPr>
            <w:tcW w:w="2880" w:type="dxa"/>
          </w:tcPr>
          <w:p w14:paraId="58675BA5">
            <w:pPr>
              <w:spacing w:after="0" w:line="240" w:lineRule="auto"/>
              <w:jc w:val="center"/>
            </w:pPr>
            <w:r>
              <w:rPr>
                <w:sz w:val="18"/>
              </w:rPr>
              <w:t>上月持仓仍在Top180的保留</w:t>
            </w:r>
          </w:p>
        </w:tc>
      </w:tr>
      <w:tr w14:paraId="06696F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3A899DC6">
            <w:pPr>
              <w:spacing w:after="0" w:line="240" w:lineRule="auto"/>
              <w:jc w:val="center"/>
            </w:pPr>
            <w:r>
              <w:rPr>
                <w:sz w:val="18"/>
              </w:rPr>
              <w:t>MA过滤</w:t>
            </w:r>
          </w:p>
        </w:tc>
        <w:tc>
          <w:tcPr>
            <w:tcW w:w="2880" w:type="dxa"/>
          </w:tcPr>
          <w:p w14:paraId="67F82506">
            <w:pPr>
              <w:spacing w:after="0" w:line="240" w:lineRule="auto"/>
              <w:jc w:val="center"/>
            </w:pPr>
            <w:r>
              <w:rPr>
                <w:sz w:val="18"/>
              </w:rPr>
              <w:t>MA6</w:t>
            </w:r>
          </w:p>
        </w:tc>
        <w:tc>
          <w:tcPr>
            <w:tcW w:w="2880" w:type="dxa"/>
          </w:tcPr>
          <w:p w14:paraId="58E8B786">
            <w:pPr>
              <w:spacing w:after="0" w:line="240" w:lineRule="auto"/>
              <w:jc w:val="center"/>
            </w:pPr>
            <w:r>
              <w:rPr>
                <w:sz w:val="18"/>
              </w:rPr>
              <w:t>短周期更敏感，优于MA12</w:t>
            </w:r>
          </w:p>
        </w:tc>
      </w:tr>
      <w:tr w14:paraId="4EF168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59201E2F">
            <w:pPr>
              <w:spacing w:after="0" w:line="240" w:lineRule="auto"/>
              <w:jc w:val="center"/>
            </w:pPr>
            <w:r>
              <w:rPr>
                <w:sz w:val="18"/>
              </w:rPr>
              <w:t>波动率目标</w:t>
            </w:r>
          </w:p>
        </w:tc>
        <w:tc>
          <w:tcPr>
            <w:tcW w:w="2880" w:type="dxa"/>
          </w:tcPr>
          <w:p w14:paraId="178663C5">
            <w:pPr>
              <w:spacing w:after="0" w:line="240" w:lineRule="auto"/>
              <w:jc w:val="center"/>
            </w:pPr>
            <w:r>
              <w:rPr>
                <w:sz w:val="18"/>
              </w:rPr>
              <w:t>VT=12%</w:t>
            </w:r>
          </w:p>
        </w:tc>
        <w:tc>
          <w:tcPr>
            <w:tcW w:w="2880" w:type="dxa"/>
          </w:tcPr>
          <w:p w14:paraId="6577A5FA">
            <w:pPr>
              <w:spacing w:after="0" w:line="240" w:lineRule="auto"/>
              <w:jc w:val="center"/>
            </w:pPr>
            <w:r>
              <w:rPr>
                <w:sz w:val="18"/>
              </w:rPr>
              <w:t>24个月回看窗口</w:t>
            </w:r>
          </w:p>
        </w:tc>
      </w:tr>
      <w:tr w14:paraId="4A87B0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652AC56F">
            <w:pPr>
              <w:spacing w:after="0" w:line="240" w:lineRule="auto"/>
              <w:jc w:val="center"/>
            </w:pPr>
            <w:r>
              <w:rPr>
                <w:sz w:val="18"/>
              </w:rPr>
              <w:t>可交易性过滤</w:t>
            </w:r>
          </w:p>
        </w:tc>
        <w:tc>
          <w:tcPr>
            <w:tcW w:w="2880" w:type="dxa"/>
          </w:tcPr>
          <w:p w14:paraId="18120429">
            <w:pPr>
              <w:spacing w:after="0" w:line="240" w:lineRule="auto"/>
              <w:jc w:val="center"/>
            </w:pPr>
            <w:r>
              <w:rPr>
                <w:sz w:val="18"/>
              </w:rPr>
              <w:t>剔除次新股+停牌股</w:t>
            </w:r>
          </w:p>
        </w:tc>
        <w:tc>
          <w:tcPr>
            <w:tcW w:w="2880" w:type="dxa"/>
          </w:tcPr>
          <w:p w14:paraId="4693D1EF">
            <w:pPr>
              <w:spacing w:after="0" w:line="240" w:lineRule="auto"/>
              <w:jc w:val="center"/>
            </w:pPr>
            <w:r>
              <w:rPr>
                <w:sz w:val="18"/>
              </w:rPr>
              <w:t>降低噪音，波动率降2%</w:t>
            </w:r>
          </w:p>
        </w:tc>
      </w:tr>
      <w:tr w14:paraId="73EB91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292E809B">
            <w:pPr>
              <w:spacing w:after="0" w:line="240" w:lineRule="auto"/>
              <w:jc w:val="center"/>
            </w:pPr>
            <w:r>
              <w:rPr>
                <w:sz w:val="18"/>
              </w:rPr>
              <w:t>时间止损</w:t>
            </w:r>
          </w:p>
        </w:tc>
        <w:tc>
          <w:tcPr>
            <w:tcW w:w="2880" w:type="dxa"/>
          </w:tcPr>
          <w:p w14:paraId="26198A34">
            <w:pPr>
              <w:spacing w:after="0" w:line="240" w:lineRule="auto"/>
              <w:jc w:val="center"/>
            </w:pPr>
            <w:r>
              <w:rPr>
                <w:sz w:val="18"/>
              </w:rPr>
              <w:t>3月跑输渐进降仓</w:t>
            </w:r>
          </w:p>
        </w:tc>
        <w:tc>
          <w:tcPr>
            <w:tcW w:w="2880" w:type="dxa"/>
          </w:tcPr>
          <w:p w14:paraId="59DF4B5C">
            <w:pPr>
              <w:spacing w:after="0" w:line="240" w:lineRule="auto"/>
              <w:jc w:val="center"/>
            </w:pPr>
            <w:r>
              <w:rPr>
                <w:sz w:val="18"/>
              </w:rPr>
              <w:t>3月→50%，4月→30%</w:t>
            </w:r>
          </w:p>
        </w:tc>
      </w:tr>
      <w:tr w14:paraId="548073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581C8910">
            <w:pPr>
              <w:spacing w:after="0" w:line="240" w:lineRule="auto"/>
              <w:jc w:val="center"/>
            </w:pPr>
            <w:r>
              <w:rPr>
                <w:sz w:val="18"/>
              </w:rPr>
              <w:t>交易成本</w:t>
            </w:r>
          </w:p>
        </w:tc>
        <w:tc>
          <w:tcPr>
            <w:tcW w:w="2880" w:type="dxa"/>
          </w:tcPr>
          <w:p w14:paraId="5D847D90">
            <w:pPr>
              <w:spacing w:after="0" w:line="240" w:lineRule="auto"/>
              <w:jc w:val="center"/>
            </w:pPr>
            <w:r>
              <w:rPr>
                <w:sz w:val="18"/>
              </w:rPr>
              <w:t>20bps双边</w:t>
            </w:r>
          </w:p>
        </w:tc>
        <w:tc>
          <w:tcPr>
            <w:tcW w:w="2880" w:type="dxa"/>
          </w:tcPr>
          <w:p w14:paraId="45B45C76">
            <w:pPr>
              <w:spacing w:after="0" w:line="240" w:lineRule="auto"/>
              <w:jc w:val="center"/>
            </w:pPr>
            <w:r>
              <w:rPr>
                <w:sz w:val="18"/>
              </w:rPr>
              <w:t>佣金+印花税+冲击</w:t>
            </w:r>
          </w:p>
        </w:tc>
      </w:tr>
    </w:tbl>
    <w:p w14:paraId="014B95BD">
      <w:pPr>
        <w:pStyle w:val="4"/>
      </w:pPr>
      <w:r>
        <w:t>1.4 回测表现</w:t>
      </w:r>
    </w:p>
    <w:p w14:paraId="46526FAB">
      <w:r>
        <w:rPr>
          <w:rFonts w:ascii="宋体" w:hAnsi="宋体" w:eastAsia="宋体"/>
          <w:b/>
          <w:sz w:val="22"/>
        </w:rPr>
        <w:t>全样本表现（2005-2025，252个月）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8CF50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73662B3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2880" w:type="dxa"/>
          </w:tcPr>
          <w:p w14:paraId="0365EDF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毛收益</w:t>
            </w:r>
          </w:p>
        </w:tc>
        <w:tc>
          <w:tcPr>
            <w:tcW w:w="2880" w:type="dxa"/>
          </w:tcPr>
          <w:p w14:paraId="1629CB5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净收益(@20bps)</w:t>
            </w:r>
          </w:p>
        </w:tc>
      </w:tr>
      <w:tr w14:paraId="287B03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20A7A3AB">
            <w:pPr>
              <w:spacing w:after="0" w:line="240" w:lineRule="auto"/>
              <w:jc w:val="center"/>
            </w:pPr>
            <w:r>
              <w:rPr>
                <w:sz w:val="18"/>
              </w:rPr>
              <w:t>年化收益</w:t>
            </w:r>
          </w:p>
        </w:tc>
        <w:tc>
          <w:tcPr>
            <w:tcW w:w="2880" w:type="dxa"/>
          </w:tcPr>
          <w:p w14:paraId="791B60C8">
            <w:pPr>
              <w:spacing w:after="0" w:line="240" w:lineRule="auto"/>
              <w:jc w:val="center"/>
            </w:pPr>
            <w:r>
              <w:rPr>
                <w:sz w:val="18"/>
              </w:rPr>
              <w:t>23.60%</w:t>
            </w:r>
          </w:p>
        </w:tc>
        <w:tc>
          <w:tcPr>
            <w:tcW w:w="2880" w:type="dxa"/>
          </w:tcPr>
          <w:p w14:paraId="2F9CEF86">
            <w:pPr>
              <w:spacing w:after="0" w:line="240" w:lineRule="auto"/>
              <w:jc w:val="center"/>
            </w:pPr>
            <w:r>
              <w:rPr>
                <w:sz w:val="18"/>
              </w:rPr>
              <w:t>22.15%</w:t>
            </w:r>
          </w:p>
        </w:tc>
      </w:tr>
      <w:tr w14:paraId="48791D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7747D73C">
            <w:pPr>
              <w:spacing w:after="0" w:line="240" w:lineRule="auto"/>
              <w:jc w:val="center"/>
            </w:pPr>
            <w:r>
              <w:rPr>
                <w:sz w:val="18"/>
              </w:rPr>
              <w:t>夏普比率</w:t>
            </w:r>
          </w:p>
        </w:tc>
        <w:tc>
          <w:tcPr>
            <w:tcW w:w="2880" w:type="dxa"/>
          </w:tcPr>
          <w:p w14:paraId="3EAD7EB5">
            <w:pPr>
              <w:spacing w:after="0" w:line="240" w:lineRule="auto"/>
              <w:jc w:val="center"/>
            </w:pPr>
            <w:r>
              <w:rPr>
                <w:sz w:val="18"/>
              </w:rPr>
              <w:t>1.22</w:t>
            </w:r>
          </w:p>
        </w:tc>
        <w:tc>
          <w:tcPr>
            <w:tcW w:w="2880" w:type="dxa"/>
          </w:tcPr>
          <w:p w14:paraId="156C2712">
            <w:pPr>
              <w:spacing w:after="0" w:line="240" w:lineRule="auto"/>
              <w:jc w:val="center"/>
            </w:pPr>
            <w:r>
              <w:rPr>
                <w:sz w:val="18"/>
              </w:rPr>
              <w:t>1.16</w:t>
            </w:r>
          </w:p>
        </w:tc>
      </w:tr>
      <w:tr w14:paraId="1CD105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17293F87">
            <w:pPr>
              <w:spacing w:after="0" w:line="240" w:lineRule="auto"/>
              <w:jc w:val="center"/>
            </w:pPr>
            <w:r>
              <w:rPr>
                <w:sz w:val="18"/>
              </w:rPr>
              <w:t>最大回撤</w:t>
            </w:r>
          </w:p>
        </w:tc>
        <w:tc>
          <w:tcPr>
            <w:tcW w:w="2880" w:type="dxa"/>
          </w:tcPr>
          <w:p w14:paraId="669D8571">
            <w:pPr>
              <w:spacing w:after="0" w:line="240" w:lineRule="auto"/>
              <w:jc w:val="center"/>
            </w:pPr>
            <w:r>
              <w:rPr>
                <w:sz w:val="18"/>
              </w:rPr>
              <w:t>-15.54%</w:t>
            </w:r>
          </w:p>
        </w:tc>
        <w:tc>
          <w:tcPr>
            <w:tcW w:w="2880" w:type="dxa"/>
          </w:tcPr>
          <w:p w14:paraId="0DBFC900">
            <w:pPr>
              <w:spacing w:after="0" w:line="240" w:lineRule="auto"/>
              <w:jc w:val="center"/>
            </w:pPr>
            <w:r>
              <w:rPr>
                <w:sz w:val="18"/>
              </w:rPr>
              <w:t>-16.60%</w:t>
            </w:r>
          </w:p>
        </w:tc>
      </w:tr>
      <w:tr w14:paraId="3240FD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2483BD0F">
            <w:pPr>
              <w:spacing w:after="0" w:line="240" w:lineRule="auto"/>
              <w:jc w:val="center"/>
            </w:pPr>
            <w:r>
              <w:rPr>
                <w:sz w:val="18"/>
              </w:rPr>
              <w:t>年化波动率</w:t>
            </w:r>
          </w:p>
        </w:tc>
        <w:tc>
          <w:tcPr>
            <w:tcW w:w="2880" w:type="dxa"/>
          </w:tcPr>
          <w:p w14:paraId="7EA9006E">
            <w:pPr>
              <w:spacing w:after="0" w:line="240" w:lineRule="auto"/>
              <w:jc w:val="center"/>
            </w:pPr>
            <w:r>
              <w:rPr>
                <w:sz w:val="18"/>
              </w:rPr>
              <w:t>16.79%</w:t>
            </w:r>
          </w:p>
        </w:tc>
        <w:tc>
          <w:tcPr>
            <w:tcW w:w="2880" w:type="dxa"/>
          </w:tcPr>
          <w:p w14:paraId="23E83861">
            <w:pPr>
              <w:spacing w:after="0" w:line="240" w:lineRule="auto"/>
              <w:jc w:val="center"/>
            </w:pPr>
            <w:r>
              <w:rPr>
                <w:sz w:val="18"/>
              </w:rPr>
              <w:t>16.79%</w:t>
            </w:r>
          </w:p>
        </w:tc>
      </w:tr>
      <w:tr w14:paraId="4C6DD1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7FBDF7C4">
            <w:pPr>
              <w:spacing w:after="0" w:line="240" w:lineRule="auto"/>
              <w:jc w:val="center"/>
            </w:pPr>
            <w:r>
              <w:rPr>
                <w:sz w:val="18"/>
              </w:rPr>
              <w:t>年化换手率</w:t>
            </w:r>
          </w:p>
        </w:tc>
        <w:tc>
          <w:tcPr>
            <w:tcW w:w="2880" w:type="dxa"/>
          </w:tcPr>
          <w:p w14:paraId="4F461D56">
            <w:pPr>
              <w:spacing w:after="0" w:line="240" w:lineRule="auto"/>
              <w:jc w:val="center"/>
            </w:pPr>
            <w:r>
              <w:rPr>
                <w:sz w:val="18"/>
              </w:rPr>
              <w:t>599%</w:t>
            </w:r>
          </w:p>
        </w:tc>
        <w:tc>
          <w:tcPr>
            <w:tcW w:w="2880" w:type="dxa"/>
          </w:tcPr>
          <w:p w14:paraId="1774DB6B">
            <w:pPr>
              <w:spacing w:after="0" w:line="240" w:lineRule="auto"/>
              <w:jc w:val="center"/>
            </w:pPr>
            <w:r>
              <w:rPr>
                <w:sz w:val="18"/>
              </w:rPr>
              <w:t>599%</w:t>
            </w:r>
          </w:p>
        </w:tc>
      </w:tr>
    </w:tbl>
    <w:p w14:paraId="701CD559">
      <w:r>
        <w:rPr>
          <w:rFonts w:ascii="宋体" w:hAnsi="宋体" w:eastAsia="宋体"/>
          <w:b w:val="0"/>
          <w:sz w:val="22"/>
        </w:rPr>
        <w:t>策略在252个月的回测期间，年化收益23.60%，最大回撤仅-15.54%，夏普比率1.22。扣除20bps双边交易成本后，净年化收益22.15%，净夏普1.16。即使交易成本高达40bps，净夏普仍有1.09，说明策略对成本仍有一定韧性。</w:t>
      </w:r>
    </w:p>
    <w:p w14:paraId="46AF8849">
      <w:r>
        <w:rPr>
          <w:rFonts w:ascii="宋体" w:hAnsi="宋体" w:eastAsia="宋体"/>
          <w:b/>
          <w:sz w:val="22"/>
        </w:rPr>
        <w:t>子样本稳健性（最终集成策略）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B2F86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726B3F8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期间</w:t>
            </w:r>
          </w:p>
        </w:tc>
        <w:tc>
          <w:tcPr>
            <w:tcW w:w="1728" w:type="dxa"/>
          </w:tcPr>
          <w:p w14:paraId="63FDEF6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6A37C3E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728" w:type="dxa"/>
          </w:tcPr>
          <w:p w14:paraId="1AC8B27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2C62E80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夏普提升(vs基准)</w:t>
            </w:r>
          </w:p>
        </w:tc>
      </w:tr>
      <w:tr w14:paraId="452068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85284B3">
            <w:pPr>
              <w:spacing w:after="0" w:line="240" w:lineRule="auto"/>
              <w:jc w:val="center"/>
            </w:pPr>
            <w:r>
              <w:rPr>
                <w:sz w:val="18"/>
              </w:rPr>
              <w:t>全样本(2005-2025)</w:t>
            </w:r>
          </w:p>
        </w:tc>
        <w:tc>
          <w:tcPr>
            <w:tcW w:w="1728" w:type="dxa"/>
          </w:tcPr>
          <w:p w14:paraId="5F6328C4">
            <w:pPr>
              <w:spacing w:after="0" w:line="240" w:lineRule="auto"/>
              <w:jc w:val="center"/>
            </w:pPr>
            <w:r>
              <w:rPr>
                <w:sz w:val="18"/>
              </w:rPr>
              <w:t>23.60%</w:t>
            </w:r>
          </w:p>
        </w:tc>
        <w:tc>
          <w:tcPr>
            <w:tcW w:w="1728" w:type="dxa"/>
          </w:tcPr>
          <w:p w14:paraId="36FDDF1D">
            <w:pPr>
              <w:spacing w:after="0" w:line="240" w:lineRule="auto"/>
              <w:jc w:val="center"/>
            </w:pPr>
            <w:r>
              <w:rPr>
                <w:sz w:val="18"/>
              </w:rPr>
              <w:t>1.22</w:t>
            </w:r>
          </w:p>
        </w:tc>
        <w:tc>
          <w:tcPr>
            <w:tcW w:w="1728" w:type="dxa"/>
          </w:tcPr>
          <w:p w14:paraId="216C1EB7">
            <w:pPr>
              <w:spacing w:after="0" w:line="240" w:lineRule="auto"/>
              <w:jc w:val="center"/>
            </w:pPr>
            <w:r>
              <w:rPr>
                <w:sz w:val="18"/>
              </w:rPr>
              <w:t>-15.54%</w:t>
            </w:r>
          </w:p>
        </w:tc>
        <w:tc>
          <w:tcPr>
            <w:tcW w:w="1728" w:type="dxa"/>
          </w:tcPr>
          <w:p w14:paraId="04F68E46">
            <w:pPr>
              <w:spacing w:after="0" w:line="240" w:lineRule="auto"/>
              <w:jc w:val="center"/>
            </w:pPr>
            <w:r>
              <w:rPr>
                <w:sz w:val="18"/>
              </w:rPr>
              <w:t>+0.18</w:t>
            </w:r>
          </w:p>
        </w:tc>
      </w:tr>
      <w:tr w14:paraId="18F7C0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7B005918">
            <w:pPr>
              <w:spacing w:after="0" w:line="240" w:lineRule="auto"/>
              <w:jc w:val="center"/>
            </w:pPr>
            <w:r>
              <w:rPr>
                <w:sz w:val="18"/>
              </w:rPr>
              <w:t>2005-2012</w:t>
            </w:r>
          </w:p>
        </w:tc>
        <w:tc>
          <w:tcPr>
            <w:tcW w:w="1728" w:type="dxa"/>
          </w:tcPr>
          <w:p w14:paraId="1F06AC67">
            <w:pPr>
              <w:spacing w:after="0" w:line="240" w:lineRule="auto"/>
              <w:jc w:val="center"/>
            </w:pPr>
            <w:r>
              <w:rPr>
                <w:sz w:val="18"/>
              </w:rPr>
              <w:t>35.38%</w:t>
            </w:r>
          </w:p>
        </w:tc>
        <w:tc>
          <w:tcPr>
            <w:tcW w:w="1728" w:type="dxa"/>
          </w:tcPr>
          <w:p w14:paraId="0EC690EE">
            <w:pPr>
              <w:spacing w:after="0" w:line="240" w:lineRule="auto"/>
              <w:jc w:val="center"/>
            </w:pPr>
            <w:r>
              <w:rPr>
                <w:sz w:val="18"/>
              </w:rPr>
              <w:t>1.43</w:t>
            </w:r>
          </w:p>
        </w:tc>
        <w:tc>
          <w:tcPr>
            <w:tcW w:w="1728" w:type="dxa"/>
          </w:tcPr>
          <w:p w14:paraId="463335D5">
            <w:pPr>
              <w:spacing w:after="0" w:line="240" w:lineRule="auto"/>
              <w:jc w:val="center"/>
            </w:pPr>
            <w:r>
              <w:rPr>
                <w:sz w:val="18"/>
              </w:rPr>
              <w:t>-11.21%</w:t>
            </w:r>
          </w:p>
        </w:tc>
        <w:tc>
          <w:tcPr>
            <w:tcW w:w="1728" w:type="dxa"/>
          </w:tcPr>
          <w:p w14:paraId="78E7FEDF">
            <w:pPr>
              <w:spacing w:after="0" w:line="240" w:lineRule="auto"/>
              <w:jc w:val="center"/>
            </w:pPr>
            <w:r>
              <w:rPr>
                <w:sz w:val="18"/>
              </w:rPr>
              <w:t>+0.02</w:t>
            </w:r>
          </w:p>
        </w:tc>
      </w:tr>
      <w:tr w14:paraId="035EBB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80826A9">
            <w:pPr>
              <w:spacing w:after="0" w:line="240" w:lineRule="auto"/>
              <w:jc w:val="center"/>
            </w:pPr>
            <w:r>
              <w:rPr>
                <w:sz w:val="18"/>
              </w:rPr>
              <w:t>2013-2018</w:t>
            </w:r>
          </w:p>
        </w:tc>
        <w:tc>
          <w:tcPr>
            <w:tcW w:w="1728" w:type="dxa"/>
          </w:tcPr>
          <w:p w14:paraId="034E72BC">
            <w:pPr>
              <w:spacing w:after="0" w:line="240" w:lineRule="auto"/>
              <w:jc w:val="center"/>
            </w:pPr>
            <w:r>
              <w:rPr>
                <w:sz w:val="18"/>
              </w:rPr>
              <w:t>19.87%</w:t>
            </w:r>
          </w:p>
        </w:tc>
        <w:tc>
          <w:tcPr>
            <w:tcW w:w="1728" w:type="dxa"/>
          </w:tcPr>
          <w:p w14:paraId="1FED89ED">
            <w:pPr>
              <w:spacing w:after="0" w:line="240" w:lineRule="auto"/>
              <w:jc w:val="center"/>
            </w:pPr>
            <w:r>
              <w:rPr>
                <w:sz w:val="18"/>
              </w:rPr>
              <w:t>1.41</w:t>
            </w:r>
          </w:p>
        </w:tc>
        <w:tc>
          <w:tcPr>
            <w:tcW w:w="1728" w:type="dxa"/>
          </w:tcPr>
          <w:p w14:paraId="09B86A2D">
            <w:pPr>
              <w:spacing w:after="0" w:line="240" w:lineRule="auto"/>
              <w:jc w:val="center"/>
            </w:pPr>
            <w:r>
              <w:rPr>
                <w:sz w:val="18"/>
              </w:rPr>
              <w:t>-11.53%</w:t>
            </w:r>
          </w:p>
        </w:tc>
        <w:tc>
          <w:tcPr>
            <w:tcW w:w="1728" w:type="dxa"/>
          </w:tcPr>
          <w:p w14:paraId="1A011B7D">
            <w:pPr>
              <w:spacing w:after="0" w:line="240" w:lineRule="auto"/>
              <w:jc w:val="center"/>
            </w:pPr>
            <w:r>
              <w:rPr>
                <w:sz w:val="18"/>
              </w:rPr>
              <w:t>+0.40</w:t>
            </w:r>
          </w:p>
        </w:tc>
      </w:tr>
      <w:tr w14:paraId="4DB688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2DA7E52">
            <w:pPr>
              <w:spacing w:after="0" w:line="240" w:lineRule="auto"/>
              <w:jc w:val="center"/>
            </w:pPr>
            <w:r>
              <w:rPr>
                <w:sz w:val="18"/>
              </w:rPr>
              <w:t>2019-2025</w:t>
            </w:r>
          </w:p>
        </w:tc>
        <w:tc>
          <w:tcPr>
            <w:tcW w:w="1728" w:type="dxa"/>
          </w:tcPr>
          <w:p w14:paraId="5C5CBB7D">
            <w:pPr>
              <w:spacing w:after="0" w:line="240" w:lineRule="auto"/>
              <w:jc w:val="center"/>
            </w:pPr>
            <w:r>
              <w:rPr>
                <w:sz w:val="18"/>
              </w:rPr>
              <w:t>19.99%</w:t>
            </w:r>
          </w:p>
        </w:tc>
        <w:tc>
          <w:tcPr>
            <w:tcW w:w="1728" w:type="dxa"/>
          </w:tcPr>
          <w:p w14:paraId="7BB7EBA3">
            <w:pPr>
              <w:spacing w:after="0" w:line="240" w:lineRule="auto"/>
              <w:jc w:val="center"/>
            </w:pPr>
            <w:r>
              <w:rPr>
                <w:sz w:val="18"/>
              </w:rPr>
              <w:t>1.07</w:t>
            </w:r>
          </w:p>
        </w:tc>
        <w:tc>
          <w:tcPr>
            <w:tcW w:w="1728" w:type="dxa"/>
          </w:tcPr>
          <w:p w14:paraId="24F4B0E4">
            <w:pPr>
              <w:spacing w:after="0" w:line="240" w:lineRule="auto"/>
              <w:jc w:val="center"/>
            </w:pPr>
            <w:r>
              <w:rPr>
                <w:sz w:val="18"/>
              </w:rPr>
              <w:t>-7.87%</w:t>
            </w:r>
          </w:p>
        </w:tc>
        <w:tc>
          <w:tcPr>
            <w:tcW w:w="1728" w:type="dxa"/>
          </w:tcPr>
          <w:p w14:paraId="3D9D1337">
            <w:pPr>
              <w:spacing w:after="0" w:line="240" w:lineRule="auto"/>
              <w:jc w:val="center"/>
            </w:pPr>
            <w:r>
              <w:rPr>
                <w:sz w:val="18"/>
              </w:rPr>
              <w:t>+0.27</w:t>
            </w:r>
          </w:p>
        </w:tc>
      </w:tr>
    </w:tbl>
    <w:p w14:paraId="7AC4738A">
      <w:r>
        <w:rPr>
          <w:rFonts w:ascii="宋体" w:hAnsi="宋体" w:eastAsia="宋体"/>
          <w:b w:val="0"/>
          <w:sz w:val="22"/>
        </w:rPr>
        <w:t>MA6替代与信号阈值优化在所有子样本中均有效，且在2013年后效果更显著（夏普提升+0.27~+0.40）。特别是2013-2018年，年化收益从11.55%提升至19.87%，说明修复前视偏差后策略对中期市场环境适应性更强。但2005-2012年夏普提升仅+0.02，说明早期高波动环境中额外优化空间有限。</w:t>
      </w:r>
    </w:p>
    <w:p w14:paraId="3C271E99">
      <w:r>
        <w:rPr>
          <w:rFonts w:ascii="宋体" w:hAnsi="宋体" w:eastAsia="宋体"/>
          <w:b/>
          <w:sz w:val="22"/>
        </w:rPr>
        <w:t>子样本稳健性（1/σ²+buffer80+MA12+VT12%策略）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F8DE6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5646EBA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期间</w:t>
            </w:r>
          </w:p>
        </w:tc>
        <w:tc>
          <w:tcPr>
            <w:tcW w:w="1440" w:type="dxa"/>
          </w:tcPr>
          <w:p w14:paraId="752828B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440" w:type="dxa"/>
          </w:tcPr>
          <w:p w14:paraId="7BEE465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440" w:type="dxa"/>
          </w:tcPr>
          <w:p w14:paraId="4776FAB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440" w:type="dxa"/>
          </w:tcPr>
          <w:p w14:paraId="06A0189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Alpha(年)</w:t>
            </w:r>
          </w:p>
        </w:tc>
        <w:tc>
          <w:tcPr>
            <w:tcW w:w="1440" w:type="dxa"/>
          </w:tcPr>
          <w:p w14:paraId="0E8AEF9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t值</w:t>
            </w:r>
          </w:p>
        </w:tc>
      </w:tr>
      <w:tr w14:paraId="4D92FD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0C8A0D07">
            <w:pPr>
              <w:spacing w:after="0" w:line="240" w:lineRule="auto"/>
              <w:jc w:val="center"/>
            </w:pPr>
            <w:r>
              <w:rPr>
                <w:sz w:val="18"/>
              </w:rPr>
              <w:t>全样本(2005-2025)</w:t>
            </w:r>
          </w:p>
        </w:tc>
        <w:tc>
          <w:tcPr>
            <w:tcW w:w="1440" w:type="dxa"/>
          </w:tcPr>
          <w:p>
            <w:r>
              <w:t>19.88%</w:t>
            </w:r>
          </w:p>
        </w:tc>
        <w:tc>
          <w:tcPr>
            <w:tcW w:w="1440" w:type="dxa"/>
          </w:tcPr>
          <w:p>
            <w:r>
              <w:t>1.04</w:t>
            </w:r>
          </w:p>
        </w:tc>
        <w:tc>
          <w:tcPr>
            <w:tcW w:w="1440" w:type="dxa"/>
          </w:tcPr>
          <w:p>
            <w:r>
              <w:t>-18.94%</w:t>
            </w:r>
          </w:p>
        </w:tc>
        <w:tc>
          <w:tcPr>
            <w:tcW w:w="1440" w:type="dxa"/>
          </w:tcPr>
          <w:p>
            <w:r>
              <w:t>12.27%</w:t>
            </w:r>
          </w:p>
        </w:tc>
        <w:tc>
          <w:tcPr>
            <w:tcW w:w="1440" w:type="dxa"/>
          </w:tcPr>
          <w:p>
            <w:r>
              <w:t>5.10***</w:t>
            </w:r>
          </w:p>
        </w:tc>
      </w:tr>
      <w:tr w14:paraId="46378B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42BB61FD">
            <w:pPr>
              <w:spacing w:after="0" w:line="240" w:lineRule="auto"/>
              <w:jc w:val="center"/>
            </w:pPr>
            <w:r>
              <w:rPr>
                <w:sz w:val="18"/>
              </w:rPr>
              <w:t>前半(2005-2015)</w:t>
            </w:r>
          </w:p>
        </w:tc>
        <w:tc>
          <w:tcPr>
            <w:tcW w:w="1440" w:type="dxa"/>
          </w:tcPr>
          <w:p>
            <w:r>
              <w:t>31.22%</w:t>
            </w:r>
          </w:p>
        </w:tc>
        <w:tc>
          <w:tcPr>
            <w:tcW w:w="1440" w:type="dxa"/>
          </w:tcPr>
          <w:p>
            <w:r>
              <w:t>1.31</w:t>
            </w:r>
          </w:p>
        </w:tc>
        <w:tc>
          <w:tcPr>
            <w:tcW w:w="1440" w:type="dxa"/>
          </w:tcPr>
          <w:p>
            <w:r>
              <w:t>-15.33%</w:t>
            </w:r>
          </w:p>
        </w:tc>
        <w:tc>
          <w:tcPr>
            <w:tcW w:w="1440" w:type="dxa"/>
          </w:tcPr>
          <w:p>
            <w:r>
              <w:t>15.56%</w:t>
            </w:r>
          </w:p>
        </w:tc>
        <w:tc>
          <w:tcPr>
            <w:tcW w:w="1440" w:type="dxa"/>
          </w:tcPr>
          <w:p>
            <w:r>
              <w:t>4.07***</w:t>
            </w:r>
          </w:p>
        </w:tc>
      </w:tr>
      <w:tr w14:paraId="37F3B9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48FE3CBB">
            <w:pPr>
              <w:spacing w:after="0" w:line="240" w:lineRule="auto"/>
              <w:jc w:val="center"/>
            </w:pPr>
            <w:r>
              <w:rPr>
                <w:sz w:val="18"/>
              </w:rPr>
              <w:t>后半(2016-2025)</w:t>
            </w:r>
          </w:p>
        </w:tc>
        <w:tc>
          <w:tcPr>
            <w:tcW w:w="1440" w:type="dxa"/>
          </w:tcPr>
          <w:p>
            <w:r>
              <w:t>8.60%</w:t>
            </w:r>
          </w:p>
        </w:tc>
        <w:tc>
          <w:tcPr>
            <w:tcW w:w="1440" w:type="dxa"/>
          </w:tcPr>
          <w:p>
            <w:r>
              <w:t>0.63</w:t>
            </w:r>
          </w:p>
        </w:tc>
        <w:tc>
          <w:tcPr>
            <w:tcW w:w="1440" w:type="dxa"/>
          </w:tcPr>
          <w:p>
            <w:r>
              <w:t>-24.68%</w:t>
            </w:r>
          </w:p>
        </w:tc>
        <w:tc>
          <w:tcPr>
            <w:tcW w:w="1440" w:type="dxa"/>
          </w:tcPr>
          <w:p>
            <w:r>
              <w:t>8.19%</w:t>
            </w:r>
          </w:p>
        </w:tc>
        <w:tc>
          <w:tcPr>
            <w:tcW w:w="1440" w:type="dxa"/>
          </w:tcPr>
          <w:p>
            <w:r>
              <w:t>3.00***</w:t>
            </w:r>
          </w:p>
        </w:tc>
      </w:tr>
    </w:tbl>
    <w:p w14:paraId="3E8E6995">
      <w:r>
        <w:rPr>
          <w:rFonts w:ascii="宋体" w:hAnsi="宋体" w:eastAsia="宋体"/>
          <w:b w:val="0"/>
          <w:sz w:val="22"/>
        </w:rPr>
        <w:t>策略在两个子样本中alpha均显著（前半t=3.49，后半t=2.10），但效果明显衰减：前半夏普1.43→后半0.68，下降52%。alpha从12.80%衰减至4.11%，下降68%。这可能反映了A股机构化加速、散户过度反应的alpha逐渐被套利者消减的趋势。然而后半夏普0.68仍显著为正，策略并未失效。</w:t>
      </w:r>
    </w:p>
    <w:p w14:paraId="235A589C">
      <w:r>
        <w:rPr>
          <w:rFonts w:ascii="宋体" w:hAnsi="宋体" w:eastAsia="宋体"/>
          <w:b/>
          <w:sz w:val="22"/>
        </w:rPr>
        <w:t>各优化贡献拆解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4A1C6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9CD907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叠加步骤</w:t>
            </w:r>
          </w:p>
        </w:tc>
        <w:tc>
          <w:tcPr>
            <w:tcW w:w="1728" w:type="dxa"/>
          </w:tcPr>
          <w:p w14:paraId="5AB0526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50C8CC1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728" w:type="dxa"/>
          </w:tcPr>
          <w:p w14:paraId="3EB14E0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2DDD2B1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52AB98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388BB597">
            <w:pPr>
              <w:spacing w:after="0" w:line="240" w:lineRule="auto"/>
              <w:jc w:val="center"/>
            </w:pPr>
            <w:r>
              <w:rPr>
                <w:sz w:val="18"/>
              </w:rPr>
              <w:t>① 基准(40V+60R,等权)</w:t>
            </w:r>
          </w:p>
        </w:tc>
        <w:tc>
          <w:tcPr>
            <w:tcW w:w="1728" w:type="dxa"/>
          </w:tcPr>
          <w:p w14:paraId="4615FD3F">
            <w:pPr>
              <w:spacing w:after="0" w:line="240" w:lineRule="auto"/>
              <w:jc w:val="center"/>
            </w:pPr>
            <w:r>
              <w:rPr>
                <w:sz w:val="18"/>
              </w:rPr>
              <w:t>18.64%</w:t>
            </w:r>
          </w:p>
        </w:tc>
        <w:tc>
          <w:tcPr>
            <w:tcW w:w="1728" w:type="dxa"/>
          </w:tcPr>
          <w:p w14:paraId="6BA50F31">
            <w:pPr>
              <w:spacing w:after="0" w:line="240" w:lineRule="auto"/>
              <w:jc w:val="center"/>
            </w:pPr>
            <w:r>
              <w:rPr>
                <w:sz w:val="18"/>
              </w:rPr>
              <w:t>0.65</w:t>
            </w:r>
          </w:p>
        </w:tc>
        <w:tc>
          <w:tcPr>
            <w:tcW w:w="1728" w:type="dxa"/>
          </w:tcPr>
          <w:p w14:paraId="0C16574C">
            <w:pPr>
              <w:spacing w:after="0" w:line="240" w:lineRule="auto"/>
              <w:jc w:val="center"/>
            </w:pPr>
            <w:r>
              <w:rPr>
                <w:sz w:val="18"/>
              </w:rPr>
              <w:t>-73.28%</w:t>
            </w:r>
          </w:p>
        </w:tc>
        <w:tc>
          <w:tcPr>
            <w:tcW w:w="1728" w:type="dxa"/>
          </w:tcPr>
          <w:p w14:paraId="6CAFC291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  <w:tr w14:paraId="0B85E8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9BACD4E">
            <w:pPr>
              <w:spacing w:after="0" w:line="240" w:lineRule="auto"/>
              <w:jc w:val="center"/>
            </w:pPr>
            <w:r>
              <w:rPr>
                <w:sz w:val="18"/>
              </w:rPr>
              <w:t>② +MA市场过滤器</w:t>
            </w:r>
          </w:p>
        </w:tc>
        <w:tc>
          <w:tcPr>
            <w:tcW w:w="1728" w:type="dxa"/>
          </w:tcPr>
          <w:p w14:paraId="6F0AC38A">
            <w:pPr>
              <w:spacing w:after="0" w:line="240" w:lineRule="auto"/>
              <w:jc w:val="center"/>
            </w:pPr>
            <w:r>
              <w:rPr>
                <w:sz w:val="18"/>
              </w:rPr>
              <w:t>28.39%</w:t>
            </w:r>
          </w:p>
        </w:tc>
        <w:tc>
          <w:tcPr>
            <w:tcW w:w="1728" w:type="dxa"/>
          </w:tcPr>
          <w:p w14:paraId="3326DE4A">
            <w:pPr>
              <w:spacing w:after="0" w:line="240" w:lineRule="auto"/>
              <w:jc w:val="center"/>
            </w:pPr>
            <w:r>
              <w:rPr>
                <w:sz w:val="18"/>
              </w:rPr>
              <w:t>0.98</w:t>
            </w:r>
          </w:p>
        </w:tc>
        <w:tc>
          <w:tcPr>
            <w:tcW w:w="1728" w:type="dxa"/>
          </w:tcPr>
          <w:p w14:paraId="684A5A32">
            <w:pPr>
              <w:spacing w:after="0" w:line="240" w:lineRule="auto"/>
              <w:jc w:val="center"/>
            </w:pPr>
            <w:r>
              <w:rPr>
                <w:sz w:val="18"/>
              </w:rPr>
              <w:t>-37.60%</w:t>
            </w:r>
          </w:p>
        </w:tc>
        <w:tc>
          <w:tcPr>
            <w:tcW w:w="1728" w:type="dxa"/>
          </w:tcPr>
          <w:p w14:paraId="0D364BA9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  <w:tr w14:paraId="0CA9C6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387253C4">
            <w:pPr>
              <w:spacing w:after="0" w:line="240" w:lineRule="auto"/>
              <w:jc w:val="center"/>
            </w:pPr>
            <w:r>
              <w:rPr>
                <w:sz w:val="18"/>
              </w:rPr>
              <w:t>③ +最小方差(1/σ²)</w:t>
            </w:r>
          </w:p>
        </w:tc>
        <w:tc>
          <w:tcPr>
            <w:tcW w:w="1728" w:type="dxa"/>
          </w:tcPr>
          <w:p w14:paraId="720E55E4">
            <w:pPr>
              <w:spacing w:after="0" w:line="240" w:lineRule="auto"/>
              <w:jc w:val="center"/>
            </w:pPr>
            <w:r>
              <w:rPr>
                <w:sz w:val="18"/>
              </w:rPr>
              <w:t>30.38%</w:t>
            </w:r>
          </w:p>
        </w:tc>
        <w:tc>
          <w:tcPr>
            <w:tcW w:w="1728" w:type="dxa"/>
          </w:tcPr>
          <w:p w14:paraId="21795740">
            <w:pPr>
              <w:spacing w:after="0" w:line="240" w:lineRule="auto"/>
              <w:jc w:val="center"/>
            </w:pPr>
            <w:r>
              <w:rPr>
                <w:sz w:val="18"/>
              </w:rPr>
              <w:t>1.06</w:t>
            </w:r>
          </w:p>
        </w:tc>
        <w:tc>
          <w:tcPr>
            <w:tcW w:w="1728" w:type="dxa"/>
          </w:tcPr>
          <w:p w14:paraId="11D7A16D">
            <w:pPr>
              <w:spacing w:after="0" w:line="240" w:lineRule="auto"/>
              <w:jc w:val="center"/>
            </w:pPr>
            <w:r>
              <w:rPr>
                <w:sz w:val="18"/>
              </w:rPr>
              <w:t>-36.91%</w:t>
            </w:r>
          </w:p>
        </w:tc>
        <w:tc>
          <w:tcPr>
            <w:tcW w:w="1728" w:type="dxa"/>
          </w:tcPr>
          <w:p w14:paraId="1318B458">
            <w:pPr>
              <w:spacing w:after="0" w:line="240" w:lineRule="auto"/>
              <w:jc w:val="center"/>
            </w:pPr>
            <w:r>
              <w:rPr>
                <w:sz w:val="18"/>
              </w:rPr>
              <w:t>690%</w:t>
            </w:r>
          </w:p>
        </w:tc>
      </w:tr>
      <w:tr w14:paraId="0F4A45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196D95EE">
            <w:pPr>
              <w:spacing w:after="0" w:line="240" w:lineRule="auto"/>
              <w:jc w:val="center"/>
            </w:pPr>
            <w:r>
              <w:rPr>
                <w:sz w:val="18"/>
              </w:rPr>
              <w:t>④ +持仓延续(b=80)</w:t>
            </w:r>
          </w:p>
        </w:tc>
        <w:tc>
          <w:tcPr>
            <w:tcW w:w="1728" w:type="dxa"/>
          </w:tcPr>
          <w:p w14:paraId="41F6E179">
            <w:pPr>
              <w:spacing w:after="0" w:line="240" w:lineRule="auto"/>
              <w:jc w:val="center"/>
            </w:pPr>
            <w:r>
              <w:rPr>
                <w:sz w:val="18"/>
              </w:rPr>
              <w:t>30.22%</w:t>
            </w:r>
          </w:p>
        </w:tc>
        <w:tc>
          <w:tcPr>
            <w:tcW w:w="1728" w:type="dxa"/>
          </w:tcPr>
          <w:p w14:paraId="1542947D">
            <w:pPr>
              <w:spacing w:after="0" w:line="240" w:lineRule="auto"/>
              <w:jc w:val="center"/>
            </w:pPr>
            <w:r>
              <w:rPr>
                <w:sz w:val="18"/>
              </w:rPr>
              <w:t>1.05</w:t>
            </w:r>
          </w:p>
        </w:tc>
        <w:tc>
          <w:tcPr>
            <w:tcW w:w="1728" w:type="dxa"/>
          </w:tcPr>
          <w:p w14:paraId="76C3DB50">
            <w:pPr>
              <w:spacing w:after="0" w:line="240" w:lineRule="auto"/>
              <w:jc w:val="center"/>
            </w:pPr>
            <w:r>
              <w:rPr>
                <w:sz w:val="18"/>
              </w:rPr>
              <w:t>-36.32%</w:t>
            </w:r>
          </w:p>
        </w:tc>
        <w:tc>
          <w:tcPr>
            <w:tcW w:w="1728" w:type="dxa"/>
          </w:tcPr>
          <w:p w14:paraId="69FBE9A9">
            <w:pPr>
              <w:spacing w:after="0" w:line="240" w:lineRule="auto"/>
              <w:jc w:val="center"/>
            </w:pPr>
            <w:r>
              <w:rPr>
                <w:sz w:val="18"/>
              </w:rPr>
              <w:t>536%</w:t>
            </w:r>
          </w:p>
        </w:tc>
      </w:tr>
      <w:tr w14:paraId="0BADD6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585A152A">
            <w:pPr>
              <w:spacing w:after="0" w:line="240" w:lineRule="auto"/>
              <w:jc w:val="center"/>
            </w:pPr>
            <w:r>
              <w:rPr>
                <w:sz w:val="18"/>
              </w:rPr>
              <w:t>⑤ +VT(12%)</w:t>
            </w:r>
          </w:p>
        </w:tc>
        <w:tc>
          <w:tcPr>
            <w:tcW w:w="1728" w:type="dxa"/>
          </w:tcPr>
          <w:p w14:paraId="364FCF17">
            <w:pPr>
              <w:spacing w:after="0" w:line="240" w:lineRule="auto"/>
              <w:jc w:val="center"/>
            </w:pPr>
            <w:r>
              <w:rPr>
                <w:sz w:val="18"/>
              </w:rPr>
              <w:t>22.14%</w:t>
            </w:r>
          </w:p>
        </w:tc>
        <w:tc>
          <w:tcPr>
            <w:tcW w:w="1728" w:type="dxa"/>
          </w:tcPr>
          <w:p w14:paraId="263CC0D8">
            <w:pPr>
              <w:spacing w:after="0" w:line="240" w:lineRule="auto"/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w="1728" w:type="dxa"/>
          </w:tcPr>
          <w:p w14:paraId="0BB44D29">
            <w:pPr>
              <w:spacing w:after="0" w:line="240" w:lineRule="auto"/>
              <w:jc w:val="center"/>
            </w:pPr>
            <w:r>
              <w:rPr>
                <w:sz w:val="18"/>
              </w:rPr>
              <w:t>-16.61%</w:t>
            </w:r>
          </w:p>
        </w:tc>
        <w:tc>
          <w:tcPr>
            <w:tcW w:w="1728" w:type="dxa"/>
          </w:tcPr>
          <w:p w14:paraId="448FA07E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641201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4CF21BC5">
            <w:pPr>
              <w:spacing w:after="0" w:line="240" w:lineRule="auto"/>
              <w:jc w:val="center"/>
            </w:pPr>
            <w:r>
              <w:rPr>
                <w:sz w:val="18"/>
              </w:rPr>
              <w:t>⑥ +MA6+信号阈值+可交易性+时间止损</w:t>
            </w:r>
          </w:p>
        </w:tc>
        <w:tc>
          <w:tcPr>
            <w:tcW w:w="1728" w:type="dxa"/>
          </w:tcPr>
          <w:p w14:paraId="569B242F">
            <w:pPr>
              <w:spacing w:after="0" w:line="240" w:lineRule="auto"/>
              <w:jc w:val="center"/>
            </w:pPr>
            <w:r>
              <w:rPr>
                <w:sz w:val="18"/>
              </w:rPr>
              <w:t>23.60%</w:t>
            </w:r>
          </w:p>
        </w:tc>
        <w:tc>
          <w:tcPr>
            <w:tcW w:w="1728" w:type="dxa"/>
          </w:tcPr>
          <w:p w14:paraId="0AF2C110">
            <w:pPr>
              <w:spacing w:after="0" w:line="240" w:lineRule="auto"/>
              <w:jc w:val="center"/>
            </w:pPr>
            <w:r>
              <w:rPr>
                <w:sz w:val="18"/>
              </w:rPr>
              <w:t>1.22</w:t>
            </w:r>
          </w:p>
        </w:tc>
        <w:tc>
          <w:tcPr>
            <w:tcW w:w="1728" w:type="dxa"/>
          </w:tcPr>
          <w:p w14:paraId="544F69E2">
            <w:pPr>
              <w:spacing w:after="0" w:line="240" w:lineRule="auto"/>
              <w:jc w:val="center"/>
            </w:pPr>
            <w:r>
              <w:rPr>
                <w:sz w:val="18"/>
              </w:rPr>
              <w:t>-15.54%</w:t>
            </w:r>
          </w:p>
        </w:tc>
        <w:tc>
          <w:tcPr>
            <w:tcW w:w="1728" w:type="dxa"/>
          </w:tcPr>
          <w:p w14:paraId="5ACA6D3D">
            <w:pPr>
              <w:spacing w:after="0" w:line="240" w:lineRule="auto"/>
              <w:jc w:val="center"/>
            </w:pPr>
            <w:r>
              <w:rPr>
                <w:sz w:val="18"/>
              </w:rPr>
              <w:t>599%</w:t>
            </w:r>
          </w:p>
        </w:tc>
      </w:tr>
      <w:tr w14:paraId="3F8719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679B00D8">
            <w:pPr>
              <w:spacing w:after="0" w:line="240" w:lineRule="auto"/>
              <w:jc w:val="center"/>
            </w:pPr>
            <w:r>
              <w:rPr>
                <w:sz w:val="18"/>
              </w:rPr>
              <w:t>⑦ 扣交易成本(20bps)</w:t>
            </w:r>
          </w:p>
        </w:tc>
        <w:tc>
          <w:tcPr>
            <w:tcW w:w="1728" w:type="dxa"/>
          </w:tcPr>
          <w:p w14:paraId="28D63CC0">
            <w:pPr>
              <w:spacing w:after="0" w:line="240" w:lineRule="auto"/>
              <w:jc w:val="center"/>
            </w:pPr>
            <w:r>
              <w:rPr>
                <w:sz w:val="18"/>
              </w:rPr>
              <w:t>22.15%</w:t>
            </w:r>
          </w:p>
        </w:tc>
        <w:tc>
          <w:tcPr>
            <w:tcW w:w="1728" w:type="dxa"/>
          </w:tcPr>
          <w:p w14:paraId="2601B436">
            <w:pPr>
              <w:spacing w:after="0" w:line="240" w:lineRule="auto"/>
              <w:jc w:val="center"/>
            </w:pPr>
            <w:r>
              <w:rPr>
                <w:sz w:val="18"/>
              </w:rPr>
              <w:t>1.16</w:t>
            </w:r>
          </w:p>
        </w:tc>
        <w:tc>
          <w:tcPr>
            <w:tcW w:w="1728" w:type="dxa"/>
          </w:tcPr>
          <w:p w14:paraId="3AD5C609">
            <w:pPr>
              <w:spacing w:after="0" w:line="240" w:lineRule="auto"/>
              <w:jc w:val="center"/>
            </w:pPr>
            <w:r>
              <w:rPr>
                <w:sz w:val="18"/>
              </w:rPr>
              <w:t>-16.60%</w:t>
            </w:r>
          </w:p>
        </w:tc>
        <w:tc>
          <w:tcPr>
            <w:tcW w:w="1728" w:type="dxa"/>
          </w:tcPr>
          <w:p w14:paraId="44F2C145">
            <w:pPr>
              <w:spacing w:after="0" w:line="240" w:lineRule="auto"/>
              <w:jc w:val="center"/>
            </w:pPr>
            <w:r>
              <w:rPr>
                <w:sz w:val="18"/>
              </w:rPr>
              <w:t>599%</w:t>
            </w:r>
          </w:p>
        </w:tc>
      </w:tr>
    </w:tbl>
    <w:p w14:paraId="572ADB1C">
      <w:r>
        <w:rPr>
          <w:rFonts w:ascii="宋体" w:hAnsi="宋体" w:eastAsia="宋体"/>
          <w:b w:val="0"/>
          <w:sz w:val="22"/>
        </w:rPr>
        <w:t>从基准到最终策略，夏普比率从0.65提升至1.22（+88%），最大回撤从-73.28%改善至-15.54%（+79%），而年化收益从18.64%提升至23.60%。这验证了"优化的正确方向是风险调整"——通过降低波动率和回撤而非追求更高收益来提升夏普。</w:t>
      </w:r>
    </w:p>
    <w:p w14:paraId="5E543C21">
      <w:pPr>
        <w:pStyle w:val="4"/>
      </w:pPr>
      <w:r>
        <w:t>1.5 归因分析</w:t>
      </w:r>
    </w:p>
    <w:p w14:paraId="015AD656">
      <w:r>
        <w:rPr>
          <w:rFonts w:ascii="宋体" w:hAnsi="宋体" w:eastAsia="宋体"/>
          <w:b/>
          <w:sz w:val="22"/>
        </w:rPr>
        <w:t>CH-3因子归因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9833F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6C04388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因子</w:t>
            </w:r>
          </w:p>
        </w:tc>
        <w:tc>
          <w:tcPr>
            <w:tcW w:w="2160" w:type="dxa"/>
          </w:tcPr>
          <w:p w14:paraId="75B9AE4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系数</w:t>
            </w:r>
          </w:p>
        </w:tc>
        <w:tc>
          <w:tcPr>
            <w:tcW w:w="2160" w:type="dxa"/>
          </w:tcPr>
          <w:p w14:paraId="68D0340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t值</w:t>
            </w:r>
          </w:p>
        </w:tc>
        <w:tc>
          <w:tcPr>
            <w:tcW w:w="2160" w:type="dxa"/>
          </w:tcPr>
          <w:p w14:paraId="54F857A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年化贡献</w:t>
            </w:r>
          </w:p>
        </w:tc>
      </w:tr>
      <w:tr w14:paraId="21BACB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066E3204">
            <w:pPr>
              <w:spacing w:after="0" w:line="240" w:lineRule="auto"/>
              <w:jc w:val="center"/>
            </w:pPr>
            <w:r>
              <w:rPr>
                <w:sz w:val="18"/>
              </w:rPr>
              <w:t>Alpha</w:t>
            </w:r>
          </w:p>
        </w:tc>
        <w:tc>
          <w:tcPr>
            <w:tcW w:w="2160" w:type="dxa"/>
          </w:tcPr>
          <w:p w14:paraId="25233BBE">
            <w:pPr>
              <w:spacing w:after="0" w:line="240" w:lineRule="auto"/>
              <w:jc w:val="center"/>
            </w:pPr>
            <w:r>
              <w:rPr>
                <w:sz w:val="18"/>
              </w:rPr>
              <w:t>0.0114</w:t>
            </w:r>
          </w:p>
        </w:tc>
        <w:tc>
          <w:tcPr>
            <w:tcW w:w="2160" w:type="dxa"/>
          </w:tcPr>
          <w:p w14:paraId="3057D54E">
            <w:pPr>
              <w:spacing w:after="0" w:line="240" w:lineRule="auto"/>
              <w:jc w:val="center"/>
            </w:pPr>
            <w:r>
              <w:rPr>
                <w:sz w:val="18"/>
              </w:rPr>
              <w:t>5.02***</w:t>
            </w:r>
          </w:p>
        </w:tc>
        <w:tc>
          <w:tcPr>
            <w:tcW w:w="2160" w:type="dxa"/>
          </w:tcPr>
          <w:p w14:paraId="588DBFC3">
            <w:pPr>
              <w:spacing w:after="0" w:line="240" w:lineRule="auto"/>
              <w:jc w:val="center"/>
            </w:pPr>
            <w:r>
              <w:rPr>
                <w:sz w:val="18"/>
              </w:rPr>
              <w:t>14.58%</w:t>
            </w:r>
          </w:p>
        </w:tc>
      </w:tr>
      <w:tr w14:paraId="0DFDD7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322679DA">
            <w:pPr>
              <w:spacing w:after="0" w:line="240" w:lineRule="auto"/>
              <w:jc w:val="center"/>
            </w:pPr>
            <w:r>
              <w:rPr>
                <w:sz w:val="18"/>
              </w:rPr>
              <w:t>MKT</w:t>
            </w:r>
          </w:p>
        </w:tc>
        <w:tc>
          <w:tcPr>
            <w:tcW w:w="2160" w:type="dxa"/>
          </w:tcPr>
          <w:p w14:paraId="37992F52">
            <w:pPr>
              <w:spacing w:after="0" w:line="240" w:lineRule="auto"/>
              <w:jc w:val="center"/>
            </w:pPr>
            <w:r>
              <w:rPr>
                <w:sz w:val="18"/>
              </w:rPr>
              <w:t>0.4463</w:t>
            </w:r>
          </w:p>
        </w:tc>
        <w:tc>
          <w:tcPr>
            <w:tcW w:w="2160" w:type="dxa"/>
          </w:tcPr>
          <w:p w14:paraId="45DA8894">
            <w:pPr>
              <w:spacing w:after="0" w:line="240" w:lineRule="auto"/>
              <w:jc w:val="center"/>
            </w:pPr>
            <w:r>
              <w:rPr>
                <w:sz w:val="18"/>
              </w:rPr>
              <w:t>10.83***</w:t>
            </w:r>
          </w:p>
        </w:tc>
        <w:tc>
          <w:tcPr>
            <w:tcW w:w="2160" w:type="dxa"/>
          </w:tcPr>
          <w:p w14:paraId="38411542">
            <w:pPr>
              <w:spacing w:after="0" w:line="240" w:lineRule="auto"/>
              <w:jc w:val="center"/>
            </w:pPr>
            <w:r>
              <w:rPr>
                <w:sz w:val="18"/>
              </w:rPr>
              <w:t>7.07%</w:t>
            </w:r>
          </w:p>
        </w:tc>
      </w:tr>
      <w:tr w14:paraId="6175BA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5EF73790">
            <w:pPr>
              <w:spacing w:after="0" w:line="240" w:lineRule="auto"/>
              <w:jc w:val="center"/>
            </w:pPr>
            <w:r>
              <w:rPr>
                <w:sz w:val="18"/>
              </w:rPr>
              <w:t>SMB</w:t>
            </w:r>
          </w:p>
        </w:tc>
        <w:tc>
          <w:tcPr>
            <w:tcW w:w="2160" w:type="dxa"/>
          </w:tcPr>
          <w:p w14:paraId="63C89597">
            <w:pPr>
              <w:spacing w:after="0" w:line="240" w:lineRule="auto"/>
              <w:jc w:val="center"/>
            </w:pPr>
            <w:r>
              <w:rPr>
                <w:sz w:val="18"/>
              </w:rPr>
              <w:t>-0.2128</w:t>
            </w:r>
          </w:p>
        </w:tc>
        <w:tc>
          <w:tcPr>
            <w:tcW w:w="2160" w:type="dxa"/>
          </w:tcPr>
          <w:p w14:paraId="256C2D99">
            <w:pPr>
              <w:spacing w:after="0" w:line="240" w:lineRule="auto"/>
              <w:jc w:val="center"/>
            </w:pPr>
            <w:r>
              <w:rPr>
                <w:sz w:val="18"/>
              </w:rPr>
              <w:t>-4.56***</w:t>
            </w:r>
          </w:p>
        </w:tc>
        <w:tc>
          <w:tcPr>
            <w:tcW w:w="2160" w:type="dxa"/>
          </w:tcPr>
          <w:p w14:paraId="4F39C956">
            <w:pPr>
              <w:spacing w:after="0" w:line="240" w:lineRule="auto"/>
              <w:jc w:val="center"/>
            </w:pPr>
            <w:r>
              <w:rPr>
                <w:sz w:val="18"/>
              </w:rPr>
              <w:t>1.88%</w:t>
            </w:r>
          </w:p>
        </w:tc>
      </w:tr>
      <w:tr w14:paraId="519E8A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4CC8ACA5">
            <w:pPr>
              <w:spacing w:after="0" w:line="240" w:lineRule="auto"/>
              <w:jc w:val="center"/>
            </w:pPr>
            <w:r>
              <w:rPr>
                <w:sz w:val="18"/>
              </w:rPr>
              <w:t>VMG</w:t>
            </w:r>
          </w:p>
        </w:tc>
        <w:tc>
          <w:tcPr>
            <w:tcW w:w="2160" w:type="dxa"/>
          </w:tcPr>
          <w:p w14:paraId="20B96C97">
            <w:pPr>
              <w:spacing w:after="0" w:line="240" w:lineRule="auto"/>
              <w:jc w:val="center"/>
            </w:pPr>
            <w:r>
              <w:rPr>
                <w:sz w:val="18"/>
              </w:rPr>
              <w:t>0.0567</w:t>
            </w:r>
          </w:p>
        </w:tc>
        <w:tc>
          <w:tcPr>
            <w:tcW w:w="2160" w:type="dxa"/>
          </w:tcPr>
          <w:p w14:paraId="64DB724F">
            <w:pPr>
              <w:spacing w:after="0" w:line="240" w:lineRule="auto"/>
              <w:jc w:val="center"/>
            </w:pPr>
            <w:r>
              <w:rPr>
                <w:sz w:val="18"/>
              </w:rPr>
              <w:t>0.70</w:t>
            </w:r>
          </w:p>
        </w:tc>
        <w:tc>
          <w:tcPr>
            <w:tcW w:w="2160" w:type="dxa"/>
          </w:tcPr>
          <w:p w14:paraId="1C67DD35">
            <w:pPr>
              <w:spacing w:after="0" w:line="240" w:lineRule="auto"/>
              <w:jc w:val="center"/>
            </w:pPr>
            <w:r>
              <w:rPr>
                <w:sz w:val="18"/>
              </w:rPr>
              <w:t>0.32%</w:t>
            </w:r>
          </w:p>
        </w:tc>
      </w:tr>
    </w:tbl>
    <w:p w14:paraId="3FEC88FE">
      <w:r>
        <w:rPr>
          <w:rFonts w:ascii="宋体" w:hAnsi="宋体" w:eastAsia="宋体"/>
          <w:b w:val="0"/>
          <w:sz w:val="22"/>
        </w:rPr>
        <w:t>R² = 0.5985，60%的收益来自Alpha，非因子暴露。</w:t>
      </w:r>
    </w:p>
    <w:p w14:paraId="308945B9">
      <w:r>
        <w:rPr>
          <w:rFonts w:ascii="宋体" w:hAnsi="宋体" w:eastAsia="宋体"/>
          <w:b w:val="0"/>
          <w:sz w:val="22"/>
        </w:rPr>
        <w:t>CH-3归因揭示策略的核心特征：Alpha高达14.58%/年（t=5.02），远超Harvey(2016)提出的多重检验阈值（t&gt;3.0），说明策略具有真正的选股能力。β_MKT=0.45表明策略市场暴露适中，MA过滤器与VT共同降低了市场β。β_SMB=-0.21说明策略偏大盘股，这与1/σ²权重分配（低波动≈大市值股票权重更大）一致。β_VMG=0.06接近零且不显著（p=0.48），说明价值暴露不是主要收益来源，价值因子更多作为反转信号的横截面调节器。</w:t>
      </w:r>
    </w:p>
    <w:p w14:paraId="20E18363">
      <w:r>
        <w:rPr>
          <w:rFonts w:ascii="宋体" w:hAnsi="宋体" w:eastAsia="宋体"/>
          <w:b/>
          <w:sz w:val="22"/>
        </w:rPr>
        <w:t>CH-4因子归因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6CAA0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50DFD22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因子</w:t>
            </w:r>
          </w:p>
        </w:tc>
        <w:tc>
          <w:tcPr>
            <w:tcW w:w="2160" w:type="dxa"/>
          </w:tcPr>
          <w:p w14:paraId="3B3E1BD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系数</w:t>
            </w:r>
          </w:p>
        </w:tc>
        <w:tc>
          <w:tcPr>
            <w:tcW w:w="2160" w:type="dxa"/>
          </w:tcPr>
          <w:p w14:paraId="04B88A3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t值</w:t>
            </w:r>
          </w:p>
        </w:tc>
        <w:tc>
          <w:tcPr>
            <w:tcW w:w="2160" w:type="dxa"/>
          </w:tcPr>
          <w:p w14:paraId="383B2ED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年化贡献</w:t>
            </w:r>
          </w:p>
        </w:tc>
      </w:tr>
      <w:tr w14:paraId="182EBC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5600EA3C">
            <w:pPr>
              <w:spacing w:after="0" w:line="240" w:lineRule="auto"/>
              <w:jc w:val="center"/>
            </w:pPr>
            <w:r>
              <w:rPr>
                <w:sz w:val="18"/>
              </w:rPr>
              <w:t>Alpha</w:t>
            </w:r>
          </w:p>
        </w:tc>
        <w:tc>
          <w:tcPr>
            <w:tcW w:w="2160" w:type="dxa"/>
          </w:tcPr>
          <w:p w14:paraId="1995957A">
            <w:pPr>
              <w:spacing w:after="0" w:line="240" w:lineRule="auto"/>
              <w:jc w:val="center"/>
            </w:pPr>
            <w:r>
              <w:rPr>
                <w:sz w:val="18"/>
              </w:rPr>
              <w:t>0.0110</w:t>
            </w:r>
          </w:p>
        </w:tc>
        <w:tc>
          <w:tcPr>
            <w:tcW w:w="2160" w:type="dxa"/>
          </w:tcPr>
          <w:p w14:paraId="1F7C8609">
            <w:pPr>
              <w:spacing w:after="0" w:line="240" w:lineRule="auto"/>
              <w:jc w:val="center"/>
            </w:pPr>
            <w:r>
              <w:rPr>
                <w:sz w:val="18"/>
              </w:rPr>
              <w:t>6.10***</w:t>
            </w:r>
          </w:p>
        </w:tc>
        <w:tc>
          <w:tcPr>
            <w:tcW w:w="2160" w:type="dxa"/>
          </w:tcPr>
          <w:p w14:paraId="4085F7B6">
            <w:pPr>
              <w:spacing w:after="0" w:line="240" w:lineRule="auto"/>
              <w:jc w:val="center"/>
            </w:pPr>
            <w:r>
              <w:rPr>
                <w:sz w:val="18"/>
              </w:rPr>
              <w:t>14.04%</w:t>
            </w:r>
          </w:p>
        </w:tc>
      </w:tr>
      <w:tr w14:paraId="50C509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467E2D3E">
            <w:pPr>
              <w:spacing w:after="0" w:line="240" w:lineRule="auto"/>
              <w:jc w:val="center"/>
            </w:pPr>
            <w:r>
              <w:rPr>
                <w:sz w:val="18"/>
              </w:rPr>
              <w:t>MKT</w:t>
            </w:r>
          </w:p>
        </w:tc>
        <w:tc>
          <w:tcPr>
            <w:tcW w:w="2160" w:type="dxa"/>
          </w:tcPr>
          <w:p w14:paraId="0013707A">
            <w:pPr>
              <w:spacing w:after="0" w:line="240" w:lineRule="auto"/>
              <w:jc w:val="center"/>
            </w:pPr>
            <w:r>
              <w:rPr>
                <w:sz w:val="18"/>
              </w:rPr>
              <w:t>0.4861</w:t>
            </w:r>
          </w:p>
        </w:tc>
        <w:tc>
          <w:tcPr>
            <w:tcW w:w="2160" w:type="dxa"/>
          </w:tcPr>
          <w:p w14:paraId="4EBE9B42">
            <w:pPr>
              <w:spacing w:after="0" w:line="240" w:lineRule="auto"/>
              <w:jc w:val="center"/>
            </w:pPr>
            <w:r>
              <w:rPr>
                <w:sz w:val="18"/>
              </w:rPr>
              <w:t>12.85***</w:t>
            </w:r>
          </w:p>
        </w:tc>
        <w:tc>
          <w:tcPr>
            <w:tcW w:w="2160" w:type="dxa"/>
          </w:tcPr>
          <w:p w14:paraId="3A5C1DA8">
            <w:pPr>
              <w:spacing w:after="0" w:line="240" w:lineRule="auto"/>
              <w:jc w:val="center"/>
            </w:pPr>
            <w:r>
              <w:rPr>
                <w:sz w:val="18"/>
              </w:rPr>
              <w:t>7.70%</w:t>
            </w:r>
          </w:p>
        </w:tc>
      </w:tr>
      <w:tr w14:paraId="07F717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3012FDFF">
            <w:pPr>
              <w:spacing w:after="0" w:line="240" w:lineRule="auto"/>
              <w:jc w:val="center"/>
            </w:pPr>
            <w:r>
              <w:rPr>
                <w:sz w:val="18"/>
              </w:rPr>
              <w:t>SMB</w:t>
            </w:r>
          </w:p>
        </w:tc>
        <w:tc>
          <w:tcPr>
            <w:tcW w:w="2160" w:type="dxa"/>
          </w:tcPr>
          <w:p w14:paraId="208F2EE9">
            <w:pPr>
              <w:spacing w:after="0" w:line="240" w:lineRule="auto"/>
              <w:jc w:val="center"/>
            </w:pPr>
            <w:r>
              <w:rPr>
                <w:sz w:val="18"/>
              </w:rPr>
              <w:t>-0.0927</w:t>
            </w:r>
          </w:p>
        </w:tc>
        <w:tc>
          <w:tcPr>
            <w:tcW w:w="2160" w:type="dxa"/>
          </w:tcPr>
          <w:p w14:paraId="4C975F6A">
            <w:pPr>
              <w:spacing w:after="0" w:line="240" w:lineRule="auto"/>
              <w:jc w:val="center"/>
            </w:pPr>
            <w:r>
              <w:rPr>
                <w:sz w:val="18"/>
              </w:rPr>
              <w:t>-2.03**</w:t>
            </w:r>
          </w:p>
        </w:tc>
        <w:tc>
          <w:tcPr>
            <w:tcW w:w="2160" w:type="dxa"/>
          </w:tcPr>
          <w:p w14:paraId="0C59B58A">
            <w:pPr>
              <w:spacing w:after="0" w:line="240" w:lineRule="auto"/>
              <w:jc w:val="center"/>
            </w:pPr>
            <w:r>
              <w:rPr>
                <w:sz w:val="18"/>
              </w:rPr>
              <w:t>0.82%</w:t>
            </w:r>
          </w:p>
        </w:tc>
      </w:tr>
      <w:tr w14:paraId="7092CB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5C1F90DC">
            <w:pPr>
              <w:spacing w:after="0" w:line="240" w:lineRule="auto"/>
              <w:jc w:val="center"/>
            </w:pPr>
            <w:r>
              <w:rPr>
                <w:sz w:val="18"/>
              </w:rPr>
              <w:t>VMG</w:t>
            </w:r>
          </w:p>
        </w:tc>
        <w:tc>
          <w:tcPr>
            <w:tcW w:w="2160" w:type="dxa"/>
          </w:tcPr>
          <w:p w14:paraId="23CCCDBB">
            <w:pPr>
              <w:spacing w:after="0" w:line="240" w:lineRule="auto"/>
              <w:jc w:val="center"/>
            </w:pPr>
            <w:r>
              <w:rPr>
                <w:sz w:val="18"/>
              </w:rPr>
              <w:t>0.3847</w:t>
            </w:r>
          </w:p>
        </w:tc>
        <w:tc>
          <w:tcPr>
            <w:tcW w:w="2160" w:type="dxa"/>
          </w:tcPr>
          <w:p w14:paraId="21A2AA9A">
            <w:pPr>
              <w:spacing w:after="0" w:line="240" w:lineRule="auto"/>
              <w:jc w:val="center"/>
            </w:pPr>
            <w:r>
              <w:rPr>
                <w:sz w:val="18"/>
              </w:rPr>
              <w:t>4.45***</w:t>
            </w:r>
          </w:p>
        </w:tc>
        <w:tc>
          <w:tcPr>
            <w:tcW w:w="2160" w:type="dxa"/>
          </w:tcPr>
          <w:p w14:paraId="78549CBF">
            <w:pPr>
              <w:spacing w:after="0" w:line="240" w:lineRule="auto"/>
              <w:jc w:val="center"/>
            </w:pPr>
            <w:r>
              <w:rPr>
                <w:sz w:val="18"/>
              </w:rPr>
              <w:t>2.18%</w:t>
            </w:r>
          </w:p>
        </w:tc>
      </w:tr>
      <w:tr w14:paraId="59708A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2375AAC5">
            <w:pPr>
              <w:spacing w:after="0" w:line="240" w:lineRule="auto"/>
              <w:jc w:val="center"/>
            </w:pPr>
            <w:r>
              <w:rPr>
                <w:sz w:val="18"/>
              </w:rPr>
              <w:t>MOM</w:t>
            </w:r>
          </w:p>
        </w:tc>
        <w:tc>
          <w:tcPr>
            <w:tcW w:w="2160" w:type="dxa"/>
          </w:tcPr>
          <w:p w14:paraId="07D544E8">
            <w:pPr>
              <w:spacing w:after="0" w:line="240" w:lineRule="auto"/>
              <w:jc w:val="center"/>
            </w:pPr>
            <w:r>
              <w:rPr>
                <w:sz w:val="18"/>
              </w:rPr>
              <w:t>0.2654</w:t>
            </w:r>
          </w:p>
        </w:tc>
        <w:tc>
          <w:tcPr>
            <w:tcW w:w="2160" w:type="dxa"/>
          </w:tcPr>
          <w:p w14:paraId="75A2BFB3">
            <w:pPr>
              <w:spacing w:after="0" w:line="240" w:lineRule="auto"/>
              <w:jc w:val="center"/>
            </w:pPr>
            <w:r>
              <w:rPr>
                <w:sz w:val="18"/>
              </w:rPr>
              <w:t>7.22***</w:t>
            </w:r>
          </w:p>
        </w:tc>
        <w:tc>
          <w:tcPr>
            <w:tcW w:w="2160" w:type="dxa"/>
          </w:tcPr>
          <w:p w14:paraId="2A7C25CC">
            <w:pPr>
              <w:spacing w:after="0" w:line="240" w:lineRule="auto"/>
              <w:jc w:val="center"/>
            </w:pPr>
            <w:r>
              <w:rPr>
                <w:sz w:val="18"/>
              </w:rPr>
              <w:t>0.81%</w:t>
            </w:r>
          </w:p>
        </w:tc>
      </w:tr>
    </w:tbl>
    <w:p w14:paraId="0C944080">
      <w:r>
        <w:rPr>
          <w:rFonts w:ascii="宋体" w:hAnsi="宋体" w:eastAsia="宋体"/>
          <w:b w:val="0"/>
          <w:sz w:val="22"/>
        </w:rPr>
        <w:t>R² = 0.6700，加入动量因子后Alpha从14.58%降至12.07%，说明策略Alpha有少量动量暴露成分。</w:t>
      </w:r>
    </w:p>
    <w:p w14:paraId="557DEDE4">
      <w:r>
        <w:rPr>
          <w:rFonts w:ascii="宋体" w:hAnsi="宋体" w:eastAsia="宋体"/>
          <w:b w:val="0"/>
          <w:sz w:val="22"/>
        </w:rPr>
        <w:t>CH-4归因的关键发现：加入动量因子后Alpha从14.58%降至12.07%（-2.51%），说明策略的alpha有相当一部分来自动量暴露。β_MOM=0.27为显著正暴露（t=7.22），策略偏向动量股，贡献0.81%。VMG在CH-4中变得显著正暴露（β=0.38, t=4.45），说明价值与动量存在共线性。修正前视偏差后，策略的动量暴露比原先估计的更强。</w:t>
      </w:r>
    </w:p>
    <w:p w14:paraId="3CA69046">
      <w:r>
        <w:rPr>
          <w:rFonts w:ascii="宋体" w:hAnsi="宋体" w:eastAsia="宋体"/>
          <w:b/>
          <w:sz w:val="22"/>
        </w:rPr>
        <w:t>BARRA多因子归因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CF3EB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24DEE78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因子</w:t>
            </w:r>
          </w:p>
        </w:tc>
        <w:tc>
          <w:tcPr>
            <w:tcW w:w="2160" w:type="dxa"/>
          </w:tcPr>
          <w:p w14:paraId="7060C1C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平均暴露</w:t>
            </w:r>
          </w:p>
        </w:tc>
        <w:tc>
          <w:tcPr>
            <w:tcW w:w="2160" w:type="dxa"/>
          </w:tcPr>
          <w:p w14:paraId="23A735E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因子年化收益</w:t>
            </w:r>
          </w:p>
        </w:tc>
        <w:tc>
          <w:tcPr>
            <w:tcW w:w="2160" w:type="dxa"/>
          </w:tcPr>
          <w:p w14:paraId="47F550D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年化贡献</w:t>
            </w:r>
          </w:p>
        </w:tc>
      </w:tr>
      <w:tr w14:paraId="6FFB4D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789DE891">
            <w:pPr>
              <w:spacing w:after="0" w:line="240" w:lineRule="auto"/>
              <w:jc w:val="center"/>
            </w:pPr>
            <w:r>
              <w:rPr>
                <w:sz w:val="18"/>
              </w:rPr>
              <w:t>Size</w:t>
            </w:r>
          </w:p>
        </w:tc>
        <w:tc>
          <w:tcPr>
            <w:tcW w:w="2160" w:type="dxa"/>
          </w:tcPr>
          <w:p w14:paraId="02325A9D">
            <w:pPr>
              <w:spacing w:after="0" w:line="240" w:lineRule="auto"/>
              <w:jc w:val="center"/>
            </w:pPr>
            <w:r>
              <w:rPr>
                <w:sz w:val="18"/>
              </w:rPr>
              <w:t>+0.449</w:t>
            </w:r>
          </w:p>
        </w:tc>
        <w:tc>
          <w:tcPr>
            <w:tcW w:w="2160" w:type="dxa"/>
          </w:tcPr>
          <w:p w14:paraId="0A0EC0D3">
            <w:pPr>
              <w:spacing w:after="0" w:line="240" w:lineRule="auto"/>
              <w:jc w:val="center"/>
            </w:pPr>
            <w:r>
              <w:rPr>
                <w:sz w:val="18"/>
              </w:rPr>
              <w:t>-3.00%</w:t>
            </w:r>
          </w:p>
        </w:tc>
        <w:tc>
          <w:tcPr>
            <w:tcW w:w="2160" w:type="dxa"/>
          </w:tcPr>
          <w:p w14:paraId="35327DFB">
            <w:pPr>
              <w:spacing w:after="0" w:line="240" w:lineRule="auto"/>
              <w:jc w:val="center"/>
            </w:pPr>
            <w:r>
              <w:rPr>
                <w:sz w:val="18"/>
              </w:rPr>
              <w:t>-1.35%</w:t>
            </w:r>
          </w:p>
        </w:tc>
      </w:tr>
      <w:tr w14:paraId="1CD722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3D0DD1AA">
            <w:pPr>
              <w:spacing w:after="0" w:line="240" w:lineRule="auto"/>
              <w:jc w:val="center"/>
            </w:pPr>
            <w:r>
              <w:rPr>
                <w:sz w:val="18"/>
              </w:rPr>
              <w:t>Value</w:t>
            </w:r>
          </w:p>
        </w:tc>
        <w:tc>
          <w:tcPr>
            <w:tcW w:w="2160" w:type="dxa"/>
          </w:tcPr>
          <w:p w14:paraId="0FEC0055">
            <w:pPr>
              <w:spacing w:after="0" w:line="240" w:lineRule="auto"/>
              <w:jc w:val="center"/>
            </w:pPr>
            <w:r>
              <w:rPr>
                <w:sz w:val="18"/>
              </w:rPr>
              <w:t>+0.223</w:t>
            </w:r>
          </w:p>
        </w:tc>
        <w:tc>
          <w:tcPr>
            <w:tcW w:w="2160" w:type="dxa"/>
          </w:tcPr>
          <w:p w14:paraId="48129E40">
            <w:pPr>
              <w:spacing w:after="0" w:line="240" w:lineRule="auto"/>
              <w:jc w:val="center"/>
            </w:pPr>
            <w:r>
              <w:rPr>
                <w:sz w:val="18"/>
              </w:rPr>
              <w:t>-3.41%</w:t>
            </w:r>
          </w:p>
        </w:tc>
        <w:tc>
          <w:tcPr>
            <w:tcW w:w="2160" w:type="dxa"/>
          </w:tcPr>
          <w:p w14:paraId="5FD3697E">
            <w:pPr>
              <w:spacing w:after="0" w:line="240" w:lineRule="auto"/>
              <w:jc w:val="center"/>
            </w:pPr>
            <w:r>
              <w:rPr>
                <w:sz w:val="18"/>
              </w:rPr>
              <w:t>-0.76%</w:t>
            </w:r>
          </w:p>
        </w:tc>
      </w:tr>
      <w:tr w14:paraId="458C0A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4903C398">
            <w:pPr>
              <w:spacing w:after="0" w:line="240" w:lineRule="auto"/>
              <w:jc w:val="center"/>
            </w:pPr>
            <w:r>
              <w:rPr>
                <w:sz w:val="18"/>
              </w:rPr>
              <w:t>Momentum</w:t>
            </w:r>
          </w:p>
        </w:tc>
        <w:tc>
          <w:tcPr>
            <w:tcW w:w="2160" w:type="dxa"/>
          </w:tcPr>
          <w:p w14:paraId="1286356D">
            <w:pPr>
              <w:spacing w:after="0" w:line="240" w:lineRule="auto"/>
              <w:jc w:val="center"/>
            </w:pPr>
            <w:r>
              <w:rPr>
                <w:sz w:val="18"/>
              </w:rPr>
              <w:t>-0.066</w:t>
            </w:r>
          </w:p>
        </w:tc>
        <w:tc>
          <w:tcPr>
            <w:tcW w:w="2160" w:type="dxa"/>
          </w:tcPr>
          <w:p w14:paraId="29B68C67">
            <w:pPr>
              <w:spacing w:after="0" w:line="240" w:lineRule="auto"/>
              <w:jc w:val="center"/>
            </w:pPr>
            <w:r>
              <w:rPr>
                <w:sz w:val="18"/>
              </w:rPr>
              <w:t>-5.34%</w:t>
            </w:r>
          </w:p>
        </w:tc>
        <w:tc>
          <w:tcPr>
            <w:tcW w:w="2160" w:type="dxa"/>
          </w:tcPr>
          <w:p w14:paraId="7153F3A0">
            <w:pPr>
              <w:spacing w:after="0" w:line="240" w:lineRule="auto"/>
              <w:jc w:val="center"/>
            </w:pPr>
            <w:r>
              <w:rPr>
                <w:sz w:val="18"/>
              </w:rPr>
              <w:t>+0.35%</w:t>
            </w:r>
          </w:p>
        </w:tc>
      </w:tr>
      <w:tr w14:paraId="48BCEE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6353AE01">
            <w:pPr>
              <w:spacing w:after="0" w:line="240" w:lineRule="auto"/>
              <w:jc w:val="center"/>
            </w:pPr>
            <w:r>
              <w:rPr>
                <w:sz w:val="18"/>
              </w:rPr>
              <w:t>Reversal</w:t>
            </w:r>
          </w:p>
        </w:tc>
        <w:tc>
          <w:tcPr>
            <w:tcW w:w="2160" w:type="dxa"/>
          </w:tcPr>
          <w:p w14:paraId="3DD9ACB7">
            <w:pPr>
              <w:spacing w:after="0" w:line="240" w:lineRule="auto"/>
              <w:jc w:val="center"/>
            </w:pPr>
            <w:r>
              <w:rPr>
                <w:sz w:val="18"/>
              </w:rPr>
              <w:t>+0.008</w:t>
            </w:r>
          </w:p>
        </w:tc>
        <w:tc>
          <w:tcPr>
            <w:tcW w:w="2160" w:type="dxa"/>
          </w:tcPr>
          <w:p w14:paraId="51056D7C">
            <w:pPr>
              <w:spacing w:after="0" w:line="240" w:lineRule="auto"/>
              <w:jc w:val="center"/>
            </w:pPr>
            <w:r>
              <w:rPr>
                <w:sz w:val="18"/>
              </w:rPr>
              <w:t>+4.98%</w:t>
            </w:r>
          </w:p>
        </w:tc>
        <w:tc>
          <w:tcPr>
            <w:tcW w:w="2160" w:type="dxa"/>
          </w:tcPr>
          <w:p w14:paraId="39CE8CCE">
            <w:pPr>
              <w:spacing w:after="0" w:line="240" w:lineRule="auto"/>
              <w:jc w:val="center"/>
            </w:pPr>
            <w:r>
              <w:rPr>
                <w:sz w:val="18"/>
              </w:rPr>
              <w:t>+0.04%</w:t>
            </w:r>
          </w:p>
        </w:tc>
      </w:tr>
      <w:tr w14:paraId="5BCFE5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3B02635C">
            <w:pPr>
              <w:spacing w:after="0" w:line="240" w:lineRule="auto"/>
              <w:jc w:val="center"/>
            </w:pPr>
            <w:r>
              <w:rPr>
                <w:sz w:val="18"/>
              </w:rPr>
              <w:t>风格因子合计</w:t>
            </w:r>
          </w:p>
        </w:tc>
        <w:tc>
          <w:tcPr>
            <w:tcW w:w="2160" w:type="dxa"/>
          </w:tcPr>
          <w:p w14:paraId="49843CD6">
            <w:pPr>
              <w:spacing w:after="0" w:line="240" w:lineRule="auto"/>
              <w:jc w:val="center"/>
            </w:pPr>
          </w:p>
        </w:tc>
        <w:tc>
          <w:tcPr>
            <w:tcW w:w="2160" w:type="dxa"/>
          </w:tcPr>
          <w:p w14:paraId="4CDC1255">
            <w:pPr>
              <w:spacing w:after="0" w:line="240" w:lineRule="auto"/>
              <w:jc w:val="center"/>
            </w:pPr>
          </w:p>
        </w:tc>
        <w:tc>
          <w:tcPr>
            <w:tcW w:w="2160" w:type="dxa"/>
          </w:tcPr>
          <w:p w14:paraId="379CEC51">
            <w:pPr>
              <w:spacing w:after="0" w:line="240" w:lineRule="auto"/>
              <w:jc w:val="center"/>
            </w:pPr>
            <w:r>
              <w:rPr>
                <w:sz w:val="18"/>
              </w:rPr>
              <w:t>-1.78%</w:t>
            </w:r>
          </w:p>
        </w:tc>
      </w:tr>
    </w:tbl>
    <w:p w14:paraId="1A024FE7">
      <w:r>
        <w:rPr>
          <w:rFonts w:ascii="宋体" w:hAnsi="宋体" w:eastAsia="宋体"/>
          <w:b w:val="0"/>
          <w:sz w:val="22"/>
        </w:rPr>
        <w:t>风格因子合计拖累-1.78%/年，策略Alpha完全来自特质收益（选股能力）。</w:t>
      </w:r>
    </w:p>
    <w:p w14:paraId="41761028">
      <w:r>
        <w:rPr>
          <w:rFonts w:ascii="宋体" w:hAnsi="宋体" w:eastAsia="宋体"/>
          <w:b w:val="0"/>
          <w:sz w:val="22"/>
        </w:rPr>
        <w:t>BARRA归因揭示了策略的"反直觉"特征：虽然组合偏小盘（Size暴露+0.449），但小盘因子收益为负（-3.00%/年），拖累1.35%；虽然组合偏价值（Value暴露+0.223），但价值因子收益也为负（-3.41%/年），拖累0.76%。反转因子收益最强（+4.98%/年），但组合反转暴露仅+0.008，贡献微弱。这意味着策略的收益并非来自"持有小盘+价值+反转"的风格暴露，而是来自在正确的时间选择了正确的股票——这正是真正的选股alpha。</w:t>
      </w:r>
    </w:p>
    <w:p w14:paraId="31B2C24D">
      <w:r>
        <w:rPr>
          <w:rFonts w:ascii="宋体" w:hAnsi="宋体" w:eastAsia="宋体"/>
          <w:b/>
          <w:sz w:val="22"/>
        </w:rPr>
        <w:t>Brinson归因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A03E1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7C6B96B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效应</w:t>
            </w:r>
          </w:p>
        </w:tc>
        <w:tc>
          <w:tcPr>
            <w:tcW w:w="2160" w:type="dxa"/>
          </w:tcPr>
          <w:p w14:paraId="737915B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月均值</w:t>
            </w:r>
          </w:p>
        </w:tc>
        <w:tc>
          <w:tcPr>
            <w:tcW w:w="2160" w:type="dxa"/>
          </w:tcPr>
          <w:p w14:paraId="53BE976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t值</w:t>
            </w:r>
          </w:p>
        </w:tc>
        <w:tc>
          <w:tcPr>
            <w:tcW w:w="2160" w:type="dxa"/>
          </w:tcPr>
          <w:p w14:paraId="621DEDC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年化贡献</w:t>
            </w:r>
          </w:p>
        </w:tc>
      </w:tr>
      <w:tr w14:paraId="3DF271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1FABD74C">
            <w:pPr>
              <w:spacing w:after="0" w:line="240" w:lineRule="auto"/>
              <w:jc w:val="center"/>
            </w:pPr>
            <w:r>
              <w:rPr>
                <w:sz w:val="18"/>
              </w:rPr>
              <w:t>资产配置</w:t>
            </w:r>
          </w:p>
        </w:tc>
        <w:tc>
          <w:tcPr>
            <w:tcW w:w="2160" w:type="dxa"/>
          </w:tcPr>
          <w:p w14:paraId="745B6CD4">
            <w:pPr>
              <w:spacing w:after="0" w:line="240" w:lineRule="auto"/>
              <w:jc w:val="center"/>
            </w:pPr>
            <w:r>
              <w:rPr>
                <w:sz w:val="18"/>
              </w:rPr>
              <w:t>0.021%</w:t>
            </w:r>
          </w:p>
        </w:tc>
        <w:tc>
          <w:tcPr>
            <w:tcW w:w="2160" w:type="dxa"/>
          </w:tcPr>
          <w:p w14:paraId="5E6BC980">
            <w:pPr>
              <w:spacing w:after="0" w:line="240" w:lineRule="auto"/>
              <w:jc w:val="center"/>
            </w:pPr>
            <w:r>
              <w:rPr>
                <w:sz w:val="18"/>
              </w:rPr>
              <w:t>0.31</w:t>
            </w:r>
          </w:p>
        </w:tc>
        <w:tc>
          <w:tcPr>
            <w:tcW w:w="2160" w:type="dxa"/>
          </w:tcPr>
          <w:p w14:paraId="0B8F9104">
            <w:pPr>
              <w:spacing w:after="0" w:line="240" w:lineRule="auto"/>
              <w:jc w:val="center"/>
            </w:pPr>
            <w:r>
              <w:rPr>
                <w:sz w:val="18"/>
              </w:rPr>
              <w:t>0.25%</w:t>
            </w:r>
          </w:p>
        </w:tc>
      </w:tr>
      <w:tr w14:paraId="4F0460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575B788A">
            <w:pPr>
              <w:spacing w:after="0" w:line="240" w:lineRule="auto"/>
              <w:jc w:val="center"/>
            </w:pPr>
            <w:r>
              <w:rPr>
                <w:sz w:val="18"/>
              </w:rPr>
              <w:t>选股</w:t>
            </w:r>
          </w:p>
        </w:tc>
        <w:tc>
          <w:tcPr>
            <w:tcW w:w="2160" w:type="dxa"/>
          </w:tcPr>
          <w:p w14:paraId="54F9EF6D">
            <w:pPr>
              <w:spacing w:after="0" w:line="240" w:lineRule="auto"/>
              <w:jc w:val="center"/>
            </w:pPr>
            <w:r>
              <w:rPr>
                <w:sz w:val="18"/>
              </w:rPr>
              <w:t>0.385%</w:t>
            </w:r>
          </w:p>
        </w:tc>
        <w:tc>
          <w:tcPr>
            <w:tcW w:w="2160" w:type="dxa"/>
          </w:tcPr>
          <w:p w14:paraId="5059251B">
            <w:pPr>
              <w:spacing w:after="0" w:line="240" w:lineRule="auto"/>
              <w:jc w:val="center"/>
            </w:pPr>
            <w:r>
              <w:rPr>
                <w:sz w:val="18"/>
              </w:rPr>
              <w:t>2.67**</w:t>
            </w:r>
          </w:p>
        </w:tc>
        <w:tc>
          <w:tcPr>
            <w:tcW w:w="2160" w:type="dxa"/>
          </w:tcPr>
          <w:p w14:paraId="334AD1D6">
            <w:pPr>
              <w:spacing w:after="0" w:line="240" w:lineRule="auto"/>
              <w:jc w:val="center"/>
            </w:pPr>
            <w:r>
              <w:rPr>
                <w:sz w:val="18"/>
              </w:rPr>
              <w:t>4.62%</w:t>
            </w:r>
          </w:p>
        </w:tc>
      </w:tr>
      <w:tr w14:paraId="237E1D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15804C93">
            <w:pPr>
              <w:spacing w:after="0" w:line="240" w:lineRule="auto"/>
              <w:jc w:val="center"/>
            </w:pPr>
            <w:r>
              <w:rPr>
                <w:sz w:val="18"/>
              </w:rPr>
              <w:t>交互效应</w:t>
            </w:r>
          </w:p>
        </w:tc>
        <w:tc>
          <w:tcPr>
            <w:tcW w:w="2160" w:type="dxa"/>
          </w:tcPr>
          <w:p w14:paraId="49913A82">
            <w:pPr>
              <w:spacing w:after="0" w:line="240" w:lineRule="auto"/>
              <w:jc w:val="center"/>
            </w:pPr>
            <w:r>
              <w:rPr>
                <w:sz w:val="18"/>
              </w:rPr>
              <w:t>-0.109%</w:t>
            </w:r>
          </w:p>
        </w:tc>
        <w:tc>
          <w:tcPr>
            <w:tcW w:w="2160" w:type="dxa"/>
          </w:tcPr>
          <w:p w14:paraId="2ACCF5A7">
            <w:pPr>
              <w:spacing w:after="0" w:line="240" w:lineRule="auto"/>
              <w:jc w:val="center"/>
            </w:pPr>
            <w:r>
              <w:rPr>
                <w:sz w:val="18"/>
              </w:rPr>
              <w:t>-1.60</w:t>
            </w:r>
          </w:p>
        </w:tc>
        <w:tc>
          <w:tcPr>
            <w:tcW w:w="2160" w:type="dxa"/>
          </w:tcPr>
          <w:p w14:paraId="655FB00D">
            <w:pPr>
              <w:spacing w:after="0" w:line="240" w:lineRule="auto"/>
              <w:jc w:val="center"/>
            </w:pPr>
            <w:r>
              <w:rPr>
                <w:sz w:val="18"/>
              </w:rPr>
              <w:t>-1.31%</w:t>
            </w:r>
          </w:p>
        </w:tc>
      </w:tr>
      <w:tr w14:paraId="7418BB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42A44270">
            <w:pPr>
              <w:spacing w:after="0" w:line="240" w:lineRule="auto"/>
              <w:jc w:val="center"/>
            </w:pPr>
            <w:r>
              <w:rPr>
                <w:sz w:val="18"/>
              </w:rPr>
              <w:t>主动收益</w:t>
            </w:r>
          </w:p>
        </w:tc>
        <w:tc>
          <w:tcPr>
            <w:tcW w:w="2160" w:type="dxa"/>
          </w:tcPr>
          <w:p w14:paraId="057C0561">
            <w:pPr>
              <w:spacing w:after="0" w:line="240" w:lineRule="auto"/>
              <w:jc w:val="center"/>
            </w:pPr>
            <w:r>
              <w:rPr>
                <w:sz w:val="18"/>
              </w:rPr>
              <w:t>0.297%</w:t>
            </w:r>
          </w:p>
        </w:tc>
        <w:tc>
          <w:tcPr>
            <w:tcW w:w="2160" w:type="dxa"/>
          </w:tcPr>
          <w:p w14:paraId="53736ED8">
            <w:pPr>
              <w:spacing w:after="0" w:line="240" w:lineRule="auto"/>
              <w:jc w:val="center"/>
            </w:pPr>
            <w:r>
              <w:rPr>
                <w:sz w:val="18"/>
              </w:rPr>
              <w:t>1.92</w:t>
            </w:r>
          </w:p>
        </w:tc>
        <w:tc>
          <w:tcPr>
            <w:tcW w:w="2160" w:type="dxa"/>
          </w:tcPr>
          <w:p w14:paraId="44656E18">
            <w:pPr>
              <w:spacing w:after="0" w:line="240" w:lineRule="auto"/>
              <w:jc w:val="center"/>
            </w:pPr>
            <w:r>
              <w:rPr>
                <w:sz w:val="18"/>
              </w:rPr>
              <w:t>3.56%</w:t>
            </w:r>
          </w:p>
        </w:tc>
      </w:tr>
    </w:tbl>
    <w:p w14:paraId="3C16CBDC">
      <w:r>
        <w:rPr>
          <w:rFonts w:ascii="宋体" w:hAnsi="宋体" w:eastAsia="宋体"/>
          <w:b w:val="0"/>
          <w:sz w:val="22"/>
        </w:rPr>
        <w:t>选股效应是主动收益的核心来源（4.62%/年，t=2.67）。</w:t>
      </w:r>
    </w:p>
    <w:p w14:paraId="61A8891B">
      <w:r>
        <w:rPr>
          <w:rFonts w:ascii="宋体" w:hAnsi="宋体" w:eastAsia="宋体"/>
          <w:b w:val="0"/>
          <w:sz w:val="22"/>
        </w:rPr>
        <w:t>Brinson归因按波动率五分位分组，进一步确认了选股能力的来源：策略超配高波动组（G4+G5合计49.42% vs 基准39.98%），在高波动组内的选股收益显著高于基准（G5组合选股1.25%/月 vs 基准0.62%/月）。交互效应为负（-1.31%/年），说明超配的高波动组内部分个股表现不如基准，但这被选股效应充分弥补。资产配置效应微弱（0.25%/年），说明策略的价值不在于"配对行业/风格"，而在于"在同风格中选出更好的股票"。</w:t>
      </w:r>
    </w:p>
    <w:p w14:paraId="54D314C6">
      <w:pPr>
        <w:pStyle w:val="4"/>
      </w:pPr>
      <w:r>
        <w:t>1.6 与市场常见量化策略对比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F5F2A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049BAB8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策略类型</w:t>
            </w:r>
          </w:p>
        </w:tc>
        <w:tc>
          <w:tcPr>
            <w:tcW w:w="2160" w:type="dxa"/>
          </w:tcPr>
          <w:p w14:paraId="4206CF2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典型夏普</w:t>
            </w:r>
          </w:p>
        </w:tc>
        <w:tc>
          <w:tcPr>
            <w:tcW w:w="2160" w:type="dxa"/>
          </w:tcPr>
          <w:p w14:paraId="0F10504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本策略夏普</w:t>
            </w:r>
          </w:p>
        </w:tc>
        <w:tc>
          <w:tcPr>
            <w:tcW w:w="2160" w:type="dxa"/>
          </w:tcPr>
          <w:p w14:paraId="2B739B6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评价</w:t>
            </w:r>
          </w:p>
        </w:tc>
      </w:tr>
      <w:tr w14:paraId="14DF4D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512B4F10">
            <w:pPr>
              <w:spacing w:after="0" w:line="240" w:lineRule="auto"/>
              <w:jc w:val="center"/>
            </w:pPr>
            <w:r>
              <w:rPr>
                <w:sz w:val="18"/>
              </w:rPr>
              <w:t>A股反转学术策略</w:t>
            </w:r>
          </w:p>
        </w:tc>
        <w:tc>
          <w:tcPr>
            <w:tcW w:w="2160" w:type="dxa"/>
          </w:tcPr>
          <w:p w14:paraId="13BDAA91">
            <w:pPr>
              <w:spacing w:after="0" w:line="240" w:lineRule="auto"/>
              <w:jc w:val="center"/>
            </w:pPr>
            <w:r>
              <w:rPr>
                <w:sz w:val="18"/>
              </w:rPr>
              <w:t>0.5-0.8</w:t>
            </w:r>
          </w:p>
        </w:tc>
        <w:tc>
          <w:tcPr>
            <w:tcW w:w="2160" w:type="dxa"/>
          </w:tcPr>
          <w:p w14:paraId="073AEF73">
            <w:pPr>
              <w:spacing w:after="0" w:line="240" w:lineRule="auto"/>
              <w:jc w:val="center"/>
            </w:pPr>
            <w:r>
              <w:rPr>
                <w:sz w:val="18"/>
              </w:rPr>
              <w:t>1.27</w:t>
            </w:r>
          </w:p>
        </w:tc>
        <w:tc>
          <w:tcPr>
            <w:tcW w:w="2160" w:type="dxa"/>
          </w:tcPr>
          <w:p w14:paraId="3921C849">
            <w:pPr>
              <w:spacing w:after="0" w:line="240" w:lineRule="auto"/>
              <w:jc w:val="center"/>
            </w:pPr>
            <w:r>
              <w:rPr>
                <w:sz w:val="18"/>
              </w:rPr>
              <w:t>显著优于学术基准</w:t>
            </w:r>
          </w:p>
        </w:tc>
      </w:tr>
      <w:tr w14:paraId="44042E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05C27117">
            <w:pPr>
              <w:spacing w:after="0" w:line="240" w:lineRule="auto"/>
              <w:jc w:val="center"/>
            </w:pPr>
            <w:r>
              <w:rPr>
                <w:sz w:val="18"/>
              </w:rPr>
              <w:t>A股多因子(FF3+)</w:t>
            </w:r>
          </w:p>
        </w:tc>
        <w:tc>
          <w:tcPr>
            <w:tcW w:w="2160" w:type="dxa"/>
          </w:tcPr>
          <w:p w14:paraId="4146CC8D">
            <w:pPr>
              <w:spacing w:after="0" w:line="240" w:lineRule="auto"/>
              <w:jc w:val="center"/>
            </w:pPr>
            <w:r>
              <w:rPr>
                <w:sz w:val="18"/>
              </w:rPr>
              <w:t>0.8-1.2</w:t>
            </w:r>
          </w:p>
        </w:tc>
        <w:tc>
          <w:tcPr>
            <w:tcW w:w="2160" w:type="dxa"/>
          </w:tcPr>
          <w:p w14:paraId="55EDA810">
            <w:pPr>
              <w:spacing w:after="0" w:line="240" w:lineRule="auto"/>
              <w:jc w:val="center"/>
            </w:pPr>
            <w:r>
              <w:rPr>
                <w:sz w:val="18"/>
              </w:rPr>
              <w:t>1.27</w:t>
            </w:r>
          </w:p>
        </w:tc>
        <w:tc>
          <w:tcPr>
            <w:tcW w:w="2160" w:type="dxa"/>
          </w:tcPr>
          <w:p w14:paraId="173D87BC">
            <w:pPr>
              <w:spacing w:after="0" w:line="240" w:lineRule="auto"/>
              <w:jc w:val="center"/>
            </w:pPr>
            <w:r>
              <w:rPr>
                <w:sz w:val="18"/>
              </w:rPr>
              <w:t>处于同类上沿</w:t>
            </w:r>
          </w:p>
        </w:tc>
      </w:tr>
      <w:tr w14:paraId="1FCBFA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05795E12">
            <w:pPr>
              <w:spacing w:after="0" w:line="240" w:lineRule="auto"/>
              <w:jc w:val="center"/>
            </w:pPr>
            <w:r>
              <w:rPr>
                <w:sz w:val="18"/>
              </w:rPr>
              <w:t>A股ML模型(XGBoost等)</w:t>
            </w:r>
          </w:p>
        </w:tc>
        <w:tc>
          <w:tcPr>
            <w:tcW w:w="2160" w:type="dxa"/>
          </w:tcPr>
          <w:p w14:paraId="39C1B52B">
            <w:pPr>
              <w:spacing w:after="0" w:line="240" w:lineRule="auto"/>
              <w:jc w:val="center"/>
            </w:pPr>
            <w:r>
              <w:rPr>
                <w:sz w:val="18"/>
              </w:rPr>
              <w:t>0.8-1.2</w:t>
            </w:r>
          </w:p>
        </w:tc>
        <w:tc>
          <w:tcPr>
            <w:tcW w:w="2160" w:type="dxa"/>
          </w:tcPr>
          <w:p w14:paraId="137C4389">
            <w:pPr>
              <w:spacing w:after="0" w:line="240" w:lineRule="auto"/>
              <w:jc w:val="center"/>
            </w:pPr>
            <w:r>
              <w:rPr>
                <w:sz w:val="18"/>
              </w:rPr>
              <w:t>1.27</w:t>
            </w:r>
          </w:p>
        </w:tc>
        <w:tc>
          <w:tcPr>
            <w:tcW w:w="2160" w:type="dxa"/>
          </w:tcPr>
          <w:p w14:paraId="7D3B2B9D">
            <w:pPr>
              <w:spacing w:after="0" w:line="240" w:lineRule="auto"/>
              <w:jc w:val="center"/>
            </w:pPr>
            <w:r>
              <w:rPr>
                <w:sz w:val="18"/>
              </w:rPr>
              <w:t>接近顶级ML模型</w:t>
            </w:r>
          </w:p>
        </w:tc>
      </w:tr>
      <w:tr w14:paraId="23AA01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0CBECC34">
            <w:pPr>
              <w:spacing w:after="0" w:line="240" w:lineRule="auto"/>
              <w:jc w:val="center"/>
            </w:pPr>
            <w:r>
              <w:rPr>
                <w:sz w:val="18"/>
              </w:rPr>
              <w:t>指数增强(沪深300)</w:t>
            </w:r>
          </w:p>
        </w:tc>
        <w:tc>
          <w:tcPr>
            <w:tcW w:w="2160" w:type="dxa"/>
          </w:tcPr>
          <w:p w14:paraId="493983B2">
            <w:pPr>
              <w:spacing w:after="0" w:line="240" w:lineRule="auto"/>
              <w:jc w:val="center"/>
            </w:pPr>
            <w:r>
              <w:rPr>
                <w:sz w:val="18"/>
              </w:rPr>
              <w:t>0.5-1.0</w:t>
            </w:r>
          </w:p>
        </w:tc>
        <w:tc>
          <w:tcPr>
            <w:tcW w:w="2160" w:type="dxa"/>
          </w:tcPr>
          <w:p w14:paraId="65367696">
            <w:pPr>
              <w:spacing w:after="0" w:line="240" w:lineRule="auto"/>
              <w:jc w:val="center"/>
            </w:pPr>
            <w:r>
              <w:rPr>
                <w:sz w:val="18"/>
              </w:rPr>
              <w:t>1.27</w:t>
            </w:r>
          </w:p>
        </w:tc>
        <w:tc>
          <w:tcPr>
            <w:tcW w:w="2160" w:type="dxa"/>
          </w:tcPr>
          <w:p w14:paraId="423ECE80">
            <w:pPr>
              <w:spacing w:after="0" w:line="240" w:lineRule="auto"/>
              <w:jc w:val="center"/>
            </w:pPr>
            <w:r>
              <w:rPr>
                <w:sz w:val="18"/>
              </w:rPr>
              <w:t>显著优于指数增强</w:t>
            </w:r>
          </w:p>
        </w:tc>
      </w:tr>
    </w:tbl>
    <w:p w14:paraId="78F616EF">
      <w:r>
        <w:rPr>
          <w:rFonts w:ascii="宋体" w:hAnsi="宋体" w:eastAsia="宋体"/>
          <w:b w:val="0"/>
          <w:sz w:val="22"/>
        </w:rPr>
        <w:t>本策略夏普1.22显著优于A股反转学术策略基准（0.5-0.8），处于多因子策略上沿。与Liu et al.(2019)的学术反转策略对比，本策略是纯多头（MKT Beta≈0.45），而学术策略是多空组合（MKT Beta≈0），两者结构不同。但本策略的alpha（14.58%/年，t=5.02）远高于学术标准（t&gt;2），说明策略具有独立的学术价值。</w:t>
      </w:r>
    </w:p>
    <w:p w14:paraId="49B310E1">
      <w:r>
        <w:br w:type="page"/>
      </w:r>
    </w:p>
    <w:p w14:paraId="18C60922">
      <w:pPr>
        <w:pStyle w:val="3"/>
      </w:pPr>
      <w:r>
        <w:t>第二部分：优化历程</w:t>
      </w:r>
    </w:p>
    <w:p w14:paraId="6DBD9668">
      <w:pPr>
        <w:pStyle w:val="4"/>
      </w:pPr>
      <w:r>
        <w:t>2.1 基础策略探索</w:t>
      </w:r>
    </w:p>
    <w:p w14:paraId="13B34B80">
      <w:r>
        <w:rPr>
          <w:rFonts w:ascii="宋体" w:hAnsi="宋体" w:eastAsia="宋体"/>
          <w:b w:val="0"/>
          <w:sz w:val="22"/>
        </w:rPr>
        <w:t>这一阶段从零开始构建反转策略，探索核心参数并评估可交易性。所有实验均使用2005-2025年月度数据，共252个月。</w:t>
      </w:r>
    </w:p>
    <w:p w14:paraId="419DAB41">
      <w:r>
        <w:rPr>
          <w:rFonts w:ascii="宋体" w:hAnsi="宋体" w:eastAsia="宋体"/>
          <w:b/>
          <w:sz w:val="22"/>
        </w:rPr>
        <w:t>实验1：形成期探索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0298A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55D939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形成期</w:t>
            </w:r>
          </w:p>
        </w:tc>
        <w:tc>
          <w:tcPr>
            <w:tcW w:w="1728" w:type="dxa"/>
          </w:tcPr>
          <w:p w14:paraId="05E1F86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523DA7F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夏普比率</w:t>
            </w:r>
          </w:p>
        </w:tc>
        <w:tc>
          <w:tcPr>
            <w:tcW w:w="1728" w:type="dxa"/>
          </w:tcPr>
          <w:p w14:paraId="71BC8D1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5E91FC3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年化换手</w:t>
            </w:r>
          </w:p>
        </w:tc>
      </w:tr>
      <w:tr w14:paraId="314439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1CF9771A">
            <w:pPr>
              <w:spacing w:after="0" w:line="240" w:lineRule="auto"/>
              <w:jc w:val="center"/>
            </w:pPr>
            <w:r>
              <w:rPr>
                <w:sz w:val="18"/>
              </w:rPr>
              <w:t>1月</w:t>
            </w:r>
          </w:p>
        </w:tc>
        <w:tc>
          <w:tcPr>
            <w:tcW w:w="1728" w:type="dxa"/>
          </w:tcPr>
          <w:p w14:paraId="0609528D">
            <w:pPr>
              <w:spacing w:after="0" w:line="240" w:lineRule="auto"/>
              <w:jc w:val="center"/>
            </w:pPr>
            <w:r>
              <w:rPr>
                <w:sz w:val="18"/>
              </w:rPr>
              <w:t>6.49%</w:t>
            </w:r>
          </w:p>
        </w:tc>
        <w:tc>
          <w:tcPr>
            <w:tcW w:w="1728" w:type="dxa"/>
          </w:tcPr>
          <w:p w14:paraId="2B8B384E">
            <w:pPr>
              <w:spacing w:after="0" w:line="240" w:lineRule="auto"/>
              <w:jc w:val="center"/>
            </w:pPr>
            <w:r>
              <w:rPr>
                <w:sz w:val="18"/>
              </w:rPr>
              <w:t>0.35</w:t>
            </w:r>
          </w:p>
        </w:tc>
        <w:tc>
          <w:tcPr>
            <w:tcW w:w="1728" w:type="dxa"/>
          </w:tcPr>
          <w:p w14:paraId="400D474C">
            <w:pPr>
              <w:spacing w:after="0" w:line="240" w:lineRule="auto"/>
              <w:jc w:val="center"/>
            </w:pPr>
            <w:r>
              <w:rPr>
                <w:sz w:val="18"/>
              </w:rPr>
              <w:t>-92.26%</w:t>
            </w:r>
          </w:p>
        </w:tc>
        <w:tc>
          <w:tcPr>
            <w:tcW w:w="1728" w:type="dxa"/>
          </w:tcPr>
          <w:p>
            <w:r>
              <w:t>656%</w:t>
            </w:r>
          </w:p>
        </w:tc>
      </w:tr>
      <w:tr w14:paraId="38C6CD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1C1A356C">
            <w:pPr>
              <w:spacing w:after="0" w:line="240" w:lineRule="auto"/>
              <w:jc w:val="center"/>
            </w:pPr>
            <w:r>
              <w:rPr>
                <w:sz w:val="18"/>
              </w:rPr>
              <w:t>3月</w:t>
            </w:r>
          </w:p>
        </w:tc>
        <w:tc>
          <w:tcPr>
            <w:tcW w:w="1728" w:type="dxa"/>
          </w:tcPr>
          <w:p w14:paraId="74A4A705">
            <w:pPr>
              <w:spacing w:after="0" w:line="240" w:lineRule="auto"/>
              <w:jc w:val="center"/>
            </w:pPr>
            <w:r>
              <w:rPr>
                <w:sz w:val="18"/>
              </w:rPr>
              <w:t>17.02%</w:t>
            </w:r>
          </w:p>
        </w:tc>
        <w:tc>
          <w:tcPr>
            <w:tcW w:w="1728" w:type="dxa"/>
          </w:tcPr>
          <w:p w14:paraId="7CDEB88B">
            <w:pPr>
              <w:spacing w:after="0" w:line="240" w:lineRule="auto"/>
              <w:jc w:val="center"/>
            </w:pPr>
            <w:r>
              <w:rPr>
                <w:sz w:val="18"/>
              </w:rPr>
              <w:t>0.60</w:t>
            </w:r>
          </w:p>
        </w:tc>
        <w:tc>
          <w:tcPr>
            <w:tcW w:w="1728" w:type="dxa"/>
          </w:tcPr>
          <w:p w14:paraId="7220D307">
            <w:pPr>
              <w:spacing w:after="0" w:line="240" w:lineRule="auto"/>
              <w:jc w:val="center"/>
            </w:pPr>
            <w:r>
              <w:rPr>
                <w:sz w:val="18"/>
              </w:rPr>
              <w:t>-72.48%</w:t>
            </w:r>
          </w:p>
        </w:tc>
        <w:tc>
          <w:tcPr>
            <w:tcW w:w="1728" w:type="dxa"/>
          </w:tcPr>
          <w:p w14:paraId="7A6A9F92">
            <w:pPr>
              <w:spacing w:after="0" w:line="240" w:lineRule="auto"/>
              <w:jc w:val="center"/>
            </w:pPr>
            <w:r>
              <w:rPr>
                <w:sz w:val="18"/>
              </w:rPr>
              <w:t>900%</w:t>
            </w:r>
          </w:p>
        </w:tc>
      </w:tr>
      <w:tr w14:paraId="4C0E4E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7E632D7B">
            <w:pPr>
              <w:spacing w:after="0" w:line="240" w:lineRule="auto"/>
              <w:jc w:val="center"/>
            </w:pPr>
            <w:r>
              <w:rPr>
                <w:sz w:val="18"/>
              </w:rPr>
              <w:t>6月</w:t>
            </w:r>
          </w:p>
        </w:tc>
        <w:tc>
          <w:tcPr>
            <w:tcW w:w="1728" w:type="dxa"/>
          </w:tcPr>
          <w:p w14:paraId="5E68FBCE">
            <w:pPr>
              <w:spacing w:after="0" w:line="240" w:lineRule="auto"/>
              <w:jc w:val="center"/>
            </w:pPr>
            <w:r>
              <w:rPr>
                <w:sz w:val="18"/>
              </w:rPr>
              <w:t>16.67%</w:t>
            </w:r>
          </w:p>
        </w:tc>
        <w:tc>
          <w:tcPr>
            <w:tcW w:w="1728" w:type="dxa"/>
          </w:tcPr>
          <w:p w14:paraId="0F146B06">
            <w:pPr>
              <w:spacing w:after="0" w:line="240" w:lineRule="auto"/>
              <w:jc w:val="center"/>
            </w:pPr>
            <w:r>
              <w:rPr>
                <w:sz w:val="18"/>
              </w:rPr>
              <w:t>0.59</w:t>
            </w:r>
          </w:p>
        </w:tc>
        <w:tc>
          <w:tcPr>
            <w:tcW w:w="1728" w:type="dxa"/>
          </w:tcPr>
          <w:p w14:paraId="707AB6D9">
            <w:pPr>
              <w:spacing w:after="0" w:line="240" w:lineRule="auto"/>
              <w:jc w:val="center"/>
            </w:pPr>
            <w:r>
              <w:rPr>
                <w:sz w:val="18"/>
              </w:rPr>
              <w:t>-71.53%</w:t>
            </w:r>
          </w:p>
        </w:tc>
        <w:tc>
          <w:tcPr>
            <w:tcW w:w="1728" w:type="dxa"/>
          </w:tcPr>
          <w:p w14:paraId="6C05F1F5">
            <w:pPr>
              <w:spacing w:after="0" w:line="240" w:lineRule="auto"/>
              <w:jc w:val="center"/>
            </w:pPr>
            <w:r>
              <w:rPr>
                <w:sz w:val="18"/>
              </w:rPr>
              <w:t>717%</w:t>
            </w:r>
          </w:p>
        </w:tc>
      </w:tr>
      <w:tr w14:paraId="1D3EE3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6E6A8B80">
            <w:pPr>
              <w:spacing w:after="0" w:line="240" w:lineRule="auto"/>
              <w:jc w:val="center"/>
            </w:pPr>
            <w:r>
              <w:rPr>
                <w:sz w:val="18"/>
              </w:rPr>
              <w:t>12月</w:t>
            </w:r>
          </w:p>
        </w:tc>
        <w:tc>
          <w:tcPr>
            <w:tcW w:w="1728" w:type="dxa"/>
          </w:tcPr>
          <w:p w14:paraId="5ECE7036">
            <w:pPr>
              <w:spacing w:after="0" w:line="240" w:lineRule="auto"/>
              <w:jc w:val="center"/>
            </w:pPr>
            <w:r>
              <w:rPr>
                <w:sz w:val="18"/>
              </w:rPr>
              <w:t>8.90%</w:t>
            </w:r>
          </w:p>
        </w:tc>
        <w:tc>
          <w:tcPr>
            <w:tcW w:w="1728" w:type="dxa"/>
          </w:tcPr>
          <w:p w14:paraId="0D99CE68">
            <w:pPr>
              <w:spacing w:after="0" w:line="240" w:lineRule="auto"/>
              <w:jc w:val="center"/>
            </w:pPr>
            <w:r>
              <w:rPr>
                <w:sz w:val="18"/>
              </w:rPr>
              <w:t>0.41</w:t>
            </w:r>
          </w:p>
        </w:tc>
        <w:tc>
          <w:tcPr>
            <w:tcW w:w="1728" w:type="dxa"/>
          </w:tcPr>
          <w:p w14:paraId="6DF69DAE">
            <w:pPr>
              <w:spacing w:after="0" w:line="240" w:lineRule="auto"/>
              <w:jc w:val="center"/>
            </w:pPr>
            <w:r>
              <w:rPr>
                <w:sz w:val="18"/>
              </w:rPr>
              <w:t>-82.32%</w:t>
            </w:r>
          </w:p>
        </w:tc>
        <w:tc>
          <w:tcPr>
            <w:tcW w:w="1728" w:type="dxa"/>
          </w:tcPr>
          <w:p w14:paraId="5A6C0D57">
            <w:pPr>
              <w:spacing w:after="0" w:line="240" w:lineRule="auto"/>
              <w:jc w:val="center"/>
            </w:pPr>
            <w:r>
              <w:rPr>
                <w:sz w:val="18"/>
              </w:rPr>
              <w:t>539%</w:t>
            </w:r>
          </w:p>
        </w:tc>
      </w:tr>
    </w:tbl>
    <w:p w14:paraId="7FDE1DB9">
      <w:r>
        <w:rPr>
          <w:rFonts w:ascii="宋体" w:hAnsi="宋体" w:eastAsia="宋体"/>
          <w:b w:val="0"/>
          <w:sz w:val="22"/>
        </w:rPr>
        <w:t>中期反转效应最强（K=3/6），短期反转风险极大（K=1回撤-92%），长期反转效应衰减（K=12）。K=3取得最高年化收益17.02%和夏普0.60，但K=6换手率更低（717% vs 900%）。后续K值全参数扫描（Week 7）进一步发现K=5夏普0.71与K=6相同，但换手率703%高于K=6的656%，因此K=6仍是性价比最优选择。</w:t>
      </w:r>
    </w:p>
    <w:p w14:paraId="38839AD3">
      <w:r>
        <w:rPr>
          <w:rFonts w:ascii="宋体" w:hAnsi="宋体" w:eastAsia="宋体"/>
          <w:b/>
          <w:sz w:val="22"/>
        </w:rPr>
        <w:t>实验2：信号标准化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24C8C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7BAE946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标准化方法</w:t>
            </w:r>
          </w:p>
        </w:tc>
        <w:tc>
          <w:tcPr>
            <w:tcW w:w="2160" w:type="dxa"/>
          </w:tcPr>
          <w:p w14:paraId="4D6C00C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2160" w:type="dxa"/>
          </w:tcPr>
          <w:p w14:paraId="59B9669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夏普比率</w:t>
            </w:r>
          </w:p>
        </w:tc>
        <w:tc>
          <w:tcPr>
            <w:tcW w:w="2160" w:type="dxa"/>
          </w:tcPr>
          <w:p w14:paraId="078B866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</w:tr>
      <w:tr w14:paraId="0A4476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44D11ED9">
            <w:pPr>
              <w:spacing w:after="0" w:line="240" w:lineRule="auto"/>
              <w:jc w:val="center"/>
            </w:pPr>
            <w:r>
              <w:rPr>
                <w:sz w:val="18"/>
              </w:rPr>
              <w:t>Raw</w:t>
            </w:r>
          </w:p>
        </w:tc>
        <w:tc>
          <w:tcPr>
            <w:tcW w:w="2160" w:type="dxa"/>
          </w:tcPr>
          <w:p w14:paraId="3B72EAAD">
            <w:pPr>
              <w:spacing w:after="0" w:line="240" w:lineRule="auto"/>
              <w:jc w:val="center"/>
            </w:pPr>
            <w:r>
              <w:rPr>
                <w:sz w:val="18"/>
              </w:rPr>
              <w:t>17.02%</w:t>
            </w:r>
          </w:p>
        </w:tc>
        <w:tc>
          <w:tcPr>
            <w:tcW w:w="2160" w:type="dxa"/>
          </w:tcPr>
          <w:p w14:paraId="066F306B">
            <w:pPr>
              <w:spacing w:after="0" w:line="240" w:lineRule="auto"/>
              <w:jc w:val="center"/>
            </w:pPr>
            <w:r>
              <w:rPr>
                <w:sz w:val="18"/>
              </w:rPr>
              <w:t>0.60</w:t>
            </w:r>
          </w:p>
        </w:tc>
        <w:tc>
          <w:tcPr>
            <w:tcW w:w="2160" w:type="dxa"/>
          </w:tcPr>
          <w:p w14:paraId="39645511">
            <w:pPr>
              <w:spacing w:after="0" w:line="240" w:lineRule="auto"/>
              <w:jc w:val="center"/>
            </w:pPr>
            <w:r>
              <w:rPr>
                <w:sz w:val="18"/>
              </w:rPr>
              <w:t>-72.48%</w:t>
            </w:r>
          </w:p>
        </w:tc>
      </w:tr>
      <w:tr w14:paraId="40723C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26B9CC33">
            <w:pPr>
              <w:spacing w:after="0" w:line="240" w:lineRule="auto"/>
              <w:jc w:val="center"/>
            </w:pPr>
            <w:r>
              <w:rPr>
                <w:sz w:val="18"/>
              </w:rPr>
              <w:t>Rank</w:t>
            </w:r>
          </w:p>
        </w:tc>
        <w:tc>
          <w:tcPr>
            <w:tcW w:w="2160" w:type="dxa"/>
          </w:tcPr>
          <w:p w14:paraId="2A61DFDD">
            <w:pPr>
              <w:spacing w:after="0" w:line="240" w:lineRule="auto"/>
              <w:jc w:val="center"/>
            </w:pPr>
            <w:r>
              <w:rPr>
                <w:sz w:val="18"/>
              </w:rPr>
              <w:t>17.02%</w:t>
            </w:r>
          </w:p>
        </w:tc>
        <w:tc>
          <w:tcPr>
            <w:tcW w:w="2160" w:type="dxa"/>
          </w:tcPr>
          <w:p w14:paraId="43AFC62A">
            <w:pPr>
              <w:spacing w:after="0" w:line="240" w:lineRule="auto"/>
              <w:jc w:val="center"/>
            </w:pPr>
            <w:r>
              <w:rPr>
                <w:sz w:val="18"/>
              </w:rPr>
              <w:t>0.60</w:t>
            </w:r>
          </w:p>
        </w:tc>
        <w:tc>
          <w:tcPr>
            <w:tcW w:w="2160" w:type="dxa"/>
          </w:tcPr>
          <w:p w14:paraId="504F3CDD">
            <w:pPr>
              <w:spacing w:after="0" w:line="240" w:lineRule="auto"/>
              <w:jc w:val="center"/>
            </w:pPr>
            <w:r>
              <w:rPr>
                <w:sz w:val="18"/>
              </w:rPr>
              <w:t>-72.48%</w:t>
            </w:r>
          </w:p>
        </w:tc>
      </w:tr>
      <w:tr w14:paraId="1DAD90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02884C3F">
            <w:pPr>
              <w:spacing w:after="0" w:line="240" w:lineRule="auto"/>
              <w:jc w:val="center"/>
            </w:pPr>
            <w:r>
              <w:rPr>
                <w:sz w:val="18"/>
              </w:rPr>
              <w:t>Z-score</w:t>
            </w:r>
          </w:p>
        </w:tc>
        <w:tc>
          <w:tcPr>
            <w:tcW w:w="2160" w:type="dxa"/>
          </w:tcPr>
          <w:p w14:paraId="5B48DDC1">
            <w:pPr>
              <w:spacing w:after="0" w:line="240" w:lineRule="auto"/>
              <w:jc w:val="center"/>
            </w:pPr>
            <w:r>
              <w:rPr>
                <w:sz w:val="18"/>
              </w:rPr>
              <w:t>17.02%</w:t>
            </w:r>
          </w:p>
        </w:tc>
        <w:tc>
          <w:tcPr>
            <w:tcW w:w="2160" w:type="dxa"/>
          </w:tcPr>
          <w:p w14:paraId="17A87606">
            <w:pPr>
              <w:spacing w:after="0" w:line="240" w:lineRule="auto"/>
              <w:jc w:val="center"/>
            </w:pPr>
            <w:r>
              <w:rPr>
                <w:sz w:val="18"/>
              </w:rPr>
              <w:t>0.60</w:t>
            </w:r>
          </w:p>
        </w:tc>
        <w:tc>
          <w:tcPr>
            <w:tcW w:w="2160" w:type="dxa"/>
          </w:tcPr>
          <w:p w14:paraId="7D047E80">
            <w:pPr>
              <w:spacing w:after="0" w:line="240" w:lineRule="auto"/>
              <w:jc w:val="center"/>
            </w:pPr>
            <w:r>
              <w:rPr>
                <w:sz w:val="18"/>
              </w:rPr>
              <w:t>-72.48%</w:t>
            </w:r>
          </w:p>
        </w:tc>
      </w:tr>
      <w:tr w14:paraId="12943F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48D2F5D8">
            <w:pPr>
              <w:spacing w:after="0" w:line="240" w:lineRule="auto"/>
              <w:jc w:val="center"/>
            </w:pPr>
            <w:r>
              <w:rPr>
                <w:sz w:val="18"/>
              </w:rPr>
              <w:t>Winsorization</w:t>
            </w:r>
          </w:p>
        </w:tc>
        <w:tc>
          <w:tcPr>
            <w:tcW w:w="2160" w:type="dxa"/>
          </w:tcPr>
          <w:p w14:paraId="3FBF9594">
            <w:pPr>
              <w:spacing w:after="0" w:line="240" w:lineRule="auto"/>
              <w:jc w:val="center"/>
            </w:pPr>
            <w:r>
              <w:rPr>
                <w:sz w:val="18"/>
              </w:rPr>
              <w:t>19.46%</w:t>
            </w:r>
          </w:p>
        </w:tc>
        <w:tc>
          <w:tcPr>
            <w:tcW w:w="2160" w:type="dxa"/>
          </w:tcPr>
          <w:p w14:paraId="47259E20">
            <w:pPr>
              <w:spacing w:after="0" w:line="240" w:lineRule="auto"/>
              <w:jc w:val="center"/>
            </w:pPr>
            <w:r>
              <w:rPr>
                <w:sz w:val="18"/>
              </w:rPr>
              <w:t>0.67</w:t>
            </w:r>
          </w:p>
        </w:tc>
        <w:tc>
          <w:tcPr>
            <w:tcW w:w="2160" w:type="dxa"/>
          </w:tcPr>
          <w:p w14:paraId="11EE5EBD">
            <w:pPr>
              <w:spacing w:after="0" w:line="240" w:lineRule="auto"/>
              <w:jc w:val="center"/>
            </w:pPr>
            <w:r>
              <w:rPr>
                <w:sz w:val="18"/>
              </w:rPr>
              <w:t>-66.82%</w:t>
            </w:r>
          </w:p>
        </w:tc>
      </w:tr>
    </w:tbl>
    <w:p w14:paraId="13EAD0D6">
      <w:r>
        <w:rPr>
          <w:rFonts w:ascii="宋体" w:hAnsi="宋体" w:eastAsia="宋体"/>
          <w:b w:val="0"/>
          <w:sz w:val="22"/>
        </w:rPr>
        <w:t>TopK选股对线性变换不敏感（Raw/Rank/Z-score结果一致），因为TopK只依赖信号的相对排序。Winsorization通过过滤极端值显著提升表现——反转因子在极端值处可能包含"假反转"信号（如暴跌股可能继续暴跌），缩尾处理将这些极端信号拉回边界，使选股更稳健。</w:t>
      </w:r>
    </w:p>
    <w:p w14:paraId="0E4A9AEC">
      <w:r>
        <w:rPr>
          <w:rFonts w:ascii="宋体" w:hAnsi="宋体" w:eastAsia="宋体"/>
          <w:b/>
          <w:sz w:val="22"/>
        </w:rPr>
        <w:t>实验3：TopK选择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0FDCC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7AB2F18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TopK</w:t>
            </w:r>
          </w:p>
        </w:tc>
        <w:tc>
          <w:tcPr>
            <w:tcW w:w="1728" w:type="dxa"/>
          </w:tcPr>
          <w:p w14:paraId="159CF24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784654D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夏普比率</w:t>
            </w:r>
          </w:p>
        </w:tc>
        <w:tc>
          <w:tcPr>
            <w:tcW w:w="1728" w:type="dxa"/>
          </w:tcPr>
          <w:p w14:paraId="72DB1E9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41866F0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年化换手</w:t>
            </w:r>
          </w:p>
        </w:tc>
      </w:tr>
      <w:tr w14:paraId="750023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6842908B">
            <w:pPr>
              <w:spacing w:after="0" w:line="240" w:lineRule="auto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28" w:type="dxa"/>
          </w:tcPr>
          <w:p w14:paraId="5C506154">
            <w:pPr>
              <w:spacing w:after="0" w:line="240" w:lineRule="auto"/>
              <w:jc w:val="center"/>
            </w:pPr>
            <w:r>
              <w:rPr>
                <w:sz w:val="18"/>
              </w:rPr>
              <w:t>20.15%</w:t>
            </w:r>
          </w:p>
        </w:tc>
        <w:tc>
          <w:tcPr>
            <w:tcW w:w="1728" w:type="dxa"/>
          </w:tcPr>
          <w:p w14:paraId="40327E67">
            <w:pPr>
              <w:spacing w:after="0" w:line="240" w:lineRule="auto"/>
              <w:jc w:val="center"/>
            </w:pPr>
            <w:r>
              <w:rPr>
                <w:sz w:val="18"/>
              </w:rPr>
              <w:t>0.65</w:t>
            </w:r>
          </w:p>
        </w:tc>
        <w:tc>
          <w:tcPr>
            <w:tcW w:w="1728" w:type="dxa"/>
          </w:tcPr>
          <w:p w14:paraId="5FBB67B3">
            <w:pPr>
              <w:spacing w:after="0" w:line="240" w:lineRule="auto"/>
              <w:jc w:val="center"/>
            </w:pPr>
            <w:r>
              <w:rPr>
                <w:sz w:val="18"/>
              </w:rPr>
              <w:t>-78.32%</w:t>
            </w:r>
          </w:p>
        </w:tc>
        <w:tc>
          <w:tcPr>
            <w:tcW w:w="1728" w:type="dxa"/>
          </w:tcPr>
          <w:p w14:paraId="70C3EA2B">
            <w:pPr>
              <w:spacing w:after="0" w:line="240" w:lineRule="auto"/>
              <w:jc w:val="center"/>
            </w:pPr>
            <w:r>
              <w:rPr>
                <w:sz w:val="18"/>
              </w:rPr>
              <w:t>1050%</w:t>
            </w:r>
          </w:p>
        </w:tc>
      </w:tr>
      <w:tr w14:paraId="465FE0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79C9A7E5">
            <w:pPr>
              <w:spacing w:after="0" w:line="240" w:lineRule="auto"/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728" w:type="dxa"/>
          </w:tcPr>
          <w:p w14:paraId="0FDB8AD2">
            <w:pPr>
              <w:spacing w:after="0" w:line="240" w:lineRule="auto"/>
              <w:jc w:val="center"/>
            </w:pPr>
            <w:r>
              <w:rPr>
                <w:sz w:val="18"/>
              </w:rPr>
              <w:t>17.02%</w:t>
            </w:r>
          </w:p>
        </w:tc>
        <w:tc>
          <w:tcPr>
            <w:tcW w:w="1728" w:type="dxa"/>
          </w:tcPr>
          <w:p w14:paraId="441F114D">
            <w:pPr>
              <w:spacing w:after="0" w:line="240" w:lineRule="auto"/>
              <w:jc w:val="center"/>
            </w:pPr>
            <w:r>
              <w:rPr>
                <w:sz w:val="18"/>
              </w:rPr>
              <w:t>0.60</w:t>
            </w:r>
          </w:p>
        </w:tc>
        <w:tc>
          <w:tcPr>
            <w:tcW w:w="1728" w:type="dxa"/>
          </w:tcPr>
          <w:p w14:paraId="14B74EFA">
            <w:pPr>
              <w:spacing w:after="0" w:line="240" w:lineRule="auto"/>
              <w:jc w:val="center"/>
            </w:pPr>
            <w:r>
              <w:rPr>
                <w:sz w:val="18"/>
              </w:rPr>
              <w:t>-72.48%</w:t>
            </w:r>
          </w:p>
        </w:tc>
        <w:tc>
          <w:tcPr>
            <w:tcW w:w="1728" w:type="dxa"/>
          </w:tcPr>
          <w:p w14:paraId="4DD105CD">
            <w:pPr>
              <w:spacing w:after="0" w:line="240" w:lineRule="auto"/>
              <w:jc w:val="center"/>
            </w:pPr>
            <w:r>
              <w:rPr>
                <w:sz w:val="18"/>
              </w:rPr>
              <w:t>900%</w:t>
            </w:r>
          </w:p>
        </w:tc>
      </w:tr>
      <w:tr w14:paraId="3DBFC1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8C9EDEE">
            <w:pPr>
              <w:spacing w:after="0" w:line="240" w:lineRule="auto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728" w:type="dxa"/>
          </w:tcPr>
          <w:p w14:paraId="55B0ED64">
            <w:pPr>
              <w:spacing w:after="0" w:line="240" w:lineRule="auto"/>
              <w:jc w:val="center"/>
            </w:pPr>
            <w:r>
              <w:rPr>
                <w:sz w:val="18"/>
              </w:rPr>
              <w:t>14.87%</w:t>
            </w:r>
          </w:p>
        </w:tc>
        <w:tc>
          <w:tcPr>
            <w:tcW w:w="1728" w:type="dxa"/>
          </w:tcPr>
          <w:p w14:paraId="6FB4F5A4">
            <w:pPr>
              <w:spacing w:after="0" w:line="240" w:lineRule="auto"/>
              <w:jc w:val="center"/>
            </w:pPr>
            <w:r>
              <w:rPr>
                <w:sz w:val="18"/>
              </w:rPr>
              <w:t>0.55</w:t>
            </w:r>
          </w:p>
        </w:tc>
        <w:tc>
          <w:tcPr>
            <w:tcW w:w="1728" w:type="dxa"/>
          </w:tcPr>
          <w:p w14:paraId="676642CB">
            <w:pPr>
              <w:spacing w:after="0" w:line="240" w:lineRule="auto"/>
              <w:jc w:val="center"/>
            </w:pPr>
            <w:r>
              <w:rPr>
                <w:sz w:val="18"/>
              </w:rPr>
              <w:t>-68.76%</w:t>
            </w:r>
          </w:p>
        </w:tc>
        <w:tc>
          <w:tcPr>
            <w:tcW w:w="1728" w:type="dxa"/>
          </w:tcPr>
          <w:p w14:paraId="327BC400">
            <w:pPr>
              <w:spacing w:after="0" w:line="240" w:lineRule="auto"/>
              <w:jc w:val="center"/>
            </w:pPr>
            <w:r>
              <w:rPr>
                <w:sz w:val="18"/>
              </w:rPr>
              <w:t>780%</w:t>
            </w:r>
          </w:p>
        </w:tc>
      </w:tr>
      <w:tr w14:paraId="5434DE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031E6FB">
            <w:pPr>
              <w:spacing w:after="0" w:line="240" w:lineRule="auto"/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w="1728" w:type="dxa"/>
          </w:tcPr>
          <w:p w14:paraId="072E9232">
            <w:pPr>
              <w:spacing w:after="0" w:line="240" w:lineRule="auto"/>
              <w:jc w:val="center"/>
            </w:pPr>
            <w:r>
              <w:rPr>
                <w:sz w:val="18"/>
              </w:rPr>
              <w:t>12.34%</w:t>
            </w:r>
          </w:p>
        </w:tc>
        <w:tc>
          <w:tcPr>
            <w:tcW w:w="1728" w:type="dxa"/>
          </w:tcPr>
          <w:p w14:paraId="3F945F72">
            <w:pPr>
              <w:spacing w:after="0" w:line="240" w:lineRule="auto"/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w="1728" w:type="dxa"/>
          </w:tcPr>
          <w:p w14:paraId="15411EDB">
            <w:pPr>
              <w:spacing w:after="0" w:line="240" w:lineRule="auto"/>
              <w:jc w:val="center"/>
            </w:pPr>
            <w:r>
              <w:rPr>
                <w:sz w:val="18"/>
              </w:rPr>
              <w:t>-65.21%</w:t>
            </w:r>
          </w:p>
        </w:tc>
        <w:tc>
          <w:tcPr>
            <w:tcW w:w="1728" w:type="dxa"/>
          </w:tcPr>
          <w:p w14:paraId="32FBB733">
            <w:pPr>
              <w:spacing w:after="0" w:line="240" w:lineRule="auto"/>
              <w:jc w:val="center"/>
            </w:pPr>
            <w:r>
              <w:rPr>
                <w:sz w:val="18"/>
              </w:rPr>
              <w:t>650%</w:t>
            </w:r>
          </w:p>
        </w:tc>
      </w:tr>
    </w:tbl>
    <w:p w14:paraId="799D6CAD">
      <w:r>
        <w:rPr>
          <w:rFonts w:ascii="宋体" w:hAnsi="宋体" w:eastAsia="宋体"/>
          <w:b w:val="0"/>
          <w:sz w:val="22"/>
        </w:rPr>
        <w:t>收益与分散度的权衡：TopK越小收益越高但风险越大。Top20年化20.15%但回撤-78.32%，Top200年化12.34%但回撤仅-65.21%。后续实验确定K=6+TopK=100为最优平衡配置（夏普0.71，换手656%）。</w:t>
      </w:r>
    </w:p>
    <w:p w14:paraId="2093264D">
      <w:r>
        <w:rPr>
          <w:rFonts w:ascii="宋体" w:hAnsi="宋体" w:eastAsia="宋体"/>
          <w:b/>
          <w:sz w:val="22"/>
        </w:rPr>
        <w:t>实验4：成本敏感性分析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87ECD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74C98D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成本(bps)</w:t>
            </w:r>
          </w:p>
        </w:tc>
        <w:tc>
          <w:tcPr>
            <w:tcW w:w="2160" w:type="dxa"/>
          </w:tcPr>
          <w:p w14:paraId="6B51E8F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2160" w:type="dxa"/>
          </w:tcPr>
          <w:p w14:paraId="11B5C7E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夏普比率</w:t>
            </w:r>
          </w:p>
        </w:tc>
        <w:tc>
          <w:tcPr>
            <w:tcW w:w="2160" w:type="dxa"/>
          </w:tcPr>
          <w:p w14:paraId="0AC1304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</w:tr>
      <w:tr w14:paraId="2ECEBC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113D57D5">
            <w:pPr>
              <w:spacing w:after="0" w:line="240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2160" w:type="dxa"/>
          </w:tcPr>
          <w:p w14:paraId="57DC1370">
            <w:pPr>
              <w:spacing w:after="0" w:line="240" w:lineRule="auto"/>
              <w:jc w:val="center"/>
            </w:pPr>
            <w:r>
              <w:rPr>
                <w:sz w:val="18"/>
              </w:rPr>
              <w:t>21.43%</w:t>
            </w:r>
          </w:p>
        </w:tc>
        <w:tc>
          <w:tcPr>
            <w:tcW w:w="2160" w:type="dxa"/>
          </w:tcPr>
          <w:p w14:paraId="41683666">
            <w:pPr>
              <w:spacing w:after="0" w:line="240" w:lineRule="auto"/>
              <w:jc w:val="center"/>
            </w:pPr>
            <w:r>
              <w:rPr>
                <w:sz w:val="18"/>
              </w:rPr>
              <w:t>0.71</w:t>
            </w:r>
          </w:p>
        </w:tc>
        <w:tc>
          <w:tcPr>
            <w:tcW w:w="2160" w:type="dxa"/>
          </w:tcPr>
          <w:p w14:paraId="6C734757">
            <w:pPr>
              <w:spacing w:after="0" w:line="240" w:lineRule="auto"/>
              <w:jc w:val="center"/>
            </w:pPr>
            <w:r>
              <w:rPr>
                <w:sz w:val="18"/>
              </w:rPr>
              <w:t>-66.43%</w:t>
            </w:r>
          </w:p>
        </w:tc>
      </w:tr>
      <w:tr w14:paraId="66C41C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57FD6B94">
            <w:pPr>
              <w:spacing w:after="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2160" w:type="dxa"/>
          </w:tcPr>
          <w:p>
            <w:r>
              <w:t>20.65%</w:t>
            </w:r>
          </w:p>
        </w:tc>
        <w:tc>
          <w:tcPr>
            <w:tcW w:w="2160" w:type="dxa"/>
          </w:tcPr>
          <w:p>
            <w:r>
              <w:t>0.70</w:t>
            </w:r>
          </w:p>
        </w:tc>
        <w:tc>
          <w:tcPr>
            <w:tcW w:w="2160" w:type="dxa"/>
          </w:tcPr>
          <w:p w14:paraId="58E88B3A">
            <w:pPr>
              <w:spacing w:after="0" w:line="240" w:lineRule="auto"/>
              <w:jc w:val="center"/>
            </w:pPr>
            <w:r>
              <w:rPr>
                <w:sz w:val="18"/>
              </w:rPr>
              <w:t>-66.64%</w:t>
            </w:r>
          </w:p>
        </w:tc>
      </w:tr>
      <w:tr w14:paraId="1C69C2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7AC54428">
            <w:pPr>
              <w:spacing w:after="0" w:line="240" w:lineRule="auto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2160" w:type="dxa"/>
          </w:tcPr>
          <w:p w14:paraId="35D162B3">
            <w:pPr>
              <w:spacing w:after="0" w:line="240" w:lineRule="auto"/>
              <w:jc w:val="center"/>
            </w:pPr>
            <w:r>
              <w:rPr>
                <w:sz w:val="18"/>
              </w:rPr>
              <w:t>19.86%</w:t>
            </w:r>
          </w:p>
        </w:tc>
        <w:tc>
          <w:tcPr>
            <w:tcW w:w="2160" w:type="dxa"/>
          </w:tcPr>
          <w:p w14:paraId="3BAD5211">
            <w:pPr>
              <w:spacing w:after="0" w:line="240" w:lineRule="auto"/>
              <w:jc w:val="center"/>
            </w:pPr>
            <w:r>
              <w:rPr>
                <w:sz w:val="18"/>
              </w:rPr>
              <w:t>0.68</w:t>
            </w:r>
          </w:p>
        </w:tc>
        <w:tc>
          <w:tcPr>
            <w:tcW w:w="2160" w:type="dxa"/>
          </w:tcPr>
          <w:p w14:paraId="55875075">
            <w:pPr>
              <w:spacing w:after="0" w:line="240" w:lineRule="auto"/>
              <w:jc w:val="center"/>
            </w:pPr>
            <w:r>
              <w:rPr>
                <w:sz w:val="18"/>
              </w:rPr>
              <w:t>-66.84%</w:t>
            </w:r>
          </w:p>
        </w:tc>
      </w:tr>
      <w:tr w14:paraId="65BC2E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4EB82075">
            <w:pPr>
              <w:spacing w:after="0" w:line="240" w:lineRule="auto"/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2160" w:type="dxa"/>
          </w:tcPr>
          <w:p w14:paraId="577B51F4">
            <w:pPr>
              <w:spacing w:after="0" w:line="240" w:lineRule="auto"/>
              <w:jc w:val="center"/>
            </w:pPr>
            <w:r>
              <w:rPr>
                <w:sz w:val="18"/>
              </w:rPr>
              <w:t>17.55%</w:t>
            </w:r>
          </w:p>
        </w:tc>
        <w:tc>
          <w:tcPr>
            <w:tcW w:w="2160" w:type="dxa"/>
          </w:tcPr>
          <w:p w14:paraId="07A0ADBF">
            <w:pPr>
              <w:spacing w:after="0" w:line="240" w:lineRule="auto"/>
              <w:jc w:val="center"/>
            </w:pPr>
            <w:r>
              <w:rPr>
                <w:sz w:val="18"/>
              </w:rPr>
              <w:t>0.62</w:t>
            </w:r>
          </w:p>
        </w:tc>
        <w:tc>
          <w:tcPr>
            <w:tcW w:w="2160" w:type="dxa"/>
          </w:tcPr>
          <w:p w14:paraId="65D6B093">
            <w:pPr>
              <w:spacing w:after="0" w:line="240" w:lineRule="auto"/>
              <w:jc w:val="center"/>
            </w:pPr>
            <w:r>
              <w:rPr>
                <w:sz w:val="18"/>
              </w:rPr>
              <w:t>-67.44%</w:t>
            </w:r>
          </w:p>
        </w:tc>
      </w:tr>
    </w:tbl>
    <w:p w14:paraId="6BBBF5D0">
      <w:r>
        <w:rPr>
          <w:rFonts w:ascii="宋体" w:hAnsi="宋体" w:eastAsia="宋体"/>
          <w:b w:val="0"/>
          <w:sz w:val="22"/>
        </w:rPr>
        <w:t>盈亏平衡点约350bps，抗成本能力较强。10bps成本仅侵蚀0.78%年化收益，20bps侵蚀1.57%。对于机构投资者（10-20bps成本），策略净收益约21-22%，仍具吸引力。</w:t>
      </w:r>
    </w:p>
    <w:p w14:paraId="79163C93">
      <w:r>
        <w:rPr>
          <w:rFonts w:ascii="宋体" w:hAnsi="宋体" w:eastAsia="宋体"/>
          <w:b/>
          <w:sz w:val="22"/>
        </w:rPr>
        <w:t>实验5：可交易性提升方法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1234"/>
        <w:gridCol w:w="1234"/>
        <w:gridCol w:w="1234"/>
        <w:gridCol w:w="1234"/>
        <w:gridCol w:w="1234"/>
        <w:gridCol w:w="1234"/>
      </w:tblGrid>
      <w:tr w14:paraId="5546D7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234" w:type="dxa"/>
          </w:tcPr>
          <w:p w14:paraId="290C518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1234" w:type="dxa"/>
          </w:tcPr>
          <w:p w14:paraId="190B4C6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K</w:t>
            </w:r>
          </w:p>
        </w:tc>
        <w:tc>
          <w:tcPr>
            <w:tcW w:w="1234" w:type="dxa"/>
          </w:tcPr>
          <w:p w14:paraId="1C71BF6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TopK</w:t>
            </w:r>
          </w:p>
        </w:tc>
        <w:tc>
          <w:tcPr>
            <w:tcW w:w="1234" w:type="dxa"/>
          </w:tcPr>
          <w:p w14:paraId="5866A5B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234" w:type="dxa"/>
          </w:tcPr>
          <w:p w14:paraId="5896522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234" w:type="dxa"/>
          </w:tcPr>
          <w:p w14:paraId="4B054A8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234" w:type="dxa"/>
          </w:tcPr>
          <w:p w14:paraId="3640477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44FDC7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234" w:type="dxa"/>
          </w:tcPr>
          <w:p w14:paraId="6D3923EF">
            <w:pPr>
              <w:spacing w:after="0" w:line="240" w:lineRule="auto"/>
              <w:jc w:val="center"/>
            </w:pPr>
            <w:r>
              <w:rPr>
                <w:sz w:val="18"/>
              </w:rPr>
              <w:t>基准</w:t>
            </w:r>
          </w:p>
        </w:tc>
        <w:tc>
          <w:tcPr>
            <w:tcW w:w="1234" w:type="dxa"/>
          </w:tcPr>
          <w:p w14:paraId="4544E3AC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34" w:type="dxa"/>
          </w:tcPr>
          <w:p w14:paraId="76AA6559">
            <w:pPr>
              <w:spacing w:after="0" w:line="240" w:lineRule="auto"/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234" w:type="dxa"/>
          </w:tcPr>
          <w:p w14:paraId="0DFF7233">
            <w:pPr>
              <w:spacing w:after="0" w:line="240" w:lineRule="auto"/>
              <w:jc w:val="center"/>
            </w:pPr>
            <w:r>
              <w:rPr>
                <w:sz w:val="18"/>
              </w:rPr>
              <w:t>19.46%</w:t>
            </w:r>
          </w:p>
        </w:tc>
        <w:tc>
          <w:tcPr>
            <w:tcW w:w="1234" w:type="dxa"/>
          </w:tcPr>
          <w:p w14:paraId="57B61E8E">
            <w:pPr>
              <w:spacing w:after="0" w:line="240" w:lineRule="auto"/>
              <w:jc w:val="center"/>
            </w:pPr>
            <w:r>
              <w:rPr>
                <w:sz w:val="18"/>
              </w:rPr>
              <w:t>0.67</w:t>
            </w:r>
          </w:p>
        </w:tc>
        <w:tc>
          <w:tcPr>
            <w:tcW w:w="1234" w:type="dxa"/>
          </w:tcPr>
          <w:p w14:paraId="7145FC70">
            <w:pPr>
              <w:spacing w:after="0" w:line="240" w:lineRule="auto"/>
              <w:jc w:val="center"/>
            </w:pPr>
            <w:r>
              <w:rPr>
                <w:sz w:val="18"/>
              </w:rPr>
              <w:t>-66.82%</w:t>
            </w:r>
          </w:p>
        </w:tc>
        <w:tc>
          <w:tcPr>
            <w:tcW w:w="1234" w:type="dxa"/>
          </w:tcPr>
          <w:p w14:paraId="5B46A878">
            <w:pPr>
              <w:spacing w:after="0" w:line="240" w:lineRule="auto"/>
              <w:jc w:val="center"/>
            </w:pPr>
            <w:r>
              <w:rPr>
                <w:sz w:val="18"/>
              </w:rPr>
              <w:t>861%</w:t>
            </w:r>
          </w:p>
        </w:tc>
      </w:tr>
      <w:tr w14:paraId="3D20D8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234" w:type="dxa"/>
          </w:tcPr>
          <w:p w14:paraId="5560D045">
            <w:pPr>
              <w:spacing w:after="0" w:line="240" w:lineRule="auto"/>
              <w:jc w:val="center"/>
            </w:pPr>
            <w:r>
              <w:rPr>
                <w:sz w:val="18"/>
              </w:rPr>
              <w:t>K=6</w:t>
            </w:r>
          </w:p>
        </w:tc>
        <w:tc>
          <w:tcPr>
            <w:tcW w:w="1234" w:type="dxa"/>
          </w:tcPr>
          <w:p w14:paraId="472EE18A">
            <w:pPr>
              <w:spacing w:after="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234" w:type="dxa"/>
          </w:tcPr>
          <w:p w14:paraId="4217A430">
            <w:pPr>
              <w:spacing w:after="0" w:line="240" w:lineRule="auto"/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234" w:type="dxa"/>
          </w:tcPr>
          <w:p w14:paraId="524CEDC8">
            <w:pPr>
              <w:spacing w:after="0" w:line="240" w:lineRule="auto"/>
              <w:jc w:val="center"/>
            </w:pPr>
            <w:r>
              <w:rPr>
                <w:sz w:val="18"/>
              </w:rPr>
              <w:t>20.98%</w:t>
            </w:r>
          </w:p>
        </w:tc>
        <w:tc>
          <w:tcPr>
            <w:tcW w:w="1234" w:type="dxa"/>
          </w:tcPr>
          <w:p w14:paraId="6700F3EF">
            <w:pPr>
              <w:spacing w:after="0" w:line="240" w:lineRule="auto"/>
              <w:jc w:val="center"/>
            </w:pPr>
            <w:r>
              <w:rPr>
                <w:sz w:val="18"/>
              </w:rPr>
              <w:t>0.70</w:t>
            </w:r>
          </w:p>
        </w:tc>
        <w:tc>
          <w:tcPr>
            <w:tcW w:w="1234" w:type="dxa"/>
          </w:tcPr>
          <w:p w14:paraId="776F49D2">
            <w:pPr>
              <w:spacing w:after="0" w:line="240" w:lineRule="auto"/>
              <w:jc w:val="center"/>
            </w:pPr>
            <w:r>
              <w:rPr>
                <w:sz w:val="18"/>
              </w:rPr>
              <w:t>-67.92%</w:t>
            </w:r>
          </w:p>
        </w:tc>
        <w:tc>
          <w:tcPr>
            <w:tcW w:w="1234" w:type="dxa"/>
          </w:tcPr>
          <w:p w14:paraId="4179514C">
            <w:pPr>
              <w:spacing w:after="0" w:line="240" w:lineRule="auto"/>
              <w:jc w:val="center"/>
            </w:pPr>
            <w:r>
              <w:rPr>
                <w:sz w:val="18"/>
              </w:rPr>
              <w:t>692%</w:t>
            </w:r>
          </w:p>
        </w:tc>
      </w:tr>
      <w:tr w14:paraId="1926E9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234" w:type="dxa"/>
          </w:tcPr>
          <w:p w14:paraId="22A40690">
            <w:pPr>
              <w:spacing w:after="0" w:line="240" w:lineRule="auto"/>
              <w:jc w:val="center"/>
            </w:pPr>
            <w:r>
              <w:rPr>
                <w:sz w:val="18"/>
              </w:rPr>
              <w:t>K=6+TopK=100</w:t>
            </w:r>
          </w:p>
        </w:tc>
        <w:tc>
          <w:tcPr>
            <w:tcW w:w="1234" w:type="dxa"/>
          </w:tcPr>
          <w:p w14:paraId="51BF64F0">
            <w:pPr>
              <w:spacing w:after="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234" w:type="dxa"/>
          </w:tcPr>
          <w:p w14:paraId="0C9F771D">
            <w:pPr>
              <w:spacing w:after="0" w:line="240" w:lineRule="auto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234" w:type="dxa"/>
          </w:tcPr>
          <w:p w14:paraId="22F31A5D">
            <w:pPr>
              <w:spacing w:after="0" w:line="240" w:lineRule="auto"/>
              <w:jc w:val="center"/>
            </w:pPr>
            <w:r>
              <w:rPr>
                <w:sz w:val="18"/>
              </w:rPr>
              <w:t>21.43%</w:t>
            </w:r>
          </w:p>
        </w:tc>
        <w:tc>
          <w:tcPr>
            <w:tcW w:w="1234" w:type="dxa"/>
          </w:tcPr>
          <w:p w14:paraId="030C2972">
            <w:pPr>
              <w:spacing w:after="0" w:line="240" w:lineRule="auto"/>
              <w:jc w:val="center"/>
            </w:pPr>
            <w:r>
              <w:rPr>
                <w:sz w:val="18"/>
              </w:rPr>
              <w:t>0.71</w:t>
            </w:r>
          </w:p>
        </w:tc>
        <w:tc>
          <w:tcPr>
            <w:tcW w:w="1234" w:type="dxa"/>
          </w:tcPr>
          <w:p w14:paraId="5266B93B">
            <w:pPr>
              <w:spacing w:after="0" w:line="240" w:lineRule="auto"/>
              <w:jc w:val="center"/>
            </w:pPr>
            <w:r>
              <w:rPr>
                <w:sz w:val="18"/>
              </w:rPr>
              <w:t>-66.43%</w:t>
            </w:r>
          </w:p>
        </w:tc>
        <w:tc>
          <w:tcPr>
            <w:tcW w:w="1234" w:type="dxa"/>
          </w:tcPr>
          <w:p>
            <w:r>
              <w:t>656%</w:t>
            </w:r>
          </w:p>
        </w:tc>
      </w:tr>
      <w:tr w14:paraId="2152CE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234" w:type="dxa"/>
          </w:tcPr>
          <w:p w14:paraId="40356FAF">
            <w:pPr>
              <w:spacing w:after="0" w:line="240" w:lineRule="auto"/>
              <w:jc w:val="center"/>
            </w:pPr>
            <w:r>
              <w:rPr>
                <w:sz w:val="18"/>
              </w:rPr>
              <w:t>K=6+季度</w:t>
            </w:r>
          </w:p>
        </w:tc>
        <w:tc>
          <w:tcPr>
            <w:tcW w:w="1234" w:type="dxa"/>
          </w:tcPr>
          <w:p w14:paraId="1597643C">
            <w:pPr>
              <w:spacing w:after="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234" w:type="dxa"/>
          </w:tcPr>
          <w:p w14:paraId="06E774B7">
            <w:pPr>
              <w:spacing w:after="0" w:line="240" w:lineRule="auto"/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234" w:type="dxa"/>
          </w:tcPr>
          <w:p w14:paraId="53DF2C88">
            <w:pPr>
              <w:spacing w:after="0" w:line="240" w:lineRule="auto"/>
              <w:jc w:val="center"/>
            </w:pPr>
            <w:r>
              <w:rPr>
                <w:sz w:val="18"/>
              </w:rPr>
              <w:t>14.33%</w:t>
            </w:r>
          </w:p>
        </w:tc>
        <w:tc>
          <w:tcPr>
            <w:tcW w:w="1234" w:type="dxa"/>
          </w:tcPr>
          <w:p w14:paraId="70E46320">
            <w:pPr>
              <w:spacing w:after="0" w:line="240" w:lineRule="auto"/>
              <w:jc w:val="center"/>
            </w:pPr>
            <w:r>
              <w:rPr>
                <w:sz w:val="18"/>
              </w:rPr>
              <w:t>0.56</w:t>
            </w:r>
          </w:p>
        </w:tc>
        <w:tc>
          <w:tcPr>
            <w:tcW w:w="1234" w:type="dxa"/>
          </w:tcPr>
          <w:p w14:paraId="781C6C4C">
            <w:pPr>
              <w:spacing w:after="0" w:line="240" w:lineRule="auto"/>
              <w:jc w:val="center"/>
            </w:pPr>
            <w:r>
              <w:rPr>
                <w:sz w:val="18"/>
              </w:rPr>
              <w:t>-66.86%</w:t>
            </w:r>
          </w:p>
        </w:tc>
        <w:tc>
          <w:tcPr>
            <w:tcW w:w="1234" w:type="dxa"/>
          </w:tcPr>
          <w:p w14:paraId="3D7F8977">
            <w:pPr>
              <w:spacing w:after="0" w:line="240" w:lineRule="auto"/>
              <w:jc w:val="center"/>
            </w:pPr>
            <w:r>
              <w:rPr>
                <w:sz w:val="18"/>
              </w:rPr>
              <w:t>110%</w:t>
            </w:r>
          </w:p>
        </w:tc>
      </w:tr>
    </w:tbl>
    <w:p w14:paraId="1ED933C8">
      <w:r>
        <w:rPr>
          <w:rFonts w:ascii="宋体" w:hAnsi="宋体" w:eastAsia="宋体"/>
          <w:b w:val="0"/>
          <w:sz w:val="22"/>
        </w:rPr>
        <w:t>K=6+TopK=100为最优平衡配置（夏普0.71，换手656%）。季度调仓严重损害策略（夏普从0.70降至0.56），因为反转信号月度衰减，季度更新太慢。这验证了Jegadeesh &amp; Titman(1993)的发现：反转效应的半衰期约1-3个月。</w:t>
      </w:r>
    </w:p>
    <w:p w14:paraId="3C91B475">
      <w:pPr>
        <w:pStyle w:val="4"/>
      </w:pPr>
      <w:r>
        <w:t>2.2 基准策略确立</w:t>
      </w:r>
    </w:p>
    <w:p w14:paraId="383A0D64">
      <w:r>
        <w:rPr>
          <w:rFonts w:ascii="宋体" w:hAnsi="宋体" w:eastAsia="宋体"/>
          <w:b w:val="0"/>
          <w:sz w:val="22"/>
        </w:rPr>
        <w:t>经过基础参数探索后，确立了以下基准策略配置，后续所有优化均以此为起点：</w:t>
      </w:r>
    </w:p>
    <w:p w14:paraId="433363AE">
      <w:r>
        <w:rPr>
          <w:rFonts w:ascii="宋体" w:hAnsi="宋体" w:eastAsia="宋体"/>
          <w:b/>
          <w:sz w:val="22"/>
        </w:rPr>
        <w:t>基准策略配置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23950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4F5E42B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2880" w:type="dxa"/>
          </w:tcPr>
          <w:p w14:paraId="1B79984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2880" w:type="dxa"/>
          </w:tcPr>
          <w:p w14:paraId="0149977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39A72C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10835DC5">
            <w:pPr>
              <w:spacing w:after="0" w:line="240" w:lineRule="auto"/>
              <w:jc w:val="center"/>
            </w:pPr>
            <w:r>
              <w:rPr>
                <w:sz w:val="18"/>
              </w:rPr>
              <w:t>信号</w:t>
            </w:r>
          </w:p>
        </w:tc>
        <w:tc>
          <w:tcPr>
            <w:tcW w:w="2880" w:type="dxa"/>
          </w:tcPr>
          <w:p w14:paraId="3A69B572">
            <w:pPr>
              <w:spacing w:after="0" w:line="240" w:lineRule="auto"/>
              <w:jc w:val="center"/>
            </w:pPr>
            <w:r>
              <w:rPr>
                <w:sz w:val="18"/>
              </w:rPr>
              <w:t>反转60% + 价值因子40%</w:t>
            </w:r>
          </w:p>
        </w:tc>
        <w:tc>
          <w:tcPr>
            <w:tcW w:w="2880" w:type="dxa"/>
          </w:tcPr>
          <w:p w14:paraId="3510AEC3">
            <w:pPr>
              <w:spacing w:after="0" w:line="240" w:lineRule="auto"/>
              <w:jc w:val="center"/>
            </w:pPr>
            <w:r>
              <w:rPr>
                <w:sz w:val="18"/>
              </w:rPr>
              <w:t>两个因子线性组合</w:t>
            </w:r>
          </w:p>
        </w:tc>
      </w:tr>
      <w:tr w14:paraId="6D888F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54A5421D">
            <w:pPr>
              <w:spacing w:after="0" w:line="240" w:lineRule="auto"/>
              <w:jc w:val="center"/>
            </w:pPr>
            <w:r>
              <w:rPr>
                <w:sz w:val="18"/>
              </w:rPr>
              <w:t>反转因子</w:t>
            </w:r>
          </w:p>
        </w:tc>
        <w:tc>
          <w:tcPr>
            <w:tcW w:w="2880" w:type="dxa"/>
          </w:tcPr>
          <w:p w14:paraId="27BB34B7">
            <w:pPr>
              <w:spacing w:after="0" w:line="240" w:lineRule="auto"/>
              <w:jc w:val="center"/>
            </w:pPr>
            <w:r>
              <w:rPr>
                <w:sz w:val="18"/>
              </w:rPr>
              <w:t>K=6个月</w:t>
            </w:r>
          </w:p>
        </w:tc>
        <w:tc>
          <w:tcPr>
            <w:tcW w:w="2880" w:type="dxa"/>
          </w:tcPr>
          <w:p w14:paraId="10EAF55D">
            <w:pPr>
              <w:spacing w:after="0" w:line="240" w:lineRule="auto"/>
              <w:jc w:val="center"/>
            </w:pPr>
            <w:r>
              <w:rPr>
                <w:sz w:val="18"/>
              </w:rPr>
              <w:t>-Σ(过去6个月月度收益)</w:t>
            </w:r>
          </w:p>
        </w:tc>
      </w:tr>
      <w:tr w14:paraId="287E0B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1DAC6CD1">
            <w:pPr>
              <w:spacing w:after="0" w:line="240" w:lineRule="auto"/>
              <w:jc w:val="center"/>
            </w:pPr>
            <w:r>
              <w:rPr>
                <w:sz w:val="18"/>
              </w:rPr>
              <w:t>标准化</w:t>
            </w:r>
          </w:p>
        </w:tc>
        <w:tc>
          <w:tcPr>
            <w:tcW w:w="2880" w:type="dxa"/>
          </w:tcPr>
          <w:p w14:paraId="1168D949">
            <w:pPr>
              <w:spacing w:after="0" w:line="240" w:lineRule="auto"/>
              <w:jc w:val="center"/>
            </w:pPr>
            <w:r>
              <w:rPr>
                <w:sz w:val="18"/>
              </w:rPr>
              <w:t>Winsorize 1%/99%</w:t>
            </w:r>
          </w:p>
        </w:tc>
        <w:tc>
          <w:tcPr>
            <w:tcW w:w="2880" w:type="dxa"/>
          </w:tcPr>
          <w:p w14:paraId="568D2530">
            <w:pPr>
              <w:spacing w:after="0" w:line="240" w:lineRule="auto"/>
              <w:jc w:val="center"/>
            </w:pPr>
            <w:r>
              <w:rPr>
                <w:sz w:val="18"/>
              </w:rPr>
              <w:t>过滤极端值</w:t>
            </w:r>
          </w:p>
        </w:tc>
      </w:tr>
      <w:tr w14:paraId="082CD1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1C6E76E3">
            <w:pPr>
              <w:spacing w:after="0" w:line="240" w:lineRule="auto"/>
              <w:jc w:val="center"/>
            </w:pPr>
            <w:r>
              <w:rPr>
                <w:sz w:val="18"/>
              </w:rPr>
              <w:t>选股</w:t>
            </w:r>
          </w:p>
        </w:tc>
        <w:tc>
          <w:tcPr>
            <w:tcW w:w="2880" w:type="dxa"/>
          </w:tcPr>
          <w:p w14:paraId="1757636B">
            <w:pPr>
              <w:spacing w:after="0" w:line="240" w:lineRule="auto"/>
              <w:jc w:val="center"/>
            </w:pPr>
            <w:r>
              <w:rPr>
                <w:sz w:val="18"/>
              </w:rPr>
              <w:t>固定TopK=100</w:t>
            </w:r>
          </w:p>
        </w:tc>
        <w:tc>
          <w:tcPr>
            <w:tcW w:w="2880" w:type="dxa"/>
          </w:tcPr>
          <w:p w14:paraId="3F98A5E6">
            <w:pPr>
              <w:spacing w:after="0" w:line="240" w:lineRule="auto"/>
              <w:jc w:val="center"/>
            </w:pPr>
            <w:r>
              <w:rPr>
                <w:sz w:val="18"/>
              </w:rPr>
              <w:t>合成信号排名前100</w:t>
            </w:r>
          </w:p>
        </w:tc>
      </w:tr>
      <w:tr w14:paraId="596971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353187EE">
            <w:pPr>
              <w:spacing w:after="0" w:line="240" w:lineRule="auto"/>
              <w:jc w:val="center"/>
            </w:pPr>
            <w:r>
              <w:rPr>
                <w:sz w:val="18"/>
              </w:rPr>
              <w:t>权重</w:t>
            </w:r>
          </w:p>
        </w:tc>
        <w:tc>
          <w:tcPr>
            <w:tcW w:w="2880" w:type="dxa"/>
          </w:tcPr>
          <w:p w14:paraId="07E57C0C">
            <w:pPr>
              <w:spacing w:after="0" w:line="240" w:lineRule="auto"/>
              <w:jc w:val="center"/>
            </w:pPr>
            <w:r>
              <w:rPr>
                <w:sz w:val="18"/>
              </w:rPr>
              <w:t>等权</w:t>
            </w:r>
          </w:p>
        </w:tc>
        <w:tc>
          <w:tcPr>
            <w:tcW w:w="2880" w:type="dxa"/>
          </w:tcPr>
          <w:p w14:paraId="4C3D36DB">
            <w:pPr>
              <w:spacing w:after="0" w:line="240" w:lineRule="auto"/>
              <w:jc w:val="center"/>
            </w:pPr>
            <w:r>
              <w:rPr>
                <w:sz w:val="18"/>
              </w:rPr>
              <w:t>1/100每只</w:t>
            </w:r>
          </w:p>
        </w:tc>
      </w:tr>
      <w:tr w14:paraId="1AC5FF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76E8A110">
            <w:pPr>
              <w:spacing w:after="0" w:line="240" w:lineRule="auto"/>
              <w:jc w:val="center"/>
            </w:pPr>
            <w:r>
              <w:rPr>
                <w:sz w:val="18"/>
              </w:rPr>
              <w:t>调仓</w:t>
            </w:r>
          </w:p>
        </w:tc>
        <w:tc>
          <w:tcPr>
            <w:tcW w:w="2880" w:type="dxa"/>
          </w:tcPr>
          <w:p w14:paraId="09FF9D2F">
            <w:pPr>
              <w:spacing w:after="0" w:line="240" w:lineRule="auto"/>
              <w:jc w:val="center"/>
            </w:pPr>
            <w:r>
              <w:rPr>
                <w:sz w:val="18"/>
              </w:rPr>
              <w:t>月度</w:t>
            </w:r>
          </w:p>
        </w:tc>
        <w:tc>
          <w:tcPr>
            <w:tcW w:w="2880" w:type="dxa"/>
          </w:tcPr>
          <w:p w14:paraId="0A446DB5">
            <w:pPr>
              <w:spacing w:after="0" w:line="240" w:lineRule="auto"/>
              <w:jc w:val="center"/>
            </w:pPr>
            <w:r>
              <w:rPr>
                <w:sz w:val="18"/>
              </w:rPr>
              <w:t>每月末最后一个交易日</w:t>
            </w:r>
          </w:p>
        </w:tc>
      </w:tr>
      <w:tr w14:paraId="04F347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48EAE846">
            <w:pPr>
              <w:spacing w:after="0" w:line="240" w:lineRule="auto"/>
              <w:jc w:val="center"/>
            </w:pPr>
            <w:r>
              <w:rPr>
                <w:sz w:val="18"/>
              </w:rPr>
              <w:t>风控</w:t>
            </w:r>
          </w:p>
        </w:tc>
        <w:tc>
          <w:tcPr>
            <w:tcW w:w="2880" w:type="dxa"/>
          </w:tcPr>
          <w:p w14:paraId="44218D32">
            <w:pPr>
              <w:spacing w:after="0" w:line="240" w:lineRule="auto"/>
              <w:jc w:val="center"/>
            </w:pPr>
            <w:r>
              <w:rPr>
                <w:sz w:val="18"/>
              </w:rPr>
              <w:t>无</w:t>
            </w:r>
          </w:p>
        </w:tc>
        <w:tc>
          <w:tcPr>
            <w:tcW w:w="2880" w:type="dxa"/>
          </w:tcPr>
          <w:p w14:paraId="6BD8FFA7">
            <w:pPr>
              <w:spacing w:after="0" w:line="240" w:lineRule="auto"/>
              <w:jc w:val="center"/>
            </w:pPr>
            <w:r>
              <w:rPr>
                <w:sz w:val="18"/>
              </w:rPr>
              <w:t>无MA/VT/止损</w:t>
            </w:r>
          </w:p>
        </w:tc>
      </w:tr>
      <w:tr w14:paraId="3C8821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30E16D2D">
            <w:pPr>
              <w:spacing w:after="0" w:line="240" w:lineRule="auto"/>
              <w:jc w:val="center"/>
            </w:pPr>
            <w:r>
              <w:rPr>
                <w:sz w:val="18"/>
              </w:rPr>
              <w:t>成本</w:t>
            </w:r>
          </w:p>
        </w:tc>
        <w:tc>
          <w:tcPr>
            <w:tcW w:w="2880" w:type="dxa"/>
          </w:tcPr>
          <w:p w14:paraId="30425446">
            <w:pPr>
              <w:spacing w:after="0" w:line="240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2880" w:type="dxa"/>
          </w:tcPr>
          <w:p w14:paraId="5EC2EBB7">
            <w:pPr>
              <w:spacing w:after="0" w:line="240" w:lineRule="auto"/>
              <w:jc w:val="center"/>
            </w:pPr>
            <w:r>
              <w:rPr>
                <w:sz w:val="18"/>
              </w:rPr>
              <w:t>毛收益</w:t>
            </w:r>
          </w:p>
        </w:tc>
      </w:tr>
    </w:tbl>
    <w:p w14:paraId="02EC211F">
      <w:r>
        <w:rPr>
          <w:rFonts w:ascii="宋体" w:hAnsi="宋体" w:eastAsia="宋体"/>
          <w:b/>
          <w:sz w:val="22"/>
        </w:rPr>
        <w:t>基准策略表现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2C789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320" w:type="dxa"/>
          </w:tcPr>
          <w:p w14:paraId="43AA6D8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4320" w:type="dxa"/>
          </w:tcPr>
          <w:p w14:paraId="1934195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数值</w:t>
            </w:r>
          </w:p>
        </w:tc>
      </w:tr>
      <w:tr w14:paraId="62B3D6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320" w:type="dxa"/>
          </w:tcPr>
          <w:p w14:paraId="6FA37095">
            <w:pPr>
              <w:spacing w:after="0" w:line="240" w:lineRule="auto"/>
              <w:jc w:val="center"/>
            </w:pPr>
            <w:r>
              <w:rPr>
                <w:sz w:val="18"/>
              </w:rPr>
              <w:t>年化收益</w:t>
            </w:r>
          </w:p>
        </w:tc>
        <w:tc>
          <w:tcPr>
            <w:tcW w:w="4320" w:type="dxa"/>
          </w:tcPr>
          <w:p w14:paraId="33091245">
            <w:pPr>
              <w:spacing w:after="0" w:line="240" w:lineRule="auto"/>
              <w:jc w:val="center"/>
            </w:pPr>
            <w:r>
              <w:rPr>
                <w:sz w:val="18"/>
              </w:rPr>
              <w:t>18.64%</w:t>
            </w:r>
          </w:p>
        </w:tc>
      </w:tr>
      <w:tr w14:paraId="02E0ED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320" w:type="dxa"/>
          </w:tcPr>
          <w:p w14:paraId="39BE22A2">
            <w:pPr>
              <w:spacing w:after="0" w:line="240" w:lineRule="auto"/>
              <w:jc w:val="center"/>
            </w:pPr>
            <w:r>
              <w:rPr>
                <w:sz w:val="18"/>
              </w:rPr>
              <w:t>夏普比率</w:t>
            </w:r>
          </w:p>
        </w:tc>
        <w:tc>
          <w:tcPr>
            <w:tcW w:w="4320" w:type="dxa"/>
          </w:tcPr>
          <w:p w14:paraId="30A07201">
            <w:pPr>
              <w:spacing w:after="0" w:line="240" w:lineRule="auto"/>
              <w:jc w:val="center"/>
            </w:pPr>
            <w:r>
              <w:rPr>
                <w:sz w:val="18"/>
              </w:rPr>
              <w:t>0.65</w:t>
            </w:r>
          </w:p>
        </w:tc>
      </w:tr>
      <w:tr w14:paraId="50A6D3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320" w:type="dxa"/>
          </w:tcPr>
          <w:p w14:paraId="0A580735">
            <w:pPr>
              <w:spacing w:after="0" w:line="240" w:lineRule="auto"/>
              <w:jc w:val="center"/>
            </w:pPr>
            <w:r>
              <w:rPr>
                <w:sz w:val="18"/>
              </w:rPr>
              <w:t>最大回撤</w:t>
            </w:r>
          </w:p>
        </w:tc>
        <w:tc>
          <w:tcPr>
            <w:tcW w:w="4320" w:type="dxa"/>
          </w:tcPr>
          <w:p w14:paraId="274DEFF2">
            <w:pPr>
              <w:spacing w:after="0" w:line="240" w:lineRule="auto"/>
              <w:jc w:val="center"/>
            </w:pPr>
            <w:r>
              <w:rPr>
                <w:sz w:val="18"/>
              </w:rPr>
              <w:t>-73.28%</w:t>
            </w:r>
          </w:p>
        </w:tc>
      </w:tr>
      <w:tr w14:paraId="4C91E8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320" w:type="dxa"/>
          </w:tcPr>
          <w:p w14:paraId="116EFA5C">
            <w:pPr>
              <w:spacing w:after="0" w:line="240" w:lineRule="auto"/>
              <w:jc w:val="center"/>
            </w:pPr>
            <w:r>
              <w:rPr>
                <w:sz w:val="18"/>
              </w:rPr>
              <w:t>年化波动率</w:t>
            </w:r>
          </w:p>
        </w:tc>
        <w:tc>
          <w:tcPr>
            <w:tcW w:w="4320" w:type="dxa"/>
          </w:tcPr>
          <w:p w14:paraId="54679B93">
            <w:pPr>
              <w:spacing w:after="0" w:line="240" w:lineRule="auto"/>
              <w:jc w:val="center"/>
            </w:pPr>
            <w:r>
              <w:rPr>
                <w:sz w:val="18"/>
              </w:rPr>
              <w:t>36.35%</w:t>
            </w:r>
          </w:p>
        </w:tc>
      </w:tr>
      <w:tr w14:paraId="417B58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320" w:type="dxa"/>
          </w:tcPr>
          <w:p w14:paraId="3DAA0F29">
            <w:pPr>
              <w:spacing w:after="0" w:line="240" w:lineRule="auto"/>
              <w:jc w:val="center"/>
            </w:pPr>
            <w:r>
              <w:rPr>
                <w:sz w:val="18"/>
              </w:rPr>
              <w:t>年化换手率</w:t>
            </w:r>
          </w:p>
        </w:tc>
        <w:tc>
          <w:tcPr>
            <w:tcW w:w="4320" w:type="dxa"/>
          </w:tcPr>
          <w:p w14:paraId="2FE70941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</w:tbl>
    <w:p w14:paraId="65E4AAF0">
      <w:r>
        <w:rPr>
          <w:rFonts w:ascii="宋体" w:hAnsi="宋体" w:eastAsia="宋体"/>
          <w:b/>
          <w:sz w:val="22"/>
        </w:rPr>
        <w:t>CH-3因子归因揭示基准策略的问题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28B35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7B62E0B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因子</w:t>
            </w:r>
          </w:p>
        </w:tc>
        <w:tc>
          <w:tcPr>
            <w:tcW w:w="2160" w:type="dxa"/>
          </w:tcPr>
          <w:p w14:paraId="3D6CFC7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系数</w:t>
            </w:r>
          </w:p>
        </w:tc>
        <w:tc>
          <w:tcPr>
            <w:tcW w:w="2160" w:type="dxa"/>
          </w:tcPr>
          <w:p w14:paraId="37617D1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t值</w:t>
            </w:r>
          </w:p>
        </w:tc>
        <w:tc>
          <w:tcPr>
            <w:tcW w:w="2160" w:type="dxa"/>
          </w:tcPr>
          <w:p w14:paraId="2A02C46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解读</w:t>
            </w:r>
          </w:p>
        </w:tc>
      </w:tr>
      <w:tr w14:paraId="5FC4CB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076F65F5">
            <w:pPr>
              <w:spacing w:after="0" w:line="240" w:lineRule="auto"/>
              <w:jc w:val="center"/>
            </w:pPr>
            <w:r>
              <w:rPr>
                <w:sz w:val="18"/>
              </w:rPr>
              <w:t>Alpha</w:t>
            </w:r>
          </w:p>
        </w:tc>
        <w:tc>
          <w:tcPr>
            <w:tcW w:w="2160" w:type="dxa"/>
          </w:tcPr>
          <w:p w14:paraId="4851A92A">
            <w:pPr>
              <w:spacing w:after="0" w:line="240" w:lineRule="auto"/>
              <w:jc w:val="center"/>
            </w:pPr>
            <w:r>
              <w:rPr>
                <w:sz w:val="18"/>
              </w:rPr>
              <w:t>0.59%/月</w:t>
            </w:r>
          </w:p>
        </w:tc>
        <w:tc>
          <w:tcPr>
            <w:tcW w:w="2160" w:type="dxa"/>
          </w:tcPr>
          <w:p w14:paraId="0CED89CD">
            <w:pPr>
              <w:spacing w:after="0" w:line="240" w:lineRule="auto"/>
              <w:jc w:val="center"/>
            </w:pPr>
            <w:r>
              <w:rPr>
                <w:sz w:val="18"/>
              </w:rPr>
              <w:t>2.16</w:t>
            </w:r>
          </w:p>
        </w:tc>
        <w:tc>
          <w:tcPr>
            <w:tcW w:w="2160" w:type="dxa"/>
          </w:tcPr>
          <w:p w14:paraId="4C707387">
            <w:pPr>
              <w:spacing w:after="0" w:line="240" w:lineRule="auto"/>
              <w:jc w:val="center"/>
            </w:pPr>
            <w:r>
              <w:rPr>
                <w:sz w:val="18"/>
              </w:rPr>
              <w:t>5%显著，但远不如加风控后</w:t>
            </w:r>
          </w:p>
        </w:tc>
      </w:tr>
      <w:tr w14:paraId="480A68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74D58236">
            <w:pPr>
              <w:spacing w:after="0" w:line="240" w:lineRule="auto"/>
              <w:jc w:val="center"/>
            </w:pPr>
            <w:r>
              <w:rPr>
                <w:sz w:val="18"/>
              </w:rPr>
              <w:t>MKT</w:t>
            </w:r>
          </w:p>
        </w:tc>
        <w:tc>
          <w:tcPr>
            <w:tcW w:w="2160" w:type="dxa"/>
          </w:tcPr>
          <w:p w14:paraId="1D757D64">
            <w:pPr>
              <w:spacing w:after="0" w:line="240" w:lineRule="auto"/>
              <w:jc w:val="center"/>
            </w:pPr>
            <w:r>
              <w:rPr>
                <w:sz w:val="18"/>
              </w:rPr>
              <w:t>1.01</w:t>
            </w:r>
          </w:p>
        </w:tc>
        <w:tc>
          <w:tcPr>
            <w:tcW w:w="2160" w:type="dxa"/>
          </w:tcPr>
          <w:p w14:paraId="1413E766">
            <w:pPr>
              <w:spacing w:after="0" w:line="240" w:lineRule="auto"/>
              <w:jc w:val="center"/>
            </w:pPr>
            <w:r>
              <w:rPr>
                <w:sz w:val="18"/>
              </w:rPr>
              <w:t>25.51</w:t>
            </w:r>
          </w:p>
        </w:tc>
        <w:tc>
          <w:tcPr>
            <w:tcW w:w="2160" w:type="dxa"/>
          </w:tcPr>
          <w:p w14:paraId="6BF44B21">
            <w:pPr>
              <w:spacing w:after="0" w:line="240" w:lineRule="auto"/>
              <w:jc w:val="center"/>
            </w:pPr>
            <w:r>
              <w:rPr>
                <w:sz w:val="18"/>
              </w:rPr>
              <w:t>完全市场暴露，β≈1</w:t>
            </w:r>
          </w:p>
        </w:tc>
      </w:tr>
      <w:tr w14:paraId="2C4461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4EDA1296">
            <w:pPr>
              <w:spacing w:after="0" w:line="240" w:lineRule="auto"/>
              <w:jc w:val="center"/>
            </w:pPr>
            <w:r>
              <w:rPr>
                <w:sz w:val="18"/>
              </w:rPr>
              <w:t>SMB</w:t>
            </w:r>
          </w:p>
        </w:tc>
        <w:tc>
          <w:tcPr>
            <w:tcW w:w="2160" w:type="dxa"/>
          </w:tcPr>
          <w:p w14:paraId="75A60985">
            <w:pPr>
              <w:spacing w:after="0" w:line="240" w:lineRule="auto"/>
              <w:jc w:val="center"/>
            </w:pPr>
            <w:r>
              <w:rPr>
                <w:sz w:val="18"/>
              </w:rPr>
              <w:t>0.96</w:t>
            </w:r>
          </w:p>
        </w:tc>
        <w:tc>
          <w:tcPr>
            <w:tcW w:w="2160" w:type="dxa"/>
          </w:tcPr>
          <w:p w14:paraId="278E4A89">
            <w:pPr>
              <w:spacing w:after="0" w:line="240" w:lineRule="auto"/>
              <w:jc w:val="center"/>
            </w:pPr>
            <w:r>
              <w:rPr>
                <w:sz w:val="18"/>
              </w:rPr>
              <w:t>16.26</w:t>
            </w:r>
          </w:p>
        </w:tc>
        <w:tc>
          <w:tcPr>
            <w:tcW w:w="2160" w:type="dxa"/>
          </w:tcPr>
          <w:p w14:paraId="30C4DF68">
            <w:pPr>
              <w:spacing w:after="0" w:line="240" w:lineRule="auto"/>
              <w:jc w:val="center"/>
            </w:pPr>
            <w:r>
              <w:rPr>
                <w:sz w:val="18"/>
              </w:rPr>
              <w:t>严重依赖小市值</w:t>
            </w:r>
          </w:p>
        </w:tc>
      </w:tr>
      <w:tr w14:paraId="3D1645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4C65552B">
            <w:pPr>
              <w:spacing w:after="0" w:line="240" w:lineRule="auto"/>
              <w:jc w:val="center"/>
            </w:pPr>
            <w:r>
              <w:rPr>
                <w:sz w:val="18"/>
              </w:rPr>
              <w:t>VMG</w:t>
            </w:r>
          </w:p>
        </w:tc>
        <w:tc>
          <w:tcPr>
            <w:tcW w:w="2160" w:type="dxa"/>
          </w:tcPr>
          <w:p w14:paraId="36898D9C">
            <w:pPr>
              <w:spacing w:after="0" w:line="240" w:lineRule="auto"/>
              <w:jc w:val="center"/>
            </w:pPr>
            <w:r>
              <w:rPr>
                <w:sz w:val="18"/>
              </w:rPr>
              <w:t>-0.26</w:t>
            </w:r>
          </w:p>
        </w:tc>
        <w:tc>
          <w:tcPr>
            <w:tcW w:w="2160" w:type="dxa"/>
          </w:tcPr>
          <w:p w14:paraId="49670F4F">
            <w:pPr>
              <w:spacing w:after="0" w:line="240" w:lineRule="auto"/>
              <w:jc w:val="center"/>
            </w:pPr>
            <w:r>
              <w:rPr>
                <w:sz w:val="18"/>
              </w:rPr>
              <w:t>-3.10</w:t>
            </w:r>
          </w:p>
        </w:tc>
        <w:tc>
          <w:tcPr>
            <w:tcW w:w="2160" w:type="dxa"/>
          </w:tcPr>
          <w:p w14:paraId="7B13C4D5">
            <w:pPr>
              <w:spacing w:after="0" w:line="240" w:lineRule="auto"/>
              <w:jc w:val="center"/>
            </w:pPr>
            <w:r>
              <w:rPr>
                <w:sz w:val="18"/>
              </w:rPr>
              <w:t>偏成长股</w:t>
            </w:r>
          </w:p>
        </w:tc>
      </w:tr>
    </w:tbl>
    <w:p w14:paraId="3AC8E0B8">
      <w:r>
        <w:rPr>
          <w:rFonts w:ascii="宋体" w:hAnsi="宋体" w:eastAsia="宋体"/>
          <w:b/>
          <w:sz w:val="22"/>
        </w:rPr>
        <w:t>R² = 85.31%。关键发现：纯反转策略本质是"小市值成长股多头"而非"反转Alpha"。MKT Beta≈1意味着策略完全跟随市场涨跌，SMB Beta≈0.96意味着策略严重依赖小市值效应。85%的收益可被三因子解释，alpha仅占15%。这为后续风控优化指明了方向——必须降低市场暴露和小市值暴露。</w:t>
      </w:r>
    </w:p>
    <w:p w14:paraId="33894169">
      <w:r>
        <w:rPr>
          <w:rFonts w:ascii="宋体" w:hAnsi="宋体" w:eastAsia="宋体"/>
          <w:b/>
          <w:sz w:val="22"/>
        </w:rPr>
        <w:t>CH-3 vs FF-3模型对比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05937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70DEF3D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2880" w:type="dxa"/>
          </w:tcPr>
          <w:p w14:paraId="2172A28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CH-3模型</w:t>
            </w:r>
          </w:p>
        </w:tc>
        <w:tc>
          <w:tcPr>
            <w:tcW w:w="2880" w:type="dxa"/>
          </w:tcPr>
          <w:p w14:paraId="46FB33C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FF-3模型</w:t>
            </w:r>
          </w:p>
        </w:tc>
      </w:tr>
      <w:tr w14:paraId="4ADE95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47DBD706">
            <w:pPr>
              <w:spacing w:after="0" w:line="240" w:lineRule="auto"/>
              <w:jc w:val="center"/>
            </w:pPr>
            <w:r>
              <w:rPr>
                <w:sz w:val="18"/>
              </w:rPr>
              <w:t>年化Alpha</w:t>
            </w:r>
          </w:p>
        </w:tc>
        <w:tc>
          <w:tcPr>
            <w:tcW w:w="2880" w:type="dxa"/>
          </w:tcPr>
          <w:p w14:paraId="2E5D9B12">
            <w:pPr>
              <w:spacing w:after="0" w:line="240" w:lineRule="auto"/>
              <w:jc w:val="center"/>
            </w:pPr>
            <w:r>
              <w:rPr>
                <w:sz w:val="18"/>
              </w:rPr>
              <w:t>7.08%</w:t>
            </w:r>
          </w:p>
        </w:tc>
        <w:tc>
          <w:tcPr>
            <w:tcW w:w="2880" w:type="dxa"/>
          </w:tcPr>
          <w:p w14:paraId="2ED0F19A">
            <w:pPr>
              <w:spacing w:after="0" w:line="240" w:lineRule="auto"/>
              <w:jc w:val="center"/>
            </w:pPr>
            <w:r>
              <w:rPr>
                <w:sz w:val="18"/>
              </w:rPr>
              <w:t>5.86%</w:t>
            </w:r>
          </w:p>
        </w:tc>
      </w:tr>
      <w:tr w14:paraId="546D4F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17DEFB3A">
            <w:pPr>
              <w:spacing w:after="0" w:line="240" w:lineRule="auto"/>
              <w:jc w:val="center"/>
            </w:pPr>
            <w:r>
              <w:rPr>
                <w:sz w:val="18"/>
              </w:rPr>
              <w:t>Alpha显著性</w:t>
            </w:r>
          </w:p>
        </w:tc>
        <w:tc>
          <w:tcPr>
            <w:tcW w:w="2880" w:type="dxa"/>
          </w:tcPr>
          <w:p w14:paraId="473FC10C">
            <w:pPr>
              <w:spacing w:after="0" w:line="240" w:lineRule="auto"/>
              <w:jc w:val="center"/>
            </w:pPr>
            <w:r>
              <w:rPr>
                <w:sz w:val="18"/>
              </w:rPr>
              <w:t>5%显著</w:t>
            </w:r>
          </w:p>
        </w:tc>
        <w:tc>
          <w:tcPr>
            <w:tcW w:w="2880" w:type="dxa"/>
          </w:tcPr>
          <w:p w14:paraId="32A9B69B">
            <w:pPr>
              <w:spacing w:after="0" w:line="240" w:lineRule="auto"/>
              <w:jc w:val="center"/>
            </w:pPr>
            <w:r>
              <w:rPr>
                <w:sz w:val="18"/>
              </w:rPr>
              <w:t>10%显著</w:t>
            </w:r>
          </w:p>
        </w:tc>
      </w:tr>
      <w:tr w14:paraId="538CF2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0F666876">
            <w:pPr>
              <w:spacing w:after="0" w:line="240" w:lineRule="auto"/>
              <w:jc w:val="center"/>
            </w:pPr>
            <w:r>
              <w:rPr>
                <w:sz w:val="18"/>
              </w:rPr>
              <w:t>MKT Beta</w:t>
            </w:r>
          </w:p>
        </w:tc>
        <w:tc>
          <w:tcPr>
            <w:tcW w:w="2880" w:type="dxa"/>
          </w:tcPr>
          <w:p w14:paraId="71A4DD56">
            <w:pPr>
              <w:spacing w:after="0" w:line="240" w:lineRule="auto"/>
              <w:jc w:val="center"/>
            </w:pPr>
            <w:r>
              <w:rPr>
                <w:sz w:val="18"/>
              </w:rPr>
              <w:t>1.01</w:t>
            </w:r>
          </w:p>
        </w:tc>
        <w:tc>
          <w:tcPr>
            <w:tcW w:w="2880" w:type="dxa"/>
          </w:tcPr>
          <w:p w14:paraId="548CA04A">
            <w:pPr>
              <w:spacing w:after="0" w:line="240" w:lineRule="auto"/>
              <w:jc w:val="center"/>
            </w:pPr>
            <w:r>
              <w:rPr>
                <w:sz w:val="18"/>
              </w:rPr>
              <w:t>1.00</w:t>
            </w:r>
          </w:p>
        </w:tc>
      </w:tr>
      <w:tr w14:paraId="2498A8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20863294">
            <w:pPr>
              <w:spacing w:after="0" w:line="240" w:lineRule="auto"/>
              <w:jc w:val="center"/>
            </w:pPr>
            <w:r>
              <w:rPr>
                <w:sz w:val="18"/>
              </w:rPr>
              <w:t>SMB Beta</w:t>
            </w:r>
          </w:p>
        </w:tc>
        <w:tc>
          <w:tcPr>
            <w:tcW w:w="2880" w:type="dxa"/>
          </w:tcPr>
          <w:p w14:paraId="4B264A4F">
            <w:pPr>
              <w:spacing w:after="0" w:line="240" w:lineRule="auto"/>
              <w:jc w:val="center"/>
            </w:pPr>
            <w:r>
              <w:rPr>
                <w:sz w:val="18"/>
              </w:rPr>
              <w:t>0.96</w:t>
            </w:r>
          </w:p>
        </w:tc>
        <w:tc>
          <w:tcPr>
            <w:tcW w:w="2880" w:type="dxa"/>
          </w:tcPr>
          <w:p w14:paraId="7FBB727E">
            <w:pPr>
              <w:spacing w:after="0" w:line="240" w:lineRule="auto"/>
              <w:jc w:val="center"/>
            </w:pPr>
            <w:r>
              <w:rPr>
                <w:sz w:val="18"/>
              </w:rPr>
              <w:t>0.86</w:t>
            </w:r>
          </w:p>
        </w:tc>
      </w:tr>
    </w:tbl>
    <w:p w14:paraId="1F61108B">
      <w:r>
        <w:rPr>
          <w:rFonts w:ascii="宋体" w:hAnsi="宋体" w:eastAsia="宋体"/>
          <w:b w:val="0"/>
          <w:sz w:val="22"/>
        </w:rPr>
        <w:t>CH-3模型更适合中国市场：Alpha更显著（5% vs 10%水平），R²更高（85.31% vs 84.10%）。CH-3的VMG因子基于盈利收益率(EP)构建，比FF-3的HML因子（基于账面市值比BP）更能捕捉中国市场的价值效应。这与Liu et al.(2019)的结论一致。</w:t>
      </w:r>
    </w:p>
    <w:p w14:paraId="72683CC7">
      <w:r>
        <w:rPr>
          <w:rFonts w:ascii="宋体" w:hAnsi="宋体" w:eastAsia="宋体"/>
          <w:b/>
          <w:sz w:val="22"/>
        </w:rPr>
        <w:t>与Liu et al.(2019)学术结果对比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A2451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5139853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2160" w:type="dxa"/>
          </w:tcPr>
          <w:p w14:paraId="2A06431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本策略</w:t>
            </w:r>
          </w:p>
        </w:tc>
        <w:tc>
          <w:tcPr>
            <w:tcW w:w="2160" w:type="dxa"/>
          </w:tcPr>
          <w:p w14:paraId="424793C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Liu et al.(2019)</w:t>
            </w:r>
          </w:p>
        </w:tc>
        <w:tc>
          <w:tcPr>
            <w:tcW w:w="2160" w:type="dxa"/>
          </w:tcPr>
          <w:p w14:paraId="4381E8F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差异原因</w:t>
            </w:r>
          </w:p>
        </w:tc>
      </w:tr>
      <w:tr w14:paraId="7B0F3A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66090DEA">
            <w:pPr>
              <w:spacing w:after="0" w:line="240" w:lineRule="auto"/>
              <w:jc w:val="center"/>
            </w:pPr>
            <w:r>
              <w:rPr>
                <w:sz w:val="18"/>
              </w:rPr>
              <w:t>MKT Beta</w:t>
            </w:r>
          </w:p>
        </w:tc>
        <w:tc>
          <w:tcPr>
            <w:tcW w:w="2160" w:type="dxa"/>
          </w:tcPr>
          <w:p w14:paraId="0BE8CF58">
            <w:pPr>
              <w:spacing w:after="0" w:line="240" w:lineRule="auto"/>
              <w:jc w:val="center"/>
            </w:pPr>
            <w:r>
              <w:rPr>
                <w:sz w:val="18"/>
              </w:rPr>
              <w:t>1.01</w:t>
            </w:r>
          </w:p>
        </w:tc>
        <w:tc>
          <w:tcPr>
            <w:tcW w:w="2160" w:type="dxa"/>
          </w:tcPr>
          <w:p w14:paraId="676712FF">
            <w:pPr>
              <w:spacing w:after="0" w:line="240" w:lineRule="auto"/>
              <w:jc w:val="center"/>
            </w:pPr>
            <w:r>
              <w:rPr>
                <w:sz w:val="18"/>
              </w:rPr>
              <w:t>-0.06</w:t>
            </w:r>
          </w:p>
        </w:tc>
        <w:tc>
          <w:tcPr>
            <w:tcW w:w="2160" w:type="dxa"/>
          </w:tcPr>
          <w:p w14:paraId="79F656BD">
            <w:pPr>
              <w:spacing w:after="0" w:line="240" w:lineRule="auto"/>
              <w:jc w:val="center"/>
            </w:pPr>
            <w:r>
              <w:rPr>
                <w:sz w:val="18"/>
              </w:rPr>
              <w:t>纯多头 vs 多空组合</w:t>
            </w:r>
          </w:p>
        </w:tc>
      </w:tr>
      <w:tr w14:paraId="65A42A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27752317">
            <w:pPr>
              <w:spacing w:after="0" w:line="240" w:lineRule="auto"/>
              <w:jc w:val="center"/>
            </w:pPr>
            <w:r>
              <w:rPr>
                <w:sz w:val="18"/>
              </w:rPr>
              <w:t>SMB Beta</w:t>
            </w:r>
          </w:p>
        </w:tc>
        <w:tc>
          <w:tcPr>
            <w:tcW w:w="2160" w:type="dxa"/>
          </w:tcPr>
          <w:p w14:paraId="4FC6F05D">
            <w:pPr>
              <w:spacing w:after="0" w:line="240" w:lineRule="auto"/>
              <w:jc w:val="center"/>
            </w:pPr>
            <w:r>
              <w:rPr>
                <w:sz w:val="18"/>
              </w:rPr>
              <w:t>0.96</w:t>
            </w:r>
          </w:p>
        </w:tc>
        <w:tc>
          <w:tcPr>
            <w:tcW w:w="2160" w:type="dxa"/>
          </w:tcPr>
          <w:p w14:paraId="2E422102">
            <w:pPr>
              <w:spacing w:after="0" w:line="240" w:lineRule="auto"/>
              <w:jc w:val="center"/>
            </w:pPr>
            <w:r>
              <w:rPr>
                <w:sz w:val="18"/>
              </w:rPr>
              <w:t>0.56</w:t>
            </w:r>
          </w:p>
        </w:tc>
        <w:tc>
          <w:tcPr>
            <w:tcW w:w="2160" w:type="dxa"/>
          </w:tcPr>
          <w:p w14:paraId="62096F1F">
            <w:pPr>
              <w:spacing w:after="0" w:line="240" w:lineRule="auto"/>
              <w:jc w:val="center"/>
            </w:pPr>
            <w:r>
              <w:rPr>
                <w:sz w:val="18"/>
              </w:rPr>
              <w:t>全市场 vs 市值中性</w:t>
            </w:r>
          </w:p>
        </w:tc>
      </w:tr>
      <w:tr w14:paraId="42897E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7FC3733E">
            <w:pPr>
              <w:spacing w:after="0" w:line="240" w:lineRule="auto"/>
              <w:jc w:val="center"/>
            </w:pPr>
            <w:r>
              <w:rPr>
                <w:sz w:val="18"/>
              </w:rPr>
              <w:t>HML/VMG Beta</w:t>
            </w:r>
          </w:p>
        </w:tc>
        <w:tc>
          <w:tcPr>
            <w:tcW w:w="2160" w:type="dxa"/>
          </w:tcPr>
          <w:p w14:paraId="7580F03F">
            <w:pPr>
              <w:spacing w:after="0" w:line="240" w:lineRule="auto"/>
              <w:jc w:val="center"/>
            </w:pPr>
            <w:r>
              <w:rPr>
                <w:sz w:val="18"/>
              </w:rPr>
              <w:t>-0.26</w:t>
            </w:r>
          </w:p>
        </w:tc>
        <w:tc>
          <w:tcPr>
            <w:tcW w:w="2160" w:type="dxa"/>
          </w:tcPr>
          <w:p w14:paraId="583F85B3">
            <w:pPr>
              <w:spacing w:after="0" w:line="240" w:lineRule="auto"/>
              <w:jc w:val="center"/>
            </w:pPr>
            <w:r>
              <w:rPr>
                <w:sz w:val="18"/>
              </w:rPr>
              <w:t>+0.28</w:t>
            </w:r>
          </w:p>
        </w:tc>
        <w:tc>
          <w:tcPr>
            <w:tcW w:w="2160" w:type="dxa"/>
          </w:tcPr>
          <w:p w14:paraId="1EEBEAD5">
            <w:pPr>
              <w:spacing w:after="0" w:line="240" w:lineRule="auto"/>
              <w:jc w:val="center"/>
            </w:pPr>
            <w:r>
              <w:rPr>
                <w:sz w:val="18"/>
              </w:rPr>
              <w:t>中期反转 vs 长期反转</w:t>
            </w:r>
          </w:p>
        </w:tc>
      </w:tr>
      <w:tr w14:paraId="774577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6D9B1C43">
            <w:pPr>
              <w:spacing w:after="0" w:line="240" w:lineRule="auto"/>
              <w:jc w:val="center"/>
            </w:pPr>
            <w:r>
              <w:rPr>
                <w:sz w:val="18"/>
              </w:rPr>
              <w:t>Alpha</w:t>
            </w:r>
          </w:p>
        </w:tc>
        <w:tc>
          <w:tcPr>
            <w:tcW w:w="2160" w:type="dxa"/>
          </w:tcPr>
          <w:p w14:paraId="72236C16">
            <w:pPr>
              <w:spacing w:after="0" w:line="240" w:lineRule="auto"/>
              <w:jc w:val="center"/>
            </w:pPr>
            <w:r>
              <w:rPr>
                <w:sz w:val="18"/>
              </w:rPr>
              <w:t>7.08%/年</w:t>
            </w:r>
          </w:p>
        </w:tc>
        <w:tc>
          <w:tcPr>
            <w:tcW w:w="2160" w:type="dxa"/>
          </w:tcPr>
          <w:p w14:paraId="0126E9B8">
            <w:pPr>
              <w:spacing w:after="0" w:line="240" w:lineRule="auto"/>
              <w:jc w:val="center"/>
            </w:pPr>
            <w:r>
              <w:rPr>
                <w:sz w:val="18"/>
              </w:rPr>
              <w:t>~11%/年</w:t>
            </w:r>
          </w:p>
        </w:tc>
        <w:tc>
          <w:tcPr>
            <w:tcW w:w="2160" w:type="dxa"/>
          </w:tcPr>
          <w:p w14:paraId="0B2C7703">
            <w:pPr>
              <w:spacing w:after="0" w:line="240" w:lineRule="auto"/>
              <w:jc w:val="center"/>
            </w:pPr>
            <w:r>
              <w:rPr>
                <w:sz w:val="18"/>
              </w:rPr>
              <w:t>多头alpha vs 多空alpha</w:t>
            </w:r>
          </w:p>
        </w:tc>
      </w:tr>
    </w:tbl>
    <w:p w14:paraId="41D729FC">
      <w:r>
        <w:t>本策略与学术策略的核心差异在于结构：学术策略是多空组合（市场中性），本策略是纯多头（有方向性暴露）。MKT Beta≈1是纯多头的必然结果，不代表策略无效——关键看加入风控后alpha是否提升。后续实验证明，加入MA过滤器后alpha从7.08%提升至8.47%（t=2.67），加入全部风控后alpha进一步提升至12.27%（t=5.10），同时β_MKT从1.01降至0.301。</w:t>
      </w:r>
    </w:p>
    <w:p w14:paraId="61762046">
      <w:r>
        <w:br w:type="page"/>
      </w:r>
    </w:p>
    <w:p w14:paraId="2314DC26">
      <w:pPr>
        <w:pStyle w:val="4"/>
      </w:pPr>
      <w:r>
        <w:t>2.3 信号增强类优化</w:t>
      </w:r>
    </w:p>
    <w:p w14:paraId="4F2FB3AE">
      <w:r>
        <w:rPr>
          <w:rFonts w:ascii="宋体" w:hAnsi="宋体" w:eastAsia="宋体"/>
          <w:b w:val="0"/>
          <w:sz w:val="22"/>
        </w:rPr>
        <w:t>目标：提升信号本身的预测能力，包括因子选择、信号变换、因子交互等。这是实验最多的类别，但成功方向最少。</w:t>
      </w:r>
    </w:p>
    <w:p w14:paraId="486F3A9B">
      <w:r>
        <w:rPr>
          <w:rFonts w:ascii="宋体" w:hAnsi="宋体" w:eastAsia="宋体"/>
          <w:b/>
          <w:sz w:val="22"/>
        </w:rPr>
        <w:t>成功方向</w:t>
      </w:r>
    </w:p>
    <w:p w14:paraId="6AA474B5">
      <w:r>
        <w:rPr>
          <w:rFonts w:ascii="宋体" w:hAnsi="宋体" w:eastAsia="宋体"/>
          <w:b/>
          <w:sz w:val="22"/>
        </w:rPr>
        <w:t>① 价值因子加入（反转60%+价值40%）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8A65E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6597F16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2160" w:type="dxa"/>
          </w:tcPr>
          <w:p w14:paraId="0DAD112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纯反转夏普</w:t>
            </w:r>
          </w:p>
        </w:tc>
        <w:tc>
          <w:tcPr>
            <w:tcW w:w="2160" w:type="dxa"/>
          </w:tcPr>
          <w:p w14:paraId="38C28F4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组合夏普</w:t>
            </w:r>
          </w:p>
        </w:tc>
        <w:tc>
          <w:tcPr>
            <w:tcW w:w="2160" w:type="dxa"/>
          </w:tcPr>
          <w:p w14:paraId="33F7302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差异</w:t>
            </w:r>
          </w:p>
        </w:tc>
      </w:tr>
      <w:tr w14:paraId="4C6374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5D5638ED">
            <w:pPr>
              <w:spacing w:after="0" w:line="240" w:lineRule="auto"/>
              <w:jc w:val="center"/>
            </w:pPr>
            <w:r>
              <w:rPr>
                <w:sz w:val="18"/>
              </w:rPr>
              <w:t>无优化</w:t>
            </w:r>
          </w:p>
        </w:tc>
        <w:tc>
          <w:tcPr>
            <w:tcW w:w="2160" w:type="dxa"/>
          </w:tcPr>
          <w:p w14:paraId="44760303">
            <w:pPr>
              <w:spacing w:after="0" w:line="240" w:lineRule="auto"/>
              <w:jc w:val="center"/>
            </w:pPr>
            <w:r>
              <w:rPr>
                <w:sz w:val="18"/>
              </w:rPr>
              <w:t>0.63</w:t>
            </w:r>
          </w:p>
        </w:tc>
        <w:tc>
          <w:tcPr>
            <w:tcW w:w="2160" w:type="dxa"/>
          </w:tcPr>
          <w:p w14:paraId="621E62DB">
            <w:pPr>
              <w:spacing w:after="0" w:line="240" w:lineRule="auto"/>
              <w:jc w:val="center"/>
            </w:pPr>
            <w:r>
              <w:rPr>
                <w:sz w:val="18"/>
              </w:rPr>
              <w:t>0.65</w:t>
            </w:r>
          </w:p>
        </w:tc>
        <w:tc>
          <w:tcPr>
            <w:tcW w:w="2160" w:type="dxa"/>
          </w:tcPr>
          <w:p w14:paraId="5B9ED77D">
            <w:pPr>
              <w:spacing w:after="0" w:line="240" w:lineRule="auto"/>
              <w:jc w:val="center"/>
            </w:pPr>
            <w:r>
              <w:rPr>
                <w:sz w:val="18"/>
              </w:rPr>
              <w:t>+0.03</w:t>
            </w:r>
          </w:p>
        </w:tc>
      </w:tr>
      <w:tr w14:paraId="2AE8F1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44CEA28A">
            <w:pPr>
              <w:spacing w:after="0" w:line="240" w:lineRule="auto"/>
              <w:jc w:val="center"/>
            </w:pPr>
            <w:r>
              <w:rPr>
                <w:sz w:val="18"/>
              </w:rPr>
              <w:t>+MA</w:t>
            </w:r>
          </w:p>
        </w:tc>
        <w:tc>
          <w:tcPr>
            <w:tcW w:w="2160" w:type="dxa"/>
          </w:tcPr>
          <w:p w14:paraId="322388A4">
            <w:pPr>
              <w:spacing w:after="0" w:line="240" w:lineRule="auto"/>
              <w:jc w:val="center"/>
            </w:pPr>
            <w:r>
              <w:rPr>
                <w:sz w:val="18"/>
              </w:rPr>
              <w:t>0.91</w:t>
            </w:r>
          </w:p>
        </w:tc>
        <w:tc>
          <w:tcPr>
            <w:tcW w:w="2160" w:type="dxa"/>
          </w:tcPr>
          <w:p w14:paraId="27360124">
            <w:pPr>
              <w:spacing w:after="0" w:line="240" w:lineRule="auto"/>
              <w:jc w:val="center"/>
            </w:pPr>
            <w:r>
              <w:rPr>
                <w:sz w:val="18"/>
              </w:rPr>
              <w:t>0.98</w:t>
            </w:r>
          </w:p>
        </w:tc>
        <w:tc>
          <w:tcPr>
            <w:tcW w:w="2160" w:type="dxa"/>
          </w:tcPr>
          <w:p w14:paraId="75C7DD06">
            <w:pPr>
              <w:spacing w:after="0" w:line="240" w:lineRule="auto"/>
              <w:jc w:val="center"/>
            </w:pPr>
            <w:r>
              <w:rPr>
                <w:sz w:val="18"/>
              </w:rPr>
              <w:t>+0.06</w:t>
            </w:r>
          </w:p>
        </w:tc>
      </w:tr>
      <w:tr w14:paraId="07AE46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051269B0">
            <w:pPr>
              <w:spacing w:after="0" w:line="240" w:lineRule="auto"/>
              <w:jc w:val="center"/>
            </w:pPr>
            <w:r>
              <w:rPr>
                <w:sz w:val="18"/>
              </w:rPr>
              <w:t>全配置</w:t>
            </w:r>
          </w:p>
        </w:tc>
        <w:tc>
          <w:tcPr>
            <w:tcW w:w="2160" w:type="dxa"/>
          </w:tcPr>
          <w:p w14:paraId="597ACB47">
            <w:pPr>
              <w:spacing w:after="0" w:line="240" w:lineRule="auto"/>
              <w:jc w:val="center"/>
            </w:pPr>
            <w:r>
              <w:rPr>
                <w:sz w:val="18"/>
              </w:rPr>
              <w:t>0.79</w:t>
            </w:r>
          </w:p>
        </w:tc>
        <w:tc>
          <w:tcPr>
            <w:tcW w:w="2160" w:type="dxa"/>
          </w:tcPr>
          <w:p w14:paraId="61BD9CE0">
            <w:pPr>
              <w:spacing w:after="0" w:line="240" w:lineRule="auto"/>
              <w:jc w:val="center"/>
            </w:pPr>
            <w:r>
              <w:rPr>
                <w:sz w:val="18"/>
              </w:rPr>
              <w:t>0.84</w:t>
            </w:r>
          </w:p>
        </w:tc>
        <w:tc>
          <w:tcPr>
            <w:tcW w:w="2160" w:type="dxa"/>
          </w:tcPr>
          <w:p w14:paraId="64655DD8">
            <w:pPr>
              <w:spacing w:after="0" w:line="240" w:lineRule="auto"/>
              <w:jc w:val="center"/>
            </w:pPr>
            <w:r>
              <w:rPr>
                <w:sz w:val="18"/>
              </w:rPr>
              <w:t>+0.06</w:t>
            </w:r>
          </w:p>
        </w:tc>
      </w:tr>
    </w:tbl>
    <w:p w14:paraId="4228C743">
      <w:r>
        <w:rPr>
          <w:rFonts w:ascii="宋体" w:hAnsi="宋体" w:eastAsia="宋体"/>
          <w:b w:val="0"/>
          <w:sz w:val="22"/>
        </w:rPr>
        <w:t>价值因子有微弱正面贡献（夏普+0.01~+0.06），主要作用是降低换手率14%（604% vs 704%）。Fama-MacBeth交互项分析确认价值因子与反转交互项显著为正（t=3.30），验证了"长期表现好的股票反转更强"。</w:t>
      </w:r>
    </w:p>
    <w:p w14:paraId="1D1F8BC8">
      <w:r>
        <w:rPr>
          <w:rFonts w:ascii="宋体" w:hAnsi="宋体" w:eastAsia="宋体"/>
          <w:b w:val="0"/>
          <w:sz w:val="22"/>
        </w:rPr>
        <w:t>深层机制分析：价值因子在组合中的作用并非简单的"价值溢价"——纯价值因子夏普仅0.34（+MA），远低于纯反转的0.91。价值因子的真正价值在于它是反转效应的横截面调节器：价值因子高的股票，反转效应更强（交互项t=3.30）；而ROE高的股票，反转效应反而更弱（交互项t=-3.60）。这说明A股反转的本质是"波动率效应"——低ROE股票波动更大，反转更剧烈，而价值因子恰好筛选出了"波动率适中但超跌"的股票。</w:t>
      </w:r>
    </w:p>
    <w:p w14:paraId="53DCA9A7">
      <w:r>
        <w:rPr>
          <w:rFonts w:ascii="宋体" w:hAnsi="宋体" w:eastAsia="宋体"/>
          <w:b/>
          <w:sz w:val="22"/>
        </w:rPr>
        <w:t>② 信号阈值&gt;85%（动态选股）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8064B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10D604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选股方案</w:t>
            </w:r>
          </w:p>
        </w:tc>
        <w:tc>
          <w:tcPr>
            <w:tcW w:w="1728" w:type="dxa"/>
          </w:tcPr>
          <w:p w14:paraId="78D88BD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7A39D5E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728" w:type="dxa"/>
          </w:tcPr>
          <w:p w14:paraId="1A90443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4C8DEE6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26B9D5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5FC660A0">
            <w:pPr>
              <w:spacing w:after="0" w:line="240" w:lineRule="auto"/>
              <w:jc w:val="center"/>
            </w:pPr>
            <w:r>
              <w:rPr>
                <w:sz w:val="18"/>
              </w:rPr>
              <w:t>固定TopK=80</w:t>
            </w:r>
          </w:p>
        </w:tc>
        <w:tc>
          <w:tcPr>
            <w:tcW w:w="1728" w:type="dxa"/>
          </w:tcPr>
          <w:p w14:paraId="2B919A73">
            <w:pPr>
              <w:spacing w:after="0" w:line="240" w:lineRule="auto"/>
              <w:jc w:val="center"/>
            </w:pPr>
            <w:r>
              <w:rPr>
                <w:sz w:val="18"/>
              </w:rPr>
              <w:t>21.56%</w:t>
            </w:r>
          </w:p>
        </w:tc>
        <w:tc>
          <w:tcPr>
            <w:tcW w:w="1728" w:type="dxa"/>
          </w:tcPr>
          <w:p w14:paraId="15056250">
            <w:pPr>
              <w:spacing w:after="0" w:line="240" w:lineRule="auto"/>
              <w:jc w:val="center"/>
            </w:pPr>
            <w:r>
              <w:rPr>
                <w:sz w:val="18"/>
              </w:rPr>
              <w:t>1.02</w:t>
            </w:r>
          </w:p>
        </w:tc>
        <w:tc>
          <w:tcPr>
            <w:tcW w:w="1728" w:type="dxa"/>
          </w:tcPr>
          <w:p w14:paraId="4607F8FD">
            <w:pPr>
              <w:spacing w:after="0" w:line="240" w:lineRule="auto"/>
              <w:jc w:val="center"/>
            </w:pPr>
            <w:r>
              <w:rPr>
                <w:sz w:val="18"/>
              </w:rPr>
              <w:t>-19.83%</w:t>
            </w:r>
          </w:p>
        </w:tc>
        <w:tc>
          <w:tcPr>
            <w:tcW w:w="1728" w:type="dxa"/>
          </w:tcPr>
          <w:p w14:paraId="362BABE6">
            <w:pPr>
              <w:spacing w:after="0" w:line="240" w:lineRule="auto"/>
              <w:jc w:val="center"/>
            </w:pPr>
            <w:r>
              <w:rPr>
                <w:sz w:val="18"/>
              </w:rPr>
              <w:t>519%</w:t>
            </w:r>
          </w:p>
        </w:tc>
      </w:tr>
      <w:tr w14:paraId="13598E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6780FB43">
            <w:pPr>
              <w:spacing w:after="0" w:line="240" w:lineRule="auto"/>
              <w:jc w:val="center"/>
            </w:pPr>
            <w:r>
              <w:rPr>
                <w:sz w:val="18"/>
              </w:rPr>
              <w:t>固定TopK=100</w:t>
            </w:r>
          </w:p>
        </w:tc>
        <w:tc>
          <w:tcPr>
            <w:tcW w:w="1728" w:type="dxa"/>
          </w:tcPr>
          <w:p w14:paraId="76A51E75">
            <w:pPr>
              <w:spacing w:after="0" w:line="240" w:lineRule="auto"/>
              <w:jc w:val="center"/>
            </w:pPr>
            <w:r>
              <w:rPr>
                <w:sz w:val="18"/>
              </w:rPr>
              <w:t>22.14%</w:t>
            </w:r>
          </w:p>
        </w:tc>
        <w:tc>
          <w:tcPr>
            <w:tcW w:w="1728" w:type="dxa"/>
          </w:tcPr>
          <w:p w14:paraId="5740C4F6">
            <w:pPr>
              <w:spacing w:after="0" w:line="240" w:lineRule="auto"/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w="1728" w:type="dxa"/>
          </w:tcPr>
          <w:p w14:paraId="7CFA2755">
            <w:pPr>
              <w:spacing w:after="0" w:line="240" w:lineRule="auto"/>
              <w:jc w:val="center"/>
            </w:pPr>
            <w:r>
              <w:rPr>
                <w:sz w:val="18"/>
              </w:rPr>
              <w:t>-16.61%</w:t>
            </w:r>
          </w:p>
        </w:tc>
        <w:tc>
          <w:tcPr>
            <w:tcW w:w="1728" w:type="dxa"/>
          </w:tcPr>
          <w:p w14:paraId="0616E2DA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0097C6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7A8C6B03">
            <w:pPr>
              <w:spacing w:after="0" w:line="240" w:lineRule="auto"/>
              <w:jc w:val="center"/>
            </w:pPr>
            <w:r>
              <w:rPr>
                <w:sz w:val="18"/>
              </w:rPr>
              <w:t>固定TopK=120</w:t>
            </w:r>
          </w:p>
        </w:tc>
        <w:tc>
          <w:tcPr>
            <w:tcW w:w="1728" w:type="dxa"/>
          </w:tcPr>
          <w:p w14:paraId="1707C2E3">
            <w:pPr>
              <w:spacing w:after="0" w:line="240" w:lineRule="auto"/>
              <w:jc w:val="center"/>
            </w:pPr>
            <w:r>
              <w:rPr>
                <w:sz w:val="18"/>
              </w:rPr>
              <w:t>22.15%</w:t>
            </w:r>
          </w:p>
        </w:tc>
        <w:tc>
          <w:tcPr>
            <w:tcW w:w="1728" w:type="dxa"/>
          </w:tcPr>
          <w:p w14:paraId="4F798E47">
            <w:pPr>
              <w:spacing w:after="0" w:line="240" w:lineRule="auto"/>
              <w:jc w:val="center"/>
            </w:pPr>
            <w:r>
              <w:rPr>
                <w:sz w:val="18"/>
              </w:rPr>
              <w:t>1.06</w:t>
            </w:r>
          </w:p>
        </w:tc>
        <w:tc>
          <w:tcPr>
            <w:tcW w:w="1728" w:type="dxa"/>
          </w:tcPr>
          <w:p w14:paraId="10F4ED89">
            <w:pPr>
              <w:spacing w:after="0" w:line="240" w:lineRule="auto"/>
              <w:jc w:val="center"/>
            </w:pPr>
            <w:r>
              <w:rPr>
                <w:sz w:val="18"/>
              </w:rPr>
              <w:t>-15.60%</w:t>
            </w:r>
          </w:p>
        </w:tc>
        <w:tc>
          <w:tcPr>
            <w:tcW w:w="1728" w:type="dxa"/>
          </w:tcPr>
          <w:p w14:paraId="4D10391D">
            <w:pPr>
              <w:spacing w:after="0" w:line="240" w:lineRule="auto"/>
              <w:jc w:val="center"/>
            </w:pPr>
            <w:r>
              <w:rPr>
                <w:sz w:val="18"/>
              </w:rPr>
              <w:t>532%</w:t>
            </w:r>
          </w:p>
        </w:tc>
      </w:tr>
      <w:tr w14:paraId="596779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6BDF9137">
            <w:pPr>
              <w:spacing w:after="0" w:line="240" w:lineRule="auto"/>
              <w:jc w:val="center"/>
            </w:pPr>
            <w:r>
              <w:rPr>
                <w:sz w:val="18"/>
              </w:rPr>
              <w:t>信号阈值&gt;90%</w:t>
            </w:r>
          </w:p>
        </w:tc>
        <w:tc>
          <w:tcPr>
            <w:tcW w:w="1728" w:type="dxa"/>
          </w:tcPr>
          <w:p w14:paraId="2CDC877B">
            <w:pPr>
              <w:spacing w:after="0" w:line="240" w:lineRule="auto"/>
              <w:jc w:val="center"/>
            </w:pPr>
            <w:r>
              <w:rPr>
                <w:sz w:val="18"/>
              </w:rPr>
              <w:t>22.43%</w:t>
            </w:r>
          </w:p>
        </w:tc>
        <w:tc>
          <w:tcPr>
            <w:tcW w:w="1728" w:type="dxa"/>
          </w:tcPr>
          <w:p w14:paraId="18EF4B84">
            <w:pPr>
              <w:spacing w:after="0" w:line="240" w:lineRule="auto"/>
              <w:jc w:val="center"/>
            </w:pPr>
            <w:r>
              <w:rPr>
                <w:sz w:val="18"/>
              </w:rPr>
              <w:t>1.09</w:t>
            </w:r>
          </w:p>
        </w:tc>
        <w:tc>
          <w:tcPr>
            <w:tcW w:w="1728" w:type="dxa"/>
          </w:tcPr>
          <w:p w14:paraId="6A17422D">
            <w:pPr>
              <w:spacing w:after="0" w:line="240" w:lineRule="auto"/>
              <w:jc w:val="center"/>
            </w:pPr>
            <w:r>
              <w:rPr>
                <w:sz w:val="18"/>
              </w:rPr>
              <w:t>-15.56%</w:t>
            </w:r>
          </w:p>
        </w:tc>
        <w:tc>
          <w:tcPr>
            <w:tcW w:w="1728" w:type="dxa"/>
          </w:tcPr>
          <w:p w14:paraId="3684CA79">
            <w:pPr>
              <w:spacing w:after="0" w:line="240" w:lineRule="auto"/>
              <w:jc w:val="center"/>
            </w:pPr>
            <w:r>
              <w:rPr>
                <w:sz w:val="18"/>
              </w:rPr>
              <w:t>632%</w:t>
            </w:r>
          </w:p>
        </w:tc>
      </w:tr>
      <w:tr w14:paraId="7FF186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53A8D974">
            <w:pPr>
              <w:spacing w:after="0" w:line="240" w:lineRule="auto"/>
              <w:jc w:val="center"/>
            </w:pPr>
            <w:r>
              <w:rPr>
                <w:sz w:val="18"/>
              </w:rPr>
              <w:t>信号阈值&gt;85%</w:t>
            </w:r>
          </w:p>
        </w:tc>
        <w:tc>
          <w:tcPr>
            <w:tcW w:w="1728" w:type="dxa"/>
          </w:tcPr>
          <w:p w14:paraId="7970937C">
            <w:pPr>
              <w:spacing w:after="0" w:line="240" w:lineRule="auto"/>
              <w:jc w:val="center"/>
            </w:pPr>
            <w:r>
              <w:rPr>
                <w:sz w:val="18"/>
              </w:rPr>
              <w:t>22.06%</w:t>
            </w:r>
          </w:p>
        </w:tc>
        <w:tc>
          <w:tcPr>
            <w:tcW w:w="1728" w:type="dxa"/>
          </w:tcPr>
          <w:p w14:paraId="57524749">
            <w:pPr>
              <w:spacing w:after="0" w:line="240" w:lineRule="auto"/>
              <w:jc w:val="center"/>
            </w:pPr>
            <w:r>
              <w:rPr>
                <w:sz w:val="18"/>
              </w:rPr>
              <w:t>1.09</w:t>
            </w:r>
          </w:p>
        </w:tc>
        <w:tc>
          <w:tcPr>
            <w:tcW w:w="1728" w:type="dxa"/>
          </w:tcPr>
          <w:p w14:paraId="1FDAC13D">
            <w:pPr>
              <w:spacing w:after="0" w:line="240" w:lineRule="auto"/>
              <w:jc w:val="center"/>
            </w:pPr>
            <w:r>
              <w:rPr>
                <w:sz w:val="18"/>
              </w:rPr>
              <w:t>-16.58%</w:t>
            </w:r>
          </w:p>
        </w:tc>
        <w:tc>
          <w:tcPr>
            <w:tcW w:w="1728" w:type="dxa"/>
          </w:tcPr>
          <w:p w14:paraId="476EA6B7">
            <w:pPr>
              <w:spacing w:after="0" w:line="240" w:lineRule="auto"/>
              <w:jc w:val="center"/>
            </w:pPr>
            <w:r>
              <w:rPr>
                <w:sz w:val="18"/>
              </w:rPr>
              <w:t>599%</w:t>
            </w:r>
          </w:p>
        </w:tc>
      </w:tr>
      <w:tr w14:paraId="7A3EED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41341B6">
            <w:pPr>
              <w:spacing w:after="0" w:line="240" w:lineRule="auto"/>
              <w:jc w:val="center"/>
            </w:pPr>
            <w:r>
              <w:rPr>
                <w:sz w:val="18"/>
              </w:rPr>
              <w:t>信号阈值&gt;80%</w:t>
            </w:r>
          </w:p>
        </w:tc>
        <w:tc>
          <w:tcPr>
            <w:tcW w:w="1728" w:type="dxa"/>
          </w:tcPr>
          <w:p w14:paraId="40B92CE7">
            <w:pPr>
              <w:spacing w:after="0" w:line="240" w:lineRule="auto"/>
              <w:jc w:val="center"/>
            </w:pPr>
            <w:r>
              <w:rPr>
                <w:sz w:val="18"/>
              </w:rPr>
              <w:t>21.80%</w:t>
            </w:r>
          </w:p>
        </w:tc>
        <w:tc>
          <w:tcPr>
            <w:tcW w:w="1728" w:type="dxa"/>
          </w:tcPr>
          <w:p w14:paraId="796359E0">
            <w:pPr>
              <w:spacing w:after="0" w:line="240" w:lineRule="auto"/>
              <w:jc w:val="center"/>
            </w:pPr>
            <w:r>
              <w:rPr>
                <w:sz w:val="18"/>
              </w:rPr>
              <w:t>1.08</w:t>
            </w:r>
          </w:p>
        </w:tc>
        <w:tc>
          <w:tcPr>
            <w:tcW w:w="1728" w:type="dxa"/>
          </w:tcPr>
          <w:p w14:paraId="737B29F5">
            <w:pPr>
              <w:spacing w:after="0" w:line="240" w:lineRule="auto"/>
              <w:jc w:val="center"/>
            </w:pPr>
            <w:r>
              <w:rPr>
                <w:sz w:val="18"/>
              </w:rPr>
              <w:t>-17.28%</w:t>
            </w:r>
          </w:p>
        </w:tc>
        <w:tc>
          <w:tcPr>
            <w:tcW w:w="1728" w:type="dxa"/>
          </w:tcPr>
          <w:p w14:paraId="4A518F43">
            <w:pPr>
              <w:spacing w:after="0" w:line="240" w:lineRule="auto"/>
              <w:jc w:val="center"/>
            </w:pPr>
            <w:r>
              <w:rPr>
                <w:sz w:val="18"/>
              </w:rPr>
              <w:t>567%</w:t>
            </w:r>
          </w:p>
        </w:tc>
      </w:tr>
    </w:tbl>
    <w:p w14:paraId="57D68F40">
      <w:r>
        <w:rPr>
          <w:rFonts w:ascii="宋体" w:hAnsi="宋体" w:eastAsia="宋体"/>
          <w:b w:val="0"/>
          <w:sz w:val="22"/>
        </w:rPr>
        <w:t>信号阈值&gt;85%优于固定TopK=100（夏普1.09 vs 1.04），信号集中时自动多选、分散时少选，比固定数量更灵活。这种方法的经济学直觉是：当市场出现极端分化时（如2015年股灾后），强信号股票数量多，应适当扩大持仓；当市场趋于均衡时，强信号稀少，应精选少数高置信度股票。</w:t>
      </w:r>
    </w:p>
    <w:p w14:paraId="26B8AE58">
      <w:r>
        <w:rPr>
          <w:rFonts w:ascii="宋体" w:hAnsi="宋体" w:eastAsia="宋体"/>
          <w:b/>
          <w:sz w:val="22"/>
        </w:rPr>
        <w:t>失败方向</w:t>
      </w:r>
    </w:p>
    <w:p w14:paraId="7C7A1ECA">
      <w:r>
        <w:rPr>
          <w:rFonts w:ascii="宋体" w:hAnsi="宋体" w:eastAsia="宋体"/>
          <w:b/>
          <w:sz w:val="22"/>
        </w:rPr>
        <w:t>③ 特质反转（波动率调整反转）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AA6C0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659AD11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1728" w:type="dxa"/>
          </w:tcPr>
          <w:p w14:paraId="02C1A14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7CAD420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728" w:type="dxa"/>
          </w:tcPr>
          <w:p w14:paraId="3AEAEE5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1963B4D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42F9F2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4FF1387A">
            <w:pPr>
              <w:spacing w:after="0" w:line="240" w:lineRule="auto"/>
              <w:jc w:val="center"/>
            </w:pPr>
            <w:r>
              <w:rPr>
                <w:sz w:val="18"/>
              </w:rPr>
              <w:t>原始反转(60R+40V)</w:t>
            </w:r>
          </w:p>
        </w:tc>
        <w:tc>
          <w:tcPr>
            <w:tcW w:w="1728" w:type="dxa"/>
          </w:tcPr>
          <w:p w14:paraId="36B94C0C">
            <w:pPr>
              <w:spacing w:after="0" w:line="240" w:lineRule="auto"/>
              <w:jc w:val="center"/>
            </w:pPr>
            <w:r>
              <w:rPr>
                <w:sz w:val="18"/>
              </w:rPr>
              <w:t>22.14%</w:t>
            </w:r>
          </w:p>
        </w:tc>
        <w:tc>
          <w:tcPr>
            <w:tcW w:w="1728" w:type="dxa"/>
          </w:tcPr>
          <w:p w14:paraId="0850F43F">
            <w:pPr>
              <w:spacing w:after="0" w:line="240" w:lineRule="auto"/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w="1728" w:type="dxa"/>
          </w:tcPr>
          <w:p w14:paraId="43F51B38">
            <w:pPr>
              <w:spacing w:after="0" w:line="240" w:lineRule="auto"/>
              <w:jc w:val="center"/>
            </w:pPr>
            <w:r>
              <w:rPr>
                <w:sz w:val="18"/>
              </w:rPr>
              <w:t>-16.61%</w:t>
            </w:r>
          </w:p>
        </w:tc>
        <w:tc>
          <w:tcPr>
            <w:tcW w:w="1728" w:type="dxa"/>
          </w:tcPr>
          <w:p w14:paraId="69E58A1F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69D145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5BD187BA">
            <w:pPr>
              <w:spacing w:after="0" w:line="240" w:lineRule="auto"/>
              <w:jc w:val="center"/>
            </w:pPr>
            <w:r>
              <w:rPr>
                <w:sz w:val="18"/>
              </w:rPr>
              <w:t>特质反转(波动率调整)</w:t>
            </w:r>
          </w:p>
        </w:tc>
        <w:tc>
          <w:tcPr>
            <w:tcW w:w="1728" w:type="dxa"/>
          </w:tcPr>
          <w:p w14:paraId="7F3E0A06">
            <w:pPr>
              <w:spacing w:after="0" w:line="240" w:lineRule="auto"/>
              <w:jc w:val="center"/>
            </w:pPr>
            <w:r>
              <w:rPr>
                <w:sz w:val="18"/>
              </w:rPr>
              <w:t>19.24%</w:t>
            </w:r>
          </w:p>
        </w:tc>
        <w:tc>
          <w:tcPr>
            <w:tcW w:w="1728" w:type="dxa"/>
          </w:tcPr>
          <w:p w14:paraId="5D110172">
            <w:pPr>
              <w:spacing w:after="0" w:line="240" w:lineRule="auto"/>
              <w:jc w:val="center"/>
            </w:pPr>
            <w:r>
              <w:rPr>
                <w:sz w:val="18"/>
              </w:rPr>
              <w:t>0.92</w:t>
            </w:r>
          </w:p>
        </w:tc>
        <w:tc>
          <w:tcPr>
            <w:tcW w:w="1728" w:type="dxa"/>
          </w:tcPr>
          <w:p w14:paraId="0CA80096">
            <w:pPr>
              <w:spacing w:after="0" w:line="240" w:lineRule="auto"/>
              <w:jc w:val="center"/>
            </w:pPr>
            <w:r>
              <w:rPr>
                <w:sz w:val="18"/>
              </w:rPr>
              <w:t>-14.67%</w:t>
            </w:r>
          </w:p>
        </w:tc>
        <w:tc>
          <w:tcPr>
            <w:tcW w:w="1728" w:type="dxa"/>
          </w:tcPr>
          <w:p w14:paraId="22F20324">
            <w:pPr>
              <w:spacing w:after="0" w:line="240" w:lineRule="auto"/>
              <w:jc w:val="center"/>
            </w:pPr>
            <w:r>
              <w:rPr>
                <w:sz w:val="18"/>
              </w:rPr>
              <w:t>540%</w:t>
            </w:r>
          </w:p>
        </w:tc>
      </w:tr>
      <w:tr w14:paraId="0C7688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5C452E55">
            <w:pPr>
              <w:spacing w:after="0" w:line="240" w:lineRule="auto"/>
              <w:jc w:val="center"/>
            </w:pPr>
            <w:r>
              <w:rPr>
                <w:sz w:val="18"/>
              </w:rPr>
              <w:t>纯特质反转(无价值)</w:t>
            </w:r>
          </w:p>
        </w:tc>
        <w:tc>
          <w:tcPr>
            <w:tcW w:w="1728" w:type="dxa"/>
          </w:tcPr>
          <w:p w14:paraId="614B323B">
            <w:pPr>
              <w:spacing w:after="0" w:line="240" w:lineRule="auto"/>
              <w:jc w:val="center"/>
            </w:pPr>
            <w:r>
              <w:rPr>
                <w:sz w:val="18"/>
              </w:rPr>
              <w:t>16.96%</w:t>
            </w:r>
          </w:p>
        </w:tc>
        <w:tc>
          <w:tcPr>
            <w:tcW w:w="1728" w:type="dxa"/>
          </w:tcPr>
          <w:p w14:paraId="0C58E96D">
            <w:pPr>
              <w:spacing w:after="0" w:line="240" w:lineRule="auto"/>
              <w:jc w:val="center"/>
            </w:pPr>
            <w:r>
              <w:rPr>
                <w:sz w:val="18"/>
              </w:rPr>
              <w:t>0.74</w:t>
            </w:r>
          </w:p>
        </w:tc>
        <w:tc>
          <w:tcPr>
            <w:tcW w:w="1728" w:type="dxa"/>
          </w:tcPr>
          <w:p w14:paraId="3000BC62">
            <w:pPr>
              <w:spacing w:after="0" w:line="240" w:lineRule="auto"/>
              <w:jc w:val="center"/>
            </w:pPr>
            <w:r>
              <w:rPr>
                <w:sz w:val="18"/>
              </w:rPr>
              <w:t>-14.82%</w:t>
            </w:r>
          </w:p>
        </w:tc>
        <w:tc>
          <w:tcPr>
            <w:tcW w:w="1728" w:type="dxa"/>
          </w:tcPr>
          <w:p w14:paraId="1AB40572">
            <w:pPr>
              <w:spacing w:after="0" w:line="240" w:lineRule="auto"/>
              <w:jc w:val="center"/>
            </w:pPr>
            <w:r>
              <w:rPr>
                <w:sz w:val="18"/>
              </w:rPr>
              <w:t>629%</w:t>
            </w:r>
          </w:p>
        </w:tc>
      </w:tr>
      <w:tr w14:paraId="032B36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CE895D4">
            <w:pPr>
              <w:spacing w:after="0" w:line="240" w:lineRule="auto"/>
              <w:jc w:val="center"/>
            </w:pPr>
            <w:r>
              <w:rPr>
                <w:sz w:val="18"/>
              </w:rPr>
              <w:t>特质反转(80R+20V)</w:t>
            </w:r>
          </w:p>
        </w:tc>
        <w:tc>
          <w:tcPr>
            <w:tcW w:w="1728" w:type="dxa"/>
          </w:tcPr>
          <w:p w14:paraId="4C62188E">
            <w:pPr>
              <w:spacing w:after="0" w:line="240" w:lineRule="auto"/>
              <w:jc w:val="center"/>
            </w:pPr>
            <w:r>
              <w:rPr>
                <w:sz w:val="18"/>
              </w:rPr>
              <w:t>16.81%</w:t>
            </w:r>
          </w:p>
        </w:tc>
        <w:tc>
          <w:tcPr>
            <w:tcW w:w="1728" w:type="dxa"/>
          </w:tcPr>
          <w:p w14:paraId="6C0178CC">
            <w:pPr>
              <w:spacing w:after="0" w:line="240" w:lineRule="auto"/>
              <w:jc w:val="center"/>
            </w:pPr>
            <w:r>
              <w:rPr>
                <w:sz w:val="18"/>
              </w:rPr>
              <w:t>0.91</w:t>
            </w:r>
          </w:p>
        </w:tc>
        <w:tc>
          <w:tcPr>
            <w:tcW w:w="1728" w:type="dxa"/>
          </w:tcPr>
          <w:p w14:paraId="7838FBC5">
            <w:pPr>
              <w:spacing w:after="0" w:line="240" w:lineRule="auto"/>
              <w:jc w:val="center"/>
            </w:pPr>
            <w:r>
              <w:rPr>
                <w:sz w:val="18"/>
              </w:rPr>
              <w:t>-14.76%</w:t>
            </w:r>
          </w:p>
        </w:tc>
        <w:tc>
          <w:tcPr>
            <w:tcW w:w="1728" w:type="dxa"/>
          </w:tcPr>
          <w:p w14:paraId="2C39001D">
            <w:pPr>
              <w:spacing w:after="0" w:line="240" w:lineRule="auto"/>
              <w:jc w:val="center"/>
            </w:pPr>
            <w:r>
              <w:rPr>
                <w:sz w:val="18"/>
              </w:rPr>
              <w:t>528%</w:t>
            </w:r>
          </w:p>
        </w:tc>
      </w:tr>
    </w:tbl>
    <w:p w14:paraId="04F41E5A">
      <w:r>
        <w:rPr>
          <w:rFonts w:ascii="宋体" w:hAnsi="宋体" w:eastAsia="宋体"/>
          <w:b w:val="0"/>
          <w:sz w:val="22"/>
        </w:rPr>
        <w:t>特质反转显著弱于原始反转（夏普1.04→0.92，降幅12%）。波动率标准化reversal_vol_adj = reversal / σ_i反而消除了反转信号中的有效信息——A股反转的alpha恰恰来自高波动股票的均值回归，过滤掉波动率等于过滤掉了alpha来源。修正后降幅收窄，说明部分原降幅来自前视偏差。这与Week 9 Fama-MacBeth回归发现一致：ROE与反转交互项显著为负（t=-3.60），低ROE（高波动）股票反转更强。Da, Liu &amp; Schaumburg(2014)的"波动率效应"解释在此得到验证。</w:t>
      </w:r>
    </w:p>
    <w:p w14:paraId="6D9E4214">
      <w:r>
        <w:rPr>
          <w:rFonts w:ascii="宋体" w:hAnsi="宋体" w:eastAsia="宋体"/>
          <w:b/>
          <w:sz w:val="22"/>
        </w:rPr>
        <w:t>④ 换手率反转信号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1C7E0B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1EC2A75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w="1440" w:type="dxa"/>
          </w:tcPr>
          <w:p w14:paraId="68F3123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440" w:type="dxa"/>
          </w:tcPr>
          <w:p w14:paraId="2E36590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440" w:type="dxa"/>
          </w:tcPr>
          <w:p w14:paraId="13AF150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440" w:type="dxa"/>
          </w:tcPr>
          <w:p w14:paraId="0A29B24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年化波动率</w:t>
            </w:r>
          </w:p>
        </w:tc>
        <w:tc>
          <w:tcPr>
            <w:tcW w:w="1440" w:type="dxa"/>
          </w:tcPr>
          <w:p w14:paraId="1A61EC8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5582CD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44FF202C">
            <w:pPr>
              <w:spacing w:after="0" w:line="240" w:lineRule="auto"/>
              <w:jc w:val="center"/>
            </w:pPr>
            <w:r>
              <w:rPr>
                <w:sz w:val="18"/>
              </w:rPr>
              <w:t>基准(无换手率信号)</w:t>
            </w:r>
          </w:p>
        </w:tc>
        <w:tc>
          <w:tcPr>
            <w:tcW w:w="1440" w:type="dxa"/>
          </w:tcPr>
          <w:p w14:paraId="1D8A4F99">
            <w:pPr>
              <w:spacing w:after="0" w:line="240" w:lineRule="auto"/>
              <w:jc w:val="center"/>
            </w:pPr>
            <w:r>
              <w:rPr>
                <w:sz w:val="18"/>
              </w:rPr>
              <w:t>18.64%</w:t>
            </w:r>
          </w:p>
        </w:tc>
        <w:tc>
          <w:tcPr>
            <w:tcW w:w="1440" w:type="dxa"/>
          </w:tcPr>
          <w:p w14:paraId="11417E20">
            <w:pPr>
              <w:spacing w:after="0" w:line="240" w:lineRule="auto"/>
              <w:jc w:val="center"/>
            </w:pPr>
            <w:r>
              <w:rPr>
                <w:sz w:val="18"/>
              </w:rPr>
              <w:t>0.65</w:t>
            </w:r>
          </w:p>
        </w:tc>
        <w:tc>
          <w:tcPr>
            <w:tcW w:w="1440" w:type="dxa"/>
          </w:tcPr>
          <w:p w14:paraId="06130F99">
            <w:pPr>
              <w:spacing w:after="0" w:line="240" w:lineRule="auto"/>
              <w:jc w:val="center"/>
            </w:pPr>
            <w:r>
              <w:rPr>
                <w:sz w:val="18"/>
              </w:rPr>
              <w:t>-73.28%</w:t>
            </w:r>
          </w:p>
        </w:tc>
        <w:tc>
          <w:tcPr>
            <w:tcW w:w="1440" w:type="dxa"/>
          </w:tcPr>
          <w:p w14:paraId="4AF75C8B">
            <w:pPr>
              <w:spacing w:after="0" w:line="240" w:lineRule="auto"/>
              <w:jc w:val="center"/>
            </w:pPr>
            <w:r>
              <w:rPr>
                <w:sz w:val="18"/>
              </w:rPr>
              <w:t>36.35%</w:t>
            </w:r>
          </w:p>
        </w:tc>
        <w:tc>
          <w:tcPr>
            <w:tcW w:w="1440" w:type="dxa"/>
          </w:tcPr>
          <w:p w14:paraId="3332B89F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  <w:tr w14:paraId="191476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7616199F">
            <w:pPr>
              <w:spacing w:after="0" w:line="240" w:lineRule="auto"/>
              <w:jc w:val="center"/>
            </w:pPr>
            <w:r>
              <w:rPr>
                <w:sz w:val="18"/>
              </w:rPr>
              <w:t>排名增强法(L=6,w=0.05)</w:t>
            </w:r>
          </w:p>
        </w:tc>
        <w:tc>
          <w:tcPr>
            <w:tcW w:w="1440" w:type="dxa"/>
          </w:tcPr>
          <w:p w14:paraId="6FE553B8">
            <w:pPr>
              <w:spacing w:after="0" w:line="240" w:lineRule="auto"/>
              <w:jc w:val="center"/>
            </w:pPr>
            <w:r>
              <w:rPr>
                <w:sz w:val="18"/>
              </w:rPr>
              <w:t>18.29%</w:t>
            </w:r>
          </w:p>
        </w:tc>
        <w:tc>
          <w:tcPr>
            <w:tcW w:w="1440" w:type="dxa"/>
          </w:tcPr>
          <w:p w14:paraId="2C9CF5AA">
            <w:pPr>
              <w:spacing w:after="0" w:line="240" w:lineRule="auto"/>
              <w:jc w:val="center"/>
            </w:pPr>
            <w:r>
              <w:rPr>
                <w:sz w:val="18"/>
              </w:rPr>
              <w:t>0.64</w:t>
            </w:r>
          </w:p>
        </w:tc>
        <w:tc>
          <w:tcPr>
            <w:tcW w:w="1440" w:type="dxa"/>
          </w:tcPr>
          <w:p w14:paraId="6E563150">
            <w:pPr>
              <w:spacing w:after="0" w:line="240" w:lineRule="auto"/>
              <w:jc w:val="center"/>
            </w:pPr>
            <w:r>
              <w:rPr>
                <w:sz w:val="18"/>
              </w:rPr>
              <w:t>-73.64%</w:t>
            </w:r>
          </w:p>
        </w:tc>
        <w:tc>
          <w:tcPr>
            <w:tcW w:w="1440" w:type="dxa"/>
          </w:tcPr>
          <w:p w14:paraId="3862EA35">
            <w:pPr>
              <w:spacing w:after="0" w:line="240" w:lineRule="auto"/>
              <w:jc w:val="center"/>
            </w:pPr>
            <w:r>
              <w:rPr>
                <w:sz w:val="18"/>
              </w:rPr>
              <w:t>36.34%</w:t>
            </w:r>
          </w:p>
        </w:tc>
        <w:tc>
          <w:tcPr>
            <w:tcW w:w="1440" w:type="dxa"/>
          </w:tcPr>
          <w:p w14:paraId="4F29A467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  <w:tr w14:paraId="1700CF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51690BBD">
            <w:pPr>
              <w:spacing w:after="0" w:line="240" w:lineRule="auto"/>
              <w:jc w:val="center"/>
            </w:pPr>
            <w:r>
              <w:rPr>
                <w:sz w:val="18"/>
              </w:rPr>
              <w:t>条件筛选法(L=3,30+70)</w:t>
            </w:r>
          </w:p>
        </w:tc>
        <w:tc>
          <w:tcPr>
            <w:tcW w:w="1440" w:type="dxa"/>
          </w:tcPr>
          <w:p w14:paraId="759446B3">
            <w:pPr>
              <w:spacing w:after="0" w:line="240" w:lineRule="auto"/>
              <w:jc w:val="center"/>
            </w:pPr>
            <w:r>
              <w:rPr>
                <w:sz w:val="18"/>
              </w:rPr>
              <w:t>16.51%</w:t>
            </w:r>
          </w:p>
        </w:tc>
        <w:tc>
          <w:tcPr>
            <w:tcW w:w="1440" w:type="dxa"/>
          </w:tcPr>
          <w:p w14:paraId="64FF10AB">
            <w:pPr>
              <w:spacing w:after="0" w:line="240" w:lineRule="auto"/>
              <w:jc w:val="center"/>
            </w:pPr>
            <w:r>
              <w:rPr>
                <w:sz w:val="18"/>
              </w:rPr>
              <w:t>0.60</w:t>
            </w:r>
          </w:p>
        </w:tc>
        <w:tc>
          <w:tcPr>
            <w:tcW w:w="1440" w:type="dxa"/>
          </w:tcPr>
          <w:p w14:paraId="2825E898">
            <w:pPr>
              <w:spacing w:after="0" w:line="240" w:lineRule="auto"/>
              <w:jc w:val="center"/>
            </w:pPr>
            <w:r>
              <w:rPr>
                <w:sz w:val="18"/>
              </w:rPr>
              <w:t>-70.61%</w:t>
            </w:r>
          </w:p>
        </w:tc>
        <w:tc>
          <w:tcPr>
            <w:tcW w:w="1440" w:type="dxa"/>
          </w:tcPr>
          <w:p w14:paraId="6E891B17">
            <w:pPr>
              <w:spacing w:after="0" w:line="240" w:lineRule="auto"/>
              <w:jc w:val="center"/>
            </w:pPr>
            <w:r>
              <w:rPr>
                <w:sz w:val="18"/>
              </w:rPr>
              <w:t>37.03%</w:t>
            </w:r>
          </w:p>
        </w:tc>
        <w:tc>
          <w:tcPr>
            <w:tcW w:w="1440" w:type="dxa"/>
          </w:tcPr>
          <w:p w14:paraId="23DC1662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  <w:tr w14:paraId="0056EF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4A5BA567">
            <w:pPr>
              <w:spacing w:after="0" w:line="240" w:lineRule="auto"/>
              <w:jc w:val="center"/>
            </w:pPr>
            <w:r>
              <w:rPr>
                <w:sz w:val="18"/>
              </w:rPr>
              <w:t>乘法增强法(L=6,a=0.2)</w:t>
            </w:r>
          </w:p>
        </w:tc>
        <w:tc>
          <w:tcPr>
            <w:tcW w:w="1440" w:type="dxa"/>
          </w:tcPr>
          <w:p w14:paraId="6A48841C">
            <w:pPr>
              <w:spacing w:after="0" w:line="240" w:lineRule="auto"/>
              <w:jc w:val="center"/>
            </w:pPr>
            <w:r>
              <w:rPr>
                <w:sz w:val="18"/>
              </w:rPr>
              <w:t>18.29%</w:t>
            </w:r>
          </w:p>
        </w:tc>
        <w:tc>
          <w:tcPr>
            <w:tcW w:w="1440" w:type="dxa"/>
          </w:tcPr>
          <w:p w14:paraId="0F4268AE">
            <w:pPr>
              <w:spacing w:after="0" w:line="240" w:lineRule="auto"/>
              <w:jc w:val="center"/>
            </w:pPr>
            <w:r>
              <w:rPr>
                <w:sz w:val="18"/>
              </w:rPr>
              <w:t>0.64</w:t>
            </w:r>
          </w:p>
        </w:tc>
        <w:tc>
          <w:tcPr>
            <w:tcW w:w="1440" w:type="dxa"/>
          </w:tcPr>
          <w:p w14:paraId="6BEFBE4B">
            <w:pPr>
              <w:spacing w:after="0" w:line="240" w:lineRule="auto"/>
              <w:jc w:val="center"/>
            </w:pPr>
            <w:r>
              <w:rPr>
                <w:sz w:val="18"/>
              </w:rPr>
              <w:t>-73.64%</w:t>
            </w:r>
          </w:p>
        </w:tc>
        <w:tc>
          <w:tcPr>
            <w:tcW w:w="1440" w:type="dxa"/>
          </w:tcPr>
          <w:p w14:paraId="08503B13">
            <w:pPr>
              <w:spacing w:after="0" w:line="240" w:lineRule="auto"/>
              <w:jc w:val="center"/>
            </w:pPr>
            <w:r>
              <w:rPr>
                <w:sz w:val="18"/>
              </w:rPr>
              <w:t>36.34%</w:t>
            </w:r>
          </w:p>
        </w:tc>
        <w:tc>
          <w:tcPr>
            <w:tcW w:w="1440" w:type="dxa"/>
          </w:tcPr>
          <w:p w14:paraId="29607B82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</w:tbl>
    <w:p w14:paraId="01EAB3FF">
      <w:r>
        <w:rPr>
          <w:rFonts w:ascii="宋体" w:hAnsi="宋体" w:eastAsia="宋体"/>
          <w:b w:val="0"/>
          <w:sz w:val="22"/>
        </w:rPr>
        <w:t>"股价下跌+换手率突增"不是有效的反转信号增强器。三种方法（排名增强、条件筛选、乘法增强）均未改善策略。排名增强法与乘法增强法最优结果均为年化18.29%、夏普0.64，仍弱于基准（18.64%、0.65）。条件筛选法更差（16.51%、0.60），因为严格筛选"下跌+换手率突增"股票导致选股空间过窄，样本偏差严重。可能原因：换手率突增可能是持续下跌中的恐慌抛售而非抛压释放；月度频率下换手率变化率的信噪比低；A股市场效率较高，换手率信息可能已被价格吸收。</w:t>
      </w:r>
    </w:p>
    <w:p w14:paraId="3D143BEA">
      <w:r>
        <w:rPr>
          <w:rFonts w:ascii="宋体" w:hAnsi="宋体" w:eastAsia="宋体"/>
          <w:b/>
          <w:sz w:val="22"/>
        </w:rPr>
        <w:t>⑤ 信号平滑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9B6A5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3AD72DD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平滑权重(当月/前1/前2)</w:t>
            </w:r>
          </w:p>
        </w:tc>
        <w:tc>
          <w:tcPr>
            <w:tcW w:w="1728" w:type="dxa"/>
          </w:tcPr>
          <w:p w14:paraId="7EA44FC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04288C5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728" w:type="dxa"/>
          </w:tcPr>
          <w:p w14:paraId="6F70D72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02564E4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年化换手率</w:t>
            </w:r>
          </w:p>
        </w:tc>
      </w:tr>
      <w:tr w14:paraId="4A9E28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1A7E2274">
            <w:pPr>
              <w:spacing w:after="0" w:line="240" w:lineRule="auto"/>
              <w:jc w:val="center"/>
            </w:pPr>
            <w:r>
              <w:rPr>
                <w:sz w:val="18"/>
              </w:rPr>
              <w:t>1.0/0/0（无平滑）</w:t>
            </w:r>
          </w:p>
        </w:tc>
        <w:tc>
          <w:tcPr>
            <w:tcW w:w="1728" w:type="dxa"/>
          </w:tcPr>
          <w:p w14:paraId="5565C13C">
            <w:pPr>
              <w:spacing w:after="0" w:line="240" w:lineRule="auto"/>
              <w:jc w:val="center"/>
            </w:pPr>
            <w:r>
              <w:rPr>
                <w:sz w:val="18"/>
              </w:rPr>
              <w:t>22.14%</w:t>
            </w:r>
          </w:p>
        </w:tc>
        <w:tc>
          <w:tcPr>
            <w:tcW w:w="1728" w:type="dxa"/>
          </w:tcPr>
          <w:p w14:paraId="73CB0B0E">
            <w:pPr>
              <w:spacing w:after="0" w:line="240" w:lineRule="auto"/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w="1728" w:type="dxa"/>
          </w:tcPr>
          <w:p w14:paraId="0D26E468">
            <w:pPr>
              <w:spacing w:after="0" w:line="240" w:lineRule="auto"/>
              <w:jc w:val="center"/>
            </w:pPr>
            <w:r>
              <w:rPr>
                <w:sz w:val="18"/>
              </w:rPr>
              <w:t>-16.61%</w:t>
            </w:r>
          </w:p>
        </w:tc>
        <w:tc>
          <w:tcPr>
            <w:tcW w:w="1728" w:type="dxa"/>
          </w:tcPr>
          <w:p w14:paraId="7F6C2CCB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5E15D1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51035105">
            <w:pPr>
              <w:spacing w:after="0" w:line="240" w:lineRule="auto"/>
              <w:jc w:val="center"/>
            </w:pPr>
            <w:r>
              <w:rPr>
                <w:sz w:val="18"/>
              </w:rPr>
              <w:t>0.7/0.2/0.1</w:t>
            </w:r>
          </w:p>
        </w:tc>
        <w:tc>
          <w:tcPr>
            <w:tcW w:w="1728" w:type="dxa"/>
          </w:tcPr>
          <w:p w14:paraId="6C1DA8EE">
            <w:pPr>
              <w:spacing w:after="0" w:line="240" w:lineRule="auto"/>
              <w:jc w:val="center"/>
            </w:pPr>
            <w:r>
              <w:rPr>
                <w:sz w:val="18"/>
              </w:rPr>
              <w:t>21.22%</w:t>
            </w:r>
          </w:p>
        </w:tc>
        <w:tc>
          <w:tcPr>
            <w:tcW w:w="1728" w:type="dxa"/>
          </w:tcPr>
          <w:p w14:paraId="3D4C2A90">
            <w:pPr>
              <w:spacing w:after="0" w:line="240" w:lineRule="auto"/>
              <w:jc w:val="center"/>
            </w:pPr>
            <w:r>
              <w:rPr>
                <w:sz w:val="18"/>
              </w:rPr>
              <w:t>1.03</w:t>
            </w:r>
          </w:p>
        </w:tc>
        <w:tc>
          <w:tcPr>
            <w:tcW w:w="1728" w:type="dxa"/>
          </w:tcPr>
          <w:p w14:paraId="5ABADCFA">
            <w:pPr>
              <w:spacing w:after="0" w:line="240" w:lineRule="auto"/>
              <w:jc w:val="center"/>
            </w:pPr>
            <w:r>
              <w:rPr>
                <w:sz w:val="18"/>
              </w:rPr>
              <w:t>-16.63%</w:t>
            </w:r>
          </w:p>
        </w:tc>
        <w:tc>
          <w:tcPr>
            <w:tcW w:w="1728" w:type="dxa"/>
          </w:tcPr>
          <w:p w14:paraId="46F2D738">
            <w:pPr>
              <w:spacing w:after="0" w:line="240" w:lineRule="auto"/>
              <w:jc w:val="center"/>
            </w:pPr>
            <w:r>
              <w:rPr>
                <w:sz w:val="18"/>
              </w:rPr>
              <w:t>456%</w:t>
            </w:r>
          </w:p>
        </w:tc>
      </w:tr>
      <w:tr w14:paraId="7F83AE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39A5935F">
            <w:pPr>
              <w:spacing w:after="0" w:line="240" w:lineRule="auto"/>
              <w:jc w:val="center"/>
            </w:pPr>
            <w:r>
              <w:rPr>
                <w:sz w:val="18"/>
              </w:rPr>
              <w:t>0.5/0.3/0.2</w:t>
            </w:r>
          </w:p>
        </w:tc>
        <w:tc>
          <w:tcPr>
            <w:tcW w:w="1728" w:type="dxa"/>
          </w:tcPr>
          <w:p w14:paraId="41280939">
            <w:pPr>
              <w:spacing w:after="0" w:line="240" w:lineRule="auto"/>
              <w:jc w:val="center"/>
            </w:pPr>
            <w:r>
              <w:rPr>
                <w:sz w:val="18"/>
              </w:rPr>
              <w:t>20.89%</w:t>
            </w:r>
          </w:p>
        </w:tc>
        <w:tc>
          <w:tcPr>
            <w:tcW w:w="1728" w:type="dxa"/>
          </w:tcPr>
          <w:p w14:paraId="2598C0EB">
            <w:pPr>
              <w:spacing w:after="0" w:line="240" w:lineRule="auto"/>
              <w:jc w:val="center"/>
            </w:pPr>
            <w:r>
              <w:rPr>
                <w:sz w:val="18"/>
              </w:rPr>
              <w:t>1.01</w:t>
            </w:r>
          </w:p>
        </w:tc>
        <w:tc>
          <w:tcPr>
            <w:tcW w:w="1728" w:type="dxa"/>
          </w:tcPr>
          <w:p w14:paraId="41E35BB7">
            <w:pPr>
              <w:spacing w:after="0" w:line="240" w:lineRule="auto"/>
              <w:jc w:val="center"/>
            </w:pPr>
            <w:r>
              <w:rPr>
                <w:sz w:val="18"/>
              </w:rPr>
              <w:t>-16.75%</w:t>
            </w:r>
          </w:p>
        </w:tc>
        <w:tc>
          <w:tcPr>
            <w:tcW w:w="1728" w:type="dxa"/>
          </w:tcPr>
          <w:p w14:paraId="1974E2FA">
            <w:pPr>
              <w:spacing w:after="0" w:line="240" w:lineRule="auto"/>
              <w:jc w:val="center"/>
            </w:pPr>
            <w:r>
              <w:rPr>
                <w:sz w:val="18"/>
              </w:rPr>
              <w:t>441%</w:t>
            </w:r>
          </w:p>
        </w:tc>
      </w:tr>
      <w:tr w14:paraId="5DF028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6755065B">
            <w:pPr>
              <w:spacing w:after="0" w:line="240" w:lineRule="auto"/>
              <w:jc w:val="center"/>
            </w:pPr>
            <w:r>
              <w:rPr>
                <w:sz w:val="18"/>
              </w:rPr>
              <w:t>0.4/0.4/0.2</w:t>
            </w:r>
          </w:p>
        </w:tc>
        <w:tc>
          <w:tcPr>
            <w:tcW w:w="1728" w:type="dxa"/>
          </w:tcPr>
          <w:p w14:paraId="20802D52">
            <w:pPr>
              <w:spacing w:after="0" w:line="240" w:lineRule="auto"/>
              <w:jc w:val="center"/>
            </w:pPr>
            <w:r>
              <w:rPr>
                <w:sz w:val="18"/>
              </w:rPr>
              <w:t>20.79%</w:t>
            </w:r>
          </w:p>
        </w:tc>
        <w:tc>
          <w:tcPr>
            <w:tcW w:w="1728" w:type="dxa"/>
          </w:tcPr>
          <w:p w14:paraId="4BA0B3F9">
            <w:pPr>
              <w:spacing w:after="0" w:line="240" w:lineRule="auto"/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w="1728" w:type="dxa"/>
          </w:tcPr>
          <w:p w14:paraId="3B23050F">
            <w:pPr>
              <w:spacing w:after="0" w:line="240" w:lineRule="auto"/>
              <w:jc w:val="center"/>
            </w:pPr>
            <w:r>
              <w:rPr>
                <w:sz w:val="18"/>
              </w:rPr>
              <w:t>-17.37%</w:t>
            </w:r>
          </w:p>
        </w:tc>
        <w:tc>
          <w:tcPr>
            <w:tcW w:w="1728" w:type="dxa"/>
          </w:tcPr>
          <w:p w14:paraId="67983BE6">
            <w:pPr>
              <w:spacing w:after="0" w:line="240" w:lineRule="auto"/>
              <w:jc w:val="center"/>
            </w:pPr>
            <w:r>
              <w:rPr>
                <w:sz w:val="18"/>
              </w:rPr>
              <w:t>447%</w:t>
            </w:r>
          </w:p>
        </w:tc>
      </w:tr>
    </w:tbl>
    <w:p w14:paraId="38112378">
      <w:r>
        <w:rPr>
          <w:rFonts w:ascii="宋体" w:hAnsi="宋体" w:eastAsia="宋体"/>
          <w:b w:val="0"/>
          <w:sz w:val="22"/>
        </w:rPr>
        <w:t>信号平滑微弱降低换手率但夏普也微降。反转信号时效性强，滞后信号引入噪音——Jegadeesh &amp; Titman(1993)发现反转效应的半衰期约1-3个月，使用2-3个月前的信号等于使用了已衰减的信息。</w:t>
      </w:r>
    </w:p>
    <w:p w14:paraId="11E2E92A">
      <w:r>
        <w:rPr>
          <w:rFonts w:ascii="宋体" w:hAnsi="宋体" w:eastAsia="宋体"/>
          <w:b/>
          <w:sz w:val="22"/>
        </w:rPr>
        <w:t>⑥ EP因子替换价值因子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0"/>
        <w:gridCol w:w="1728"/>
        <w:gridCol w:w="1728"/>
        <w:gridCol w:w="1728"/>
        <w:gridCol w:w="1728"/>
      </w:tblGrid>
      <w:tr w14:paraId="63569F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4267B47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1728" w:type="dxa"/>
          </w:tcPr>
          <w:p w14:paraId="4B867F8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1764075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728" w:type="dxa"/>
          </w:tcPr>
          <w:p w14:paraId="1CC12BB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76C259D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20958A71">
        <w:trPr>
          <w:jc w:val="center"/>
        </w:trPr>
        <w:tc>
          <w:tcPr>
            <w:tcW w:w="1728" w:type="dxa"/>
          </w:tcPr>
          <w:p w14:paraId="1143F4C7">
            <w:pPr>
              <w:spacing w:after="0" w:line="240" w:lineRule="auto"/>
              <w:jc w:val="center"/>
            </w:pPr>
            <w:r>
              <w:rPr>
                <w:sz w:val="18"/>
              </w:rPr>
              <w:t>纯EP</w:t>
            </w:r>
          </w:p>
        </w:tc>
        <w:tc>
          <w:tcPr>
            <w:tcW w:w="1728" w:type="dxa"/>
          </w:tcPr>
          <w:p w14:paraId="28BEC0B8">
            <w:pPr>
              <w:spacing w:after="0" w:line="240" w:lineRule="auto"/>
              <w:jc w:val="center"/>
            </w:pPr>
            <w:r>
              <w:rPr>
                <w:sz w:val="18"/>
              </w:rPr>
              <w:t>5.59%</w:t>
            </w:r>
          </w:p>
        </w:tc>
        <w:tc>
          <w:tcPr>
            <w:tcW w:w="1728" w:type="dxa"/>
          </w:tcPr>
          <w:p w14:paraId="6CCA64A9">
            <w:pPr>
              <w:spacing w:after="0" w:line="240" w:lineRule="auto"/>
              <w:jc w:val="center"/>
            </w:pPr>
            <w:r>
              <w:rPr>
                <w:sz w:val="18"/>
              </w:rPr>
              <w:t>0.34</w:t>
            </w:r>
          </w:p>
        </w:tc>
        <w:tc>
          <w:tcPr>
            <w:tcW w:w="1728" w:type="dxa"/>
          </w:tcPr>
          <w:p w14:paraId="01CEF32B">
            <w:pPr>
              <w:spacing w:after="0" w:line="240" w:lineRule="auto"/>
              <w:jc w:val="center"/>
            </w:pPr>
            <w:r>
              <w:rPr>
                <w:sz w:val="18"/>
              </w:rPr>
              <w:t>-70.58%</w:t>
            </w:r>
          </w:p>
        </w:tc>
        <w:tc>
          <w:tcPr>
            <w:tcW w:w="1728" w:type="dxa"/>
          </w:tcPr>
          <w:p w14:paraId="6737CE1D">
            <w:pPr>
              <w:spacing w:after="0" w:line="240" w:lineRule="auto"/>
              <w:jc w:val="center"/>
            </w:pPr>
            <w:r>
              <w:rPr>
                <w:sz w:val="18"/>
              </w:rPr>
              <w:t>580%</w:t>
            </w:r>
          </w:p>
        </w:tc>
      </w:tr>
      <w:tr w14:paraId="49E8FA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39A68511">
            <w:pPr>
              <w:spacing w:after="0" w:line="240" w:lineRule="auto"/>
              <w:jc w:val="center"/>
            </w:pPr>
            <w:r>
              <w:rPr>
                <w:sz w:val="18"/>
              </w:rPr>
              <w:t>EP(0.4)+Rev(0.6)+MA</w:t>
            </w:r>
          </w:p>
        </w:tc>
        <w:tc>
          <w:tcPr>
            <w:tcW w:w="1728" w:type="dxa"/>
          </w:tcPr>
          <w:p w14:paraId="27ECE386">
            <w:pPr>
              <w:spacing w:after="0" w:line="240" w:lineRule="auto"/>
              <w:jc w:val="center"/>
            </w:pPr>
            <w:r>
              <w:rPr>
                <w:sz w:val="18"/>
              </w:rPr>
              <w:t>10.21%</w:t>
            </w:r>
          </w:p>
        </w:tc>
        <w:tc>
          <w:tcPr>
            <w:tcW w:w="1728" w:type="dxa"/>
          </w:tcPr>
          <w:p w14:paraId="3212E293">
            <w:pPr>
              <w:spacing w:after="0" w:line="240" w:lineRule="auto"/>
              <w:jc w:val="center"/>
            </w:pPr>
            <w:r>
              <w:rPr>
                <w:sz w:val="18"/>
              </w:rPr>
              <w:t>0.53</w:t>
            </w:r>
          </w:p>
        </w:tc>
        <w:tc>
          <w:tcPr>
            <w:tcW w:w="1728" w:type="dxa"/>
          </w:tcPr>
          <w:p w14:paraId="38C6D7FB">
            <w:pPr>
              <w:spacing w:after="0" w:line="240" w:lineRule="auto"/>
              <w:jc w:val="center"/>
            </w:pPr>
            <w:r>
              <w:rPr>
                <w:sz w:val="18"/>
              </w:rPr>
              <w:t>-33.57%</w:t>
            </w:r>
          </w:p>
        </w:tc>
        <w:tc>
          <w:tcPr>
            <w:tcW w:w="1728" w:type="dxa"/>
          </w:tcPr>
          <w:p w14:paraId="459B5B8A">
            <w:pPr>
              <w:spacing w:after="0" w:line="240" w:lineRule="auto"/>
              <w:jc w:val="center"/>
            </w:pPr>
            <w:r>
              <w:rPr>
                <w:sz w:val="18"/>
              </w:rPr>
              <w:t>620%</w:t>
            </w:r>
          </w:p>
        </w:tc>
      </w:tr>
      <w:tr w14:paraId="5DA1E3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DD17D72">
            <w:pPr>
              <w:spacing w:after="0" w:line="240" w:lineRule="auto"/>
              <w:jc w:val="center"/>
            </w:pPr>
            <w:r>
              <w:rPr>
                <w:sz w:val="18"/>
              </w:rPr>
              <w:t>价值因子+MA</w:t>
            </w:r>
          </w:p>
        </w:tc>
        <w:tc>
          <w:tcPr>
            <w:tcW w:w="1728" w:type="dxa"/>
          </w:tcPr>
          <w:p w14:paraId="2B7790BD">
            <w:pPr>
              <w:spacing w:after="0" w:line="240" w:lineRule="auto"/>
              <w:jc w:val="center"/>
            </w:pPr>
            <w:r>
              <w:rPr>
                <w:sz w:val="18"/>
              </w:rPr>
              <w:t>28.39%</w:t>
            </w:r>
          </w:p>
        </w:tc>
        <w:tc>
          <w:tcPr>
            <w:tcW w:w="1728" w:type="dxa"/>
          </w:tcPr>
          <w:p w14:paraId="0CE2D869">
            <w:pPr>
              <w:spacing w:after="0" w:line="240" w:lineRule="auto"/>
              <w:jc w:val="center"/>
            </w:pPr>
            <w:r>
              <w:rPr>
                <w:sz w:val="18"/>
              </w:rPr>
              <w:t>0.98</w:t>
            </w:r>
          </w:p>
        </w:tc>
        <w:tc>
          <w:tcPr>
            <w:tcW w:w="1728" w:type="dxa"/>
          </w:tcPr>
          <w:p w14:paraId="304D6B86">
            <w:pPr>
              <w:spacing w:after="0" w:line="240" w:lineRule="auto"/>
              <w:jc w:val="center"/>
            </w:pPr>
            <w:r>
              <w:rPr>
                <w:sz w:val="18"/>
              </w:rPr>
              <w:t>-37.60%</w:t>
            </w:r>
          </w:p>
        </w:tc>
        <w:tc>
          <w:tcPr>
            <w:tcW w:w="1728" w:type="dxa"/>
          </w:tcPr>
          <w:p w14:paraId="642ABC65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</w:tbl>
    <w:p w14:paraId="106DCBF1">
      <w:r>
        <w:rPr>
          <w:rFonts w:ascii="宋体" w:hAnsi="宋体" w:eastAsia="宋体"/>
          <w:b w:val="0"/>
          <w:sz w:val="22"/>
        </w:rPr>
        <w:t>EP因子表现远不如价值因子。原因有三：第一，EP数据覆盖率仅48.7%，大量股票缺失导致选股空间受限；第二，FI_T2净利润排名≠EP(盈利/价格)，缺少市值分母，排名信息损失严重；第三，价值因子捕捉了"长期反转+价值"双重信号，信息含量更丰富。当前价值因子是更优的价值信号。</w:t>
      </w:r>
    </w:p>
    <w:p w14:paraId="239C6AF2">
      <w:r>
        <w:rPr>
          <w:rFonts w:ascii="宋体" w:hAnsi="宋体" w:eastAsia="宋体"/>
          <w:b/>
          <w:sz w:val="22"/>
        </w:rPr>
        <w:t>⑦ ML因子组合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82013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068797D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w="1728" w:type="dxa"/>
          </w:tcPr>
          <w:p w14:paraId="43354C2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30589B6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728" w:type="dxa"/>
          </w:tcPr>
          <w:p w14:paraId="7135879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60FFD5E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7DAC9A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18C7E4E9">
            <w:pPr>
              <w:spacing w:after="0" w:line="240" w:lineRule="auto"/>
              <w:jc w:val="center"/>
            </w:pPr>
            <w:r>
              <w:rPr>
                <w:sz w:val="18"/>
              </w:rPr>
              <w:t>基准(线性40V+60R)</w:t>
            </w:r>
          </w:p>
        </w:tc>
        <w:tc>
          <w:tcPr>
            <w:tcW w:w="1728" w:type="dxa"/>
          </w:tcPr>
          <w:p w14:paraId="2EC77F3B">
            <w:pPr>
              <w:spacing w:after="0" w:line="240" w:lineRule="auto"/>
              <w:jc w:val="center"/>
            </w:pPr>
            <w:r>
              <w:rPr>
                <w:sz w:val="18"/>
              </w:rPr>
              <w:t>18.64%</w:t>
            </w:r>
          </w:p>
        </w:tc>
        <w:tc>
          <w:tcPr>
            <w:tcW w:w="1728" w:type="dxa"/>
          </w:tcPr>
          <w:p w14:paraId="1C9B044E">
            <w:pPr>
              <w:spacing w:after="0" w:line="240" w:lineRule="auto"/>
              <w:jc w:val="center"/>
            </w:pPr>
            <w:r>
              <w:rPr>
                <w:sz w:val="18"/>
              </w:rPr>
              <w:t>0.65</w:t>
            </w:r>
          </w:p>
        </w:tc>
        <w:tc>
          <w:tcPr>
            <w:tcW w:w="1728" w:type="dxa"/>
          </w:tcPr>
          <w:p w14:paraId="320A7104">
            <w:pPr>
              <w:spacing w:after="0" w:line="240" w:lineRule="auto"/>
              <w:jc w:val="center"/>
            </w:pPr>
            <w:r>
              <w:rPr>
                <w:sz w:val="18"/>
              </w:rPr>
              <w:t>-73.28%</w:t>
            </w:r>
          </w:p>
        </w:tc>
        <w:tc>
          <w:tcPr>
            <w:tcW w:w="1728" w:type="dxa"/>
          </w:tcPr>
          <w:p w14:paraId="348FF2EA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  <w:tr w14:paraId="319A91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530F2D58">
            <w:pPr>
              <w:spacing w:after="0" w:line="240" w:lineRule="auto"/>
              <w:jc w:val="center"/>
            </w:pPr>
            <w:r>
              <w:rPr>
                <w:sz w:val="18"/>
              </w:rPr>
              <w:t>Ridge回归</w:t>
            </w:r>
          </w:p>
        </w:tc>
        <w:tc>
          <w:tcPr>
            <w:tcW w:w="1728" w:type="dxa"/>
          </w:tcPr>
          <w:p w14:paraId="69D1C4C3">
            <w:pPr>
              <w:spacing w:after="0" w:line="240" w:lineRule="auto"/>
              <w:jc w:val="center"/>
            </w:pPr>
            <w:r>
              <w:rPr>
                <w:sz w:val="18"/>
              </w:rPr>
              <w:t>6.31%</w:t>
            </w:r>
          </w:p>
        </w:tc>
        <w:tc>
          <w:tcPr>
            <w:tcW w:w="1728" w:type="dxa"/>
          </w:tcPr>
          <w:p w14:paraId="3E3C373E">
            <w:pPr>
              <w:spacing w:after="0" w:line="240" w:lineRule="auto"/>
              <w:jc w:val="center"/>
            </w:pPr>
            <w:r>
              <w:rPr>
                <w:sz w:val="18"/>
              </w:rPr>
              <w:t>0.36</w:t>
            </w:r>
          </w:p>
        </w:tc>
        <w:tc>
          <w:tcPr>
            <w:tcW w:w="1728" w:type="dxa"/>
          </w:tcPr>
          <w:p w14:paraId="1B45006E">
            <w:pPr>
              <w:spacing w:after="0" w:line="240" w:lineRule="auto"/>
              <w:jc w:val="center"/>
            </w:pPr>
            <w:r>
              <w:rPr>
                <w:sz w:val="18"/>
              </w:rPr>
              <w:t>-61.44%</w:t>
            </w:r>
          </w:p>
        </w:tc>
        <w:tc>
          <w:tcPr>
            <w:tcW w:w="1728" w:type="dxa"/>
          </w:tcPr>
          <w:p w14:paraId="76A570B3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  <w:tr w14:paraId="062C47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397827C0">
            <w:pPr>
              <w:spacing w:after="0" w:line="240" w:lineRule="auto"/>
              <w:jc w:val="center"/>
            </w:pPr>
            <w:r>
              <w:rPr>
                <w:sz w:val="18"/>
              </w:rPr>
              <w:t>随机森林(RF)</w:t>
            </w:r>
          </w:p>
        </w:tc>
        <w:tc>
          <w:tcPr>
            <w:tcW w:w="1728" w:type="dxa"/>
          </w:tcPr>
          <w:p w14:paraId="1551C967">
            <w:pPr>
              <w:spacing w:after="0" w:line="240" w:lineRule="auto"/>
              <w:jc w:val="center"/>
            </w:pPr>
            <w:r>
              <w:rPr>
                <w:sz w:val="18"/>
              </w:rPr>
              <w:t>8.22%</w:t>
            </w:r>
          </w:p>
        </w:tc>
        <w:tc>
          <w:tcPr>
            <w:tcW w:w="1728" w:type="dxa"/>
          </w:tcPr>
          <w:p w14:paraId="3177802A">
            <w:pPr>
              <w:spacing w:after="0" w:line="240" w:lineRule="auto"/>
              <w:jc w:val="center"/>
            </w:pPr>
            <w:r>
              <w:rPr>
                <w:sz w:val="18"/>
              </w:rPr>
              <w:t>0.42</w:t>
            </w:r>
          </w:p>
        </w:tc>
        <w:tc>
          <w:tcPr>
            <w:tcW w:w="1728" w:type="dxa"/>
          </w:tcPr>
          <w:p w14:paraId="77EC0249">
            <w:pPr>
              <w:spacing w:after="0" w:line="240" w:lineRule="auto"/>
              <w:jc w:val="center"/>
            </w:pPr>
            <w:r>
              <w:rPr>
                <w:sz w:val="18"/>
              </w:rPr>
              <w:t>-53.77%</w:t>
            </w:r>
          </w:p>
        </w:tc>
        <w:tc>
          <w:tcPr>
            <w:tcW w:w="1728" w:type="dxa"/>
          </w:tcPr>
          <w:p w14:paraId="4545B61E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  <w:tr w14:paraId="25A821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0516BBF3">
            <w:pPr>
              <w:spacing w:after="0" w:line="240" w:lineRule="auto"/>
              <w:jc w:val="center"/>
            </w:pPr>
            <w:r>
              <w:rPr>
                <w:sz w:val="18"/>
              </w:rPr>
              <w:t>GBDT</w:t>
            </w:r>
          </w:p>
        </w:tc>
        <w:tc>
          <w:tcPr>
            <w:tcW w:w="1728" w:type="dxa"/>
          </w:tcPr>
          <w:p w14:paraId="544F83EB">
            <w:pPr>
              <w:spacing w:after="0" w:line="240" w:lineRule="auto"/>
              <w:jc w:val="center"/>
            </w:pPr>
            <w:r>
              <w:rPr>
                <w:sz w:val="18"/>
              </w:rPr>
              <w:t>5.00%</w:t>
            </w:r>
          </w:p>
        </w:tc>
        <w:tc>
          <w:tcPr>
            <w:tcW w:w="1728" w:type="dxa"/>
          </w:tcPr>
          <w:p w14:paraId="010A7554">
            <w:pPr>
              <w:spacing w:after="0" w:line="240" w:lineRule="auto"/>
              <w:jc w:val="center"/>
            </w:pPr>
            <w:r>
              <w:rPr>
                <w:sz w:val="18"/>
              </w:rPr>
              <w:t>0.20</w:t>
            </w:r>
          </w:p>
        </w:tc>
        <w:tc>
          <w:tcPr>
            <w:tcW w:w="1728" w:type="dxa"/>
          </w:tcPr>
          <w:p w14:paraId="7B19643D">
            <w:pPr>
              <w:spacing w:after="0" w:line="240" w:lineRule="auto"/>
              <w:jc w:val="center"/>
            </w:pPr>
            <w:r>
              <w:rPr>
                <w:sz w:val="18"/>
              </w:rPr>
              <w:t>-55.00%</w:t>
            </w:r>
          </w:p>
        </w:tc>
        <w:tc>
          <w:tcPr>
            <w:tcW w:w="1728" w:type="dxa"/>
          </w:tcPr>
          <w:p w14:paraId="1BD702AC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</w:tbl>
    <w:p w14:paraId="1927CB7A">
      <w:r>
        <w:rPr>
          <w:rFonts w:ascii="宋体" w:hAnsi="宋体" w:eastAsia="宋体"/>
          <w:b w:val="0"/>
          <w:sz w:val="22"/>
        </w:rPr>
        <w:t>月频A股数据信噪比极低（n≈240，p远大于有效自由度），复杂模型拟合噪音而非信号。Ridge/Lasso正则化过度压缩信号，RF/GBDT过拟合训练集、样本外预测能力差。这验证了Harvey(2016)的"因子动物园"警告：在有限样本下，复杂模型几乎必然过拟合。DeMiguel et al.(2009)也证明简单等权在样本外经常跑赢均值-方差优化。所有ML模型换手率与基准接近（约568%/年），因为都是月度等权调仓TopK=100。</w:t>
      </w:r>
    </w:p>
    <w:p w14:paraId="6564508F">
      <w:r>
        <w:rPr>
          <w:rFonts w:ascii="宋体" w:hAnsi="宋体" w:eastAsia="宋体"/>
          <w:b/>
          <w:sz w:val="22"/>
        </w:rPr>
        <w:t>⑧ EPU调因子权重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450D2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4DD551D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方案</w:t>
            </w:r>
          </w:p>
        </w:tc>
        <w:tc>
          <w:tcPr>
            <w:tcW w:w="1728" w:type="dxa"/>
          </w:tcPr>
          <w:p w14:paraId="19A88E6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5362881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728" w:type="dxa"/>
          </w:tcPr>
          <w:p w14:paraId="733F8B1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74FF5FA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3AC4B3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5B3D9E28">
            <w:pPr>
              <w:spacing w:after="0" w:line="240" w:lineRule="auto"/>
              <w:jc w:val="center"/>
            </w:pPr>
            <w:r>
              <w:rPr>
                <w:sz w:val="18"/>
              </w:rPr>
              <w:t>基准(+MA)</w:t>
            </w:r>
          </w:p>
        </w:tc>
        <w:tc>
          <w:tcPr>
            <w:tcW w:w="1728" w:type="dxa"/>
          </w:tcPr>
          <w:p w14:paraId="0A4287F7">
            <w:pPr>
              <w:spacing w:after="0" w:line="240" w:lineRule="auto"/>
              <w:jc w:val="center"/>
            </w:pPr>
            <w:r>
              <w:rPr>
                <w:sz w:val="18"/>
              </w:rPr>
              <w:t>28.39%</w:t>
            </w:r>
          </w:p>
        </w:tc>
        <w:tc>
          <w:tcPr>
            <w:tcW w:w="1728" w:type="dxa"/>
          </w:tcPr>
          <w:p w14:paraId="0597F3DC">
            <w:pPr>
              <w:spacing w:after="0" w:line="240" w:lineRule="auto"/>
              <w:jc w:val="center"/>
            </w:pPr>
            <w:r>
              <w:rPr>
                <w:sz w:val="18"/>
              </w:rPr>
              <w:t>0.98</w:t>
            </w:r>
          </w:p>
        </w:tc>
        <w:tc>
          <w:tcPr>
            <w:tcW w:w="1728" w:type="dxa"/>
          </w:tcPr>
          <w:p w14:paraId="33E8358C">
            <w:pPr>
              <w:spacing w:after="0" w:line="240" w:lineRule="auto"/>
              <w:jc w:val="center"/>
            </w:pPr>
            <w:r>
              <w:rPr>
                <w:sz w:val="18"/>
              </w:rPr>
              <w:t>-37.60%</w:t>
            </w:r>
          </w:p>
        </w:tc>
        <w:tc>
          <w:tcPr>
            <w:tcW w:w="1728" w:type="dxa"/>
          </w:tcPr>
          <w:p w14:paraId="1234CBDF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  <w:tr w14:paraId="6DFDB4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7450FAE3">
            <w:pPr>
              <w:spacing w:after="0" w:line="240" w:lineRule="auto"/>
              <w:jc w:val="center"/>
            </w:pPr>
            <w:r>
              <w:rPr>
                <w:sz w:val="18"/>
              </w:rPr>
              <w:t>EPU变化率调权重(最优)</w:t>
            </w:r>
          </w:p>
        </w:tc>
        <w:tc>
          <w:tcPr>
            <w:tcW w:w="1728" w:type="dxa"/>
          </w:tcPr>
          <w:p w14:paraId="1C033677">
            <w:pPr>
              <w:spacing w:after="0" w:line="240" w:lineRule="auto"/>
              <w:jc w:val="center"/>
            </w:pPr>
            <w:r>
              <w:rPr>
                <w:sz w:val="18"/>
              </w:rPr>
              <w:t>28.88%</w:t>
            </w:r>
          </w:p>
        </w:tc>
        <w:tc>
          <w:tcPr>
            <w:tcW w:w="1728" w:type="dxa"/>
          </w:tcPr>
          <w:p w14:paraId="673BDBDF">
            <w:pPr>
              <w:spacing w:after="0" w:line="240" w:lineRule="auto"/>
              <w:jc w:val="center"/>
            </w:pPr>
            <w:r>
              <w:rPr>
                <w:sz w:val="18"/>
              </w:rPr>
              <w:t>0.99</w:t>
            </w:r>
          </w:p>
        </w:tc>
        <w:tc>
          <w:tcPr>
            <w:tcW w:w="1728" w:type="dxa"/>
          </w:tcPr>
          <w:p w14:paraId="7A3229A5">
            <w:pPr>
              <w:spacing w:after="0" w:line="240" w:lineRule="auto"/>
              <w:jc w:val="center"/>
            </w:pPr>
            <w:r>
              <w:rPr>
                <w:sz w:val="18"/>
              </w:rPr>
              <w:t>-37.95%</w:t>
            </w:r>
          </w:p>
        </w:tc>
        <w:tc>
          <w:tcPr>
            <w:tcW w:w="1728" w:type="dxa"/>
          </w:tcPr>
          <w:p w14:paraId="279FA30C">
            <w:pPr>
              <w:spacing w:after="0" w:line="240" w:lineRule="auto"/>
              <w:jc w:val="center"/>
            </w:pPr>
            <w:r>
              <w:rPr>
                <w:sz w:val="18"/>
              </w:rPr>
              <w:t>634%</w:t>
            </w:r>
          </w:p>
        </w:tc>
      </w:tr>
    </w:tbl>
    <w:p w14:paraId="678AFBDB">
      <w:r>
        <w:rPr>
          <w:rFonts w:ascii="宋体" w:hAnsi="宋体" w:eastAsia="宋体"/>
          <w:b w:val="0"/>
          <w:sz w:val="22"/>
        </w:rPr>
        <w:t>EPU调因子权重改善微弱（+0.01夏普 vs 纯MA的0.98），但换手率增加12%（568%→634%）。每增加1%换手率仅提升0.0004夏普，考虑到交易成本，EPU调权重的净收益可能为负。宏观变量对月频股票择时边际贡献极低，这与Goyal &amp; Welch(2008)的发现一致：宏观变量对股票收益的预测力在样本外几乎为零。</w:t>
      </w:r>
    </w:p>
    <w:p w14:paraId="3560ADE3">
      <w:r>
        <w:br w:type="page"/>
      </w:r>
    </w:p>
    <w:p w14:paraId="69F64C4C">
      <w:pPr>
        <w:pStyle w:val="4"/>
      </w:pPr>
      <w:r>
        <w:t>2.4 风控与回撤控制类优化</w:t>
      </w:r>
    </w:p>
    <w:p w14:paraId="289D5914">
      <w:r>
        <w:rPr>
          <w:rFonts w:ascii="宋体" w:hAnsi="宋体" w:eastAsia="宋体"/>
          <w:b w:val="0"/>
          <w:sz w:val="22"/>
        </w:rPr>
        <w:t>目标：降低最大回撤和市场暴露，提升夏普比率。这是贡献最大的优化类别，MA市场过滤器单独贡献了+0.33夏普。</w:t>
      </w:r>
    </w:p>
    <w:p w14:paraId="37DDE11A">
      <w:r>
        <w:rPr>
          <w:rFonts w:ascii="宋体" w:hAnsi="宋体" w:eastAsia="宋体"/>
          <w:b/>
          <w:sz w:val="22"/>
        </w:rPr>
        <w:t>成功方向</w:t>
      </w:r>
    </w:p>
    <w:p w14:paraId="58EEDE9D">
      <w:r>
        <w:rPr>
          <w:rFonts w:ascii="宋体" w:hAnsi="宋体" w:eastAsia="宋体"/>
          <w:b/>
          <w:sz w:val="22"/>
        </w:rPr>
        <w:t>① MA市场过滤器（最大贡献！）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2AEEC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245C60F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策略</w:t>
            </w:r>
          </w:p>
        </w:tc>
        <w:tc>
          <w:tcPr>
            <w:tcW w:w="1440" w:type="dxa"/>
          </w:tcPr>
          <w:p w14:paraId="4E4AFAF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440" w:type="dxa"/>
          </w:tcPr>
          <w:p w14:paraId="63BBFF2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440" w:type="dxa"/>
          </w:tcPr>
          <w:p w14:paraId="3E5E415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440" w:type="dxa"/>
          </w:tcPr>
          <w:p w14:paraId="6428DF7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年化波动率</w:t>
            </w:r>
          </w:p>
        </w:tc>
        <w:tc>
          <w:tcPr>
            <w:tcW w:w="1440" w:type="dxa"/>
          </w:tcPr>
          <w:p w14:paraId="4C459FD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5F201B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33F9F7A7">
            <w:pPr>
              <w:spacing w:after="0" w:line="240" w:lineRule="auto"/>
              <w:jc w:val="center"/>
            </w:pPr>
            <w:r>
              <w:rPr>
                <w:sz w:val="18"/>
              </w:rPr>
              <w:t>基准策略</w:t>
            </w:r>
          </w:p>
        </w:tc>
        <w:tc>
          <w:tcPr>
            <w:tcW w:w="1440" w:type="dxa"/>
          </w:tcPr>
          <w:p w14:paraId="5302CE28">
            <w:pPr>
              <w:spacing w:after="0" w:line="240" w:lineRule="auto"/>
              <w:jc w:val="center"/>
            </w:pPr>
            <w:r>
              <w:rPr>
                <w:sz w:val="18"/>
              </w:rPr>
              <w:t>21.43%</w:t>
            </w:r>
          </w:p>
        </w:tc>
        <w:tc>
          <w:tcPr>
            <w:tcW w:w="1440" w:type="dxa"/>
          </w:tcPr>
          <w:p w14:paraId="69A0593F">
            <w:pPr>
              <w:spacing w:after="0" w:line="240" w:lineRule="auto"/>
              <w:jc w:val="center"/>
            </w:pPr>
            <w:r>
              <w:rPr>
                <w:sz w:val="18"/>
              </w:rPr>
              <w:t>0.71</w:t>
            </w:r>
          </w:p>
        </w:tc>
        <w:tc>
          <w:tcPr>
            <w:tcW w:w="1440" w:type="dxa"/>
          </w:tcPr>
          <w:p w14:paraId="1D062660">
            <w:pPr>
              <w:spacing w:after="0" w:line="240" w:lineRule="auto"/>
              <w:jc w:val="center"/>
            </w:pPr>
            <w:r>
              <w:rPr>
                <w:sz w:val="18"/>
              </w:rPr>
              <w:t>-66.43%</w:t>
            </w:r>
          </w:p>
        </w:tc>
        <w:tc>
          <w:tcPr>
            <w:tcW w:w="1440" w:type="dxa"/>
          </w:tcPr>
          <w:p w14:paraId="0688F8FB">
            <w:pPr>
              <w:spacing w:after="0" w:line="240" w:lineRule="auto"/>
              <w:jc w:val="center"/>
            </w:pPr>
            <w:r>
              <w:rPr>
                <w:sz w:val="18"/>
              </w:rPr>
              <w:t>36.48%</w:t>
            </w:r>
          </w:p>
        </w:tc>
        <w:tc>
          <w:tcPr>
            <w:tcW w:w="1440" w:type="dxa"/>
          </w:tcPr>
          <w:p w14:paraId="6152DDFC">
            <w:pPr>
              <w:spacing w:after="0" w:line="240" w:lineRule="auto"/>
              <w:jc w:val="center"/>
            </w:pPr>
            <w:r>
              <w:rPr>
                <w:sz w:val="18"/>
              </w:rPr>
              <w:t>656%</w:t>
            </w:r>
          </w:p>
        </w:tc>
      </w:tr>
      <w:tr w14:paraId="1CF14A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54A0A316">
            <w:pPr>
              <w:spacing w:after="0" w:line="240" w:lineRule="auto"/>
              <w:jc w:val="center"/>
            </w:pPr>
            <w:r>
              <w:rPr>
                <w:sz w:val="18"/>
              </w:rPr>
              <w:t>MA市场过滤器</w:t>
            </w:r>
          </w:p>
        </w:tc>
        <w:tc>
          <w:tcPr>
            <w:tcW w:w="1440" w:type="dxa"/>
          </w:tcPr>
          <w:p w14:paraId="21A45A0A">
            <w:pPr>
              <w:spacing w:after="0" w:line="240" w:lineRule="auto"/>
              <w:jc w:val="center"/>
            </w:pPr>
            <w:r>
              <w:rPr>
                <w:sz w:val="18"/>
              </w:rPr>
              <w:t>29.14%</w:t>
            </w:r>
          </w:p>
        </w:tc>
        <w:tc>
          <w:tcPr>
            <w:tcW w:w="1440" w:type="dxa"/>
          </w:tcPr>
          <w:p w14:paraId="6ACA0F1B">
            <w:pPr>
              <w:spacing w:after="0" w:line="240" w:lineRule="auto"/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w="1440" w:type="dxa"/>
          </w:tcPr>
          <w:p w14:paraId="0443727C">
            <w:pPr>
              <w:spacing w:after="0" w:line="240" w:lineRule="auto"/>
              <w:jc w:val="center"/>
            </w:pPr>
            <w:r>
              <w:rPr>
                <w:sz w:val="18"/>
              </w:rPr>
              <w:t>-30.17%</w:t>
            </w:r>
          </w:p>
        </w:tc>
        <w:tc>
          <w:tcPr>
            <w:tcW w:w="1440" w:type="dxa"/>
          </w:tcPr>
          <w:p w14:paraId="6F0CEBAD">
            <w:pPr>
              <w:spacing w:after="0" w:line="240" w:lineRule="auto"/>
              <w:jc w:val="center"/>
            </w:pPr>
            <w:r>
              <w:rPr>
                <w:sz w:val="18"/>
              </w:rPr>
              <w:t>30.03%</w:t>
            </w:r>
          </w:p>
        </w:tc>
        <w:tc>
          <w:tcPr>
            <w:tcW w:w="1440" w:type="dxa"/>
          </w:tcPr>
          <w:p w14:paraId="30E3C5C9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</w:tbl>
    <w:p w14:paraId="66039511">
      <w:r>
        <w:rPr>
          <w:rFonts w:ascii="宋体" w:hAnsi="宋体" w:eastAsia="宋体"/>
          <w:b/>
          <w:sz w:val="22"/>
        </w:rPr>
        <w:t>MA市场过滤器是所有优化中贡献最大的：年化收益从21.43%提升至29.14%，夏普从0.71提升至1.00，最大回撤从-66.43%降至-30.17%。收益不降反升，因为仅在熊市降仓，牛市保持满仓。</w:t>
      </w:r>
    </w:p>
    <w:p w14:paraId="4EDF1E82">
      <w:r>
        <w:rPr>
          <w:rFonts w:ascii="宋体" w:hAnsi="宋体" w:eastAsia="宋体"/>
          <w:b/>
          <w:sz w:val="22"/>
        </w:rPr>
        <w:t>MA过滤器机制：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187FC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70E91A9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市场状态</w:t>
            </w:r>
          </w:p>
        </w:tc>
        <w:tc>
          <w:tcPr>
            <w:tcW w:w="2160" w:type="dxa"/>
          </w:tcPr>
          <w:p w14:paraId="3810FE9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判断条件</w:t>
            </w:r>
          </w:p>
        </w:tc>
        <w:tc>
          <w:tcPr>
            <w:tcW w:w="2160" w:type="dxa"/>
          </w:tcPr>
          <w:p w14:paraId="3BB2485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仓位</w:t>
            </w:r>
          </w:p>
        </w:tc>
        <w:tc>
          <w:tcPr>
            <w:tcW w:w="2160" w:type="dxa"/>
          </w:tcPr>
          <w:p w14:paraId="6C73BD4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触发频率</w:t>
            </w:r>
          </w:p>
        </w:tc>
      </w:tr>
      <w:tr w14:paraId="1C3E0E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068FAE9D">
            <w:pPr>
              <w:spacing w:after="0" w:line="240" w:lineRule="auto"/>
              <w:jc w:val="center"/>
            </w:pPr>
            <w:r>
              <w:rPr>
                <w:sz w:val="18"/>
              </w:rPr>
              <w:t>牛市</w:t>
            </w:r>
          </w:p>
        </w:tc>
        <w:tc>
          <w:tcPr>
            <w:tcW w:w="2160" w:type="dxa"/>
          </w:tcPr>
          <w:p w14:paraId="199F0ABD">
            <w:pPr>
              <w:spacing w:after="0" w:line="240" w:lineRule="auto"/>
              <w:jc w:val="center"/>
            </w:pPr>
            <w:r>
              <w:rPr>
                <w:sz w:val="18"/>
              </w:rPr>
              <w:t>累计净值 &gt; 12月均线</w:t>
            </w:r>
          </w:p>
        </w:tc>
        <w:tc>
          <w:tcPr>
            <w:tcW w:w="2160" w:type="dxa"/>
          </w:tcPr>
          <w:p w14:paraId="65226AF2">
            <w:pPr>
              <w:spacing w:after="0" w:line="240" w:lineRule="auto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2160" w:type="dxa"/>
          </w:tcPr>
          <w:p w14:paraId="0C13A7E8">
            <w:pPr>
              <w:spacing w:after="0" w:line="240" w:lineRule="auto"/>
              <w:jc w:val="center"/>
            </w:pPr>
            <w:r>
              <w:rPr>
                <w:sz w:val="18"/>
              </w:rPr>
              <w:t>~55%</w:t>
            </w:r>
          </w:p>
        </w:tc>
      </w:tr>
      <w:tr w14:paraId="661A21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6E1A0BAD">
            <w:pPr>
              <w:spacing w:after="0" w:line="240" w:lineRule="auto"/>
              <w:jc w:val="center"/>
            </w:pPr>
            <w:r>
              <w:rPr>
                <w:sz w:val="18"/>
              </w:rPr>
              <w:t>熊市(震荡)</w:t>
            </w:r>
          </w:p>
        </w:tc>
        <w:tc>
          <w:tcPr>
            <w:tcW w:w="2160" w:type="dxa"/>
          </w:tcPr>
          <w:p w14:paraId="59D234CD">
            <w:pPr>
              <w:spacing w:after="0" w:line="240" w:lineRule="auto"/>
              <w:jc w:val="center"/>
            </w:pPr>
            <w:r>
              <w:rPr>
                <w:sz w:val="18"/>
              </w:rPr>
              <w:t>净值&lt;均线, 均线3月斜率≥0</w:t>
            </w:r>
          </w:p>
        </w:tc>
        <w:tc>
          <w:tcPr>
            <w:tcW w:w="2160" w:type="dxa"/>
          </w:tcPr>
          <w:p w14:paraId="5DFA4602">
            <w:pPr>
              <w:spacing w:after="0" w:line="240" w:lineRule="auto"/>
              <w:jc w:val="center"/>
            </w:pPr>
            <w:r>
              <w:rPr>
                <w:sz w:val="18"/>
              </w:rPr>
              <w:t>50%</w:t>
            </w:r>
          </w:p>
        </w:tc>
        <w:tc>
          <w:tcPr>
            <w:tcW w:w="2160" w:type="dxa"/>
          </w:tcPr>
          <w:p w14:paraId="4776B39F">
            <w:pPr>
              <w:spacing w:after="0" w:line="240" w:lineRule="auto"/>
              <w:jc w:val="center"/>
            </w:pPr>
            <w:r>
              <w:rPr>
                <w:sz w:val="18"/>
              </w:rPr>
              <w:t>~25%</w:t>
            </w:r>
          </w:p>
        </w:tc>
      </w:tr>
      <w:tr w14:paraId="1C4D71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74EFF8DF">
            <w:pPr>
              <w:spacing w:after="0" w:line="240" w:lineRule="auto"/>
              <w:jc w:val="center"/>
            </w:pPr>
            <w:r>
              <w:rPr>
                <w:sz w:val="18"/>
              </w:rPr>
              <w:t>熊市(下行)</w:t>
            </w:r>
          </w:p>
        </w:tc>
        <w:tc>
          <w:tcPr>
            <w:tcW w:w="2160" w:type="dxa"/>
          </w:tcPr>
          <w:p w14:paraId="78608640">
            <w:pPr>
              <w:spacing w:after="0" w:line="240" w:lineRule="auto"/>
              <w:jc w:val="center"/>
            </w:pPr>
            <w:r>
              <w:rPr>
                <w:sz w:val="18"/>
              </w:rPr>
              <w:t>净值&lt;均线, 均线3月斜率&lt;0</w:t>
            </w:r>
          </w:p>
        </w:tc>
        <w:tc>
          <w:tcPr>
            <w:tcW w:w="2160" w:type="dxa"/>
          </w:tcPr>
          <w:p w14:paraId="2759C66E">
            <w:pPr>
              <w:spacing w:after="0" w:line="240" w:lineRule="auto"/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w="2160" w:type="dxa"/>
          </w:tcPr>
          <w:p w14:paraId="32C37E05">
            <w:pPr>
              <w:spacing w:after="0" w:line="240" w:lineRule="auto"/>
              <w:jc w:val="center"/>
            </w:pPr>
            <w:r>
              <w:rPr>
                <w:sz w:val="18"/>
              </w:rPr>
              <w:t>~20%</w:t>
            </w:r>
          </w:p>
        </w:tc>
      </w:tr>
    </w:tbl>
    <w:p w14:paraId="499D302E">
      <w:r>
        <w:rPr>
          <w:rFonts w:ascii="宋体" w:hAnsi="宋体" w:eastAsia="宋体"/>
          <w:b w:val="0"/>
          <w:sz w:val="22"/>
        </w:rPr>
        <w:t>MA过滤器的核心价值是降低β_MKT（从0.594降至0.301），而非识别反转失效期。CH-3归因显示，加入MA后alpha从0.33%/月（t=0.14，不显著）跃升至8.47%/年（t=2.67，显著），说明MA过滤器"创造"了alpha——通过规避熊市暴露，策略的收益不再被市场下跌抵消。</w:t>
      </w:r>
    </w:p>
    <w:p w14:paraId="23952A9E">
      <w:r>
        <w:rPr>
          <w:rFonts w:ascii="宋体" w:hAnsi="宋体" w:eastAsia="宋体"/>
          <w:b/>
          <w:sz w:val="22"/>
        </w:rPr>
        <w:t>MA+反转互补性机制分析：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FFB32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3E568F3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市场状态</w:t>
            </w:r>
          </w:p>
        </w:tc>
        <w:tc>
          <w:tcPr>
            <w:tcW w:w="2160" w:type="dxa"/>
          </w:tcPr>
          <w:p w14:paraId="717CB4B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月均因子收益</w:t>
            </w:r>
          </w:p>
        </w:tc>
        <w:tc>
          <w:tcPr>
            <w:tcW w:w="2160" w:type="dxa"/>
          </w:tcPr>
          <w:p w14:paraId="5C44C79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t值</w:t>
            </w:r>
          </w:p>
        </w:tc>
        <w:tc>
          <w:tcPr>
            <w:tcW w:w="2160" w:type="dxa"/>
          </w:tcPr>
          <w:p w14:paraId="60A2694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胜率</w:t>
            </w:r>
          </w:p>
        </w:tc>
      </w:tr>
      <w:tr w14:paraId="37ED92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4DF7DC37">
            <w:pPr>
              <w:spacing w:after="0" w:line="240" w:lineRule="auto"/>
              <w:jc w:val="center"/>
            </w:pPr>
            <w:r>
              <w:rPr>
                <w:sz w:val="18"/>
              </w:rPr>
              <w:t>牛市(净值&gt;MA12)</w:t>
            </w:r>
          </w:p>
        </w:tc>
        <w:tc>
          <w:tcPr>
            <w:tcW w:w="2160" w:type="dxa"/>
          </w:tcPr>
          <w:p w14:paraId="7408F83D">
            <w:pPr>
              <w:spacing w:after="0" w:line="240" w:lineRule="auto"/>
              <w:jc w:val="center"/>
            </w:pPr>
            <w:r>
              <w:rPr>
                <w:sz w:val="18"/>
              </w:rPr>
              <w:t>1.24%</w:t>
            </w:r>
          </w:p>
        </w:tc>
        <w:tc>
          <w:tcPr>
            <w:tcW w:w="2160" w:type="dxa"/>
          </w:tcPr>
          <w:p w14:paraId="45032D94">
            <w:pPr>
              <w:spacing w:after="0" w:line="240" w:lineRule="auto"/>
              <w:jc w:val="center"/>
            </w:pPr>
            <w:r>
              <w:rPr>
                <w:sz w:val="18"/>
              </w:rPr>
              <w:t>1.61*</w:t>
            </w:r>
          </w:p>
        </w:tc>
        <w:tc>
          <w:tcPr>
            <w:tcW w:w="2160" w:type="dxa"/>
          </w:tcPr>
          <w:p w14:paraId="13C0E334">
            <w:pPr>
              <w:spacing w:after="0" w:line="240" w:lineRule="auto"/>
              <w:jc w:val="center"/>
            </w:pPr>
            <w:r>
              <w:rPr>
                <w:sz w:val="18"/>
              </w:rPr>
              <w:t>51.5%</w:t>
            </w:r>
          </w:p>
        </w:tc>
      </w:tr>
      <w:tr w14:paraId="7E7626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1D195C2A">
            <w:pPr>
              <w:spacing w:after="0" w:line="240" w:lineRule="auto"/>
              <w:jc w:val="center"/>
            </w:pPr>
            <w:r>
              <w:rPr>
                <w:sz w:val="18"/>
              </w:rPr>
              <w:t>熊市震荡</w:t>
            </w:r>
          </w:p>
        </w:tc>
        <w:tc>
          <w:tcPr>
            <w:tcW w:w="2160" w:type="dxa"/>
          </w:tcPr>
          <w:p w14:paraId="4987FC4F">
            <w:pPr>
              <w:spacing w:after="0" w:line="240" w:lineRule="auto"/>
              <w:jc w:val="center"/>
            </w:pPr>
            <w:r>
              <w:rPr>
                <w:sz w:val="18"/>
              </w:rPr>
              <w:t>3.34%</w:t>
            </w:r>
          </w:p>
        </w:tc>
        <w:tc>
          <w:tcPr>
            <w:tcW w:w="2160" w:type="dxa"/>
          </w:tcPr>
          <w:p w14:paraId="39326EFB">
            <w:pPr>
              <w:spacing w:after="0" w:line="240" w:lineRule="auto"/>
              <w:jc w:val="center"/>
            </w:pPr>
            <w:r>
              <w:rPr>
                <w:sz w:val="18"/>
              </w:rPr>
              <w:t>4.11***</w:t>
            </w:r>
          </w:p>
        </w:tc>
        <w:tc>
          <w:tcPr>
            <w:tcW w:w="2160" w:type="dxa"/>
          </w:tcPr>
          <w:p w14:paraId="24A2BFA1">
            <w:pPr>
              <w:spacing w:after="0" w:line="240" w:lineRule="auto"/>
              <w:jc w:val="center"/>
            </w:pPr>
            <w:r>
              <w:rPr>
                <w:sz w:val="18"/>
              </w:rPr>
              <w:t>76.9%</w:t>
            </w:r>
          </w:p>
        </w:tc>
      </w:tr>
      <w:tr w14:paraId="1AA843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2ED9E683">
            <w:pPr>
              <w:spacing w:after="0" w:line="240" w:lineRule="auto"/>
              <w:jc w:val="center"/>
            </w:pPr>
            <w:r>
              <w:rPr>
                <w:sz w:val="18"/>
              </w:rPr>
              <w:t>熊市下行</w:t>
            </w:r>
          </w:p>
        </w:tc>
        <w:tc>
          <w:tcPr>
            <w:tcW w:w="2160" w:type="dxa"/>
          </w:tcPr>
          <w:p w14:paraId="2CCC39E8">
            <w:pPr>
              <w:spacing w:after="0" w:line="240" w:lineRule="auto"/>
              <w:jc w:val="center"/>
            </w:pPr>
            <w:r>
              <w:rPr>
                <w:sz w:val="18"/>
              </w:rPr>
              <w:t>1.79%</w:t>
            </w:r>
          </w:p>
        </w:tc>
        <w:tc>
          <w:tcPr>
            <w:tcW w:w="2160" w:type="dxa"/>
          </w:tcPr>
          <w:p w14:paraId="4FB08C2F">
            <w:pPr>
              <w:spacing w:after="0" w:line="240" w:lineRule="auto"/>
              <w:jc w:val="center"/>
            </w:pPr>
            <w:r>
              <w:rPr>
                <w:sz w:val="18"/>
              </w:rPr>
              <w:t>1.74*</w:t>
            </w:r>
          </w:p>
        </w:tc>
        <w:tc>
          <w:tcPr>
            <w:tcW w:w="2160" w:type="dxa"/>
          </w:tcPr>
          <w:p w14:paraId="4BFD709E">
            <w:pPr>
              <w:spacing w:after="0" w:line="240" w:lineRule="auto"/>
              <w:jc w:val="center"/>
            </w:pPr>
            <w:r>
              <w:rPr>
                <w:sz w:val="18"/>
              </w:rPr>
              <w:t>63.5%</w:t>
            </w:r>
          </w:p>
        </w:tc>
      </w:tr>
    </w:tbl>
    <w:p w14:paraId="69F635DA">
      <w:r>
        <w:rPr>
          <w:rFonts w:ascii="宋体" w:hAnsi="宋体" w:eastAsia="宋体"/>
          <w:b w:val="0"/>
          <w:sz w:val="22"/>
        </w:rPr>
        <w:t>反转因子在所有市场状态下均有正收益，熊市震荡期最强（t=4.11）。反转崩溃80%发生在牛市（最差10月中8次在牛市），与动量崩溃(Barroso &amp; Santa-Clara 2015)镜像对称。MA过滤器在降低市场暴露的同时，也降低了反转因子暴露——这是一个trade-off，而非纯粹的增益。但净效果是正面的，因为降低市场暴露的收益远大于降低反转暴露的损失。</w:t>
      </w:r>
    </w:p>
    <w:p w14:paraId="7BAA5A4F">
      <w:r>
        <w:rPr>
          <w:rFonts w:ascii="宋体" w:hAnsi="宋体" w:eastAsia="宋体"/>
          <w:b/>
          <w:sz w:val="22"/>
        </w:rPr>
        <w:t>② MA6替代MA12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CDC95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1666484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1440" w:type="dxa"/>
          </w:tcPr>
          <w:p w14:paraId="442A977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440" w:type="dxa"/>
          </w:tcPr>
          <w:p w14:paraId="738CA14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440" w:type="dxa"/>
          </w:tcPr>
          <w:p w14:paraId="0E0EFBF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440" w:type="dxa"/>
          </w:tcPr>
          <w:p w14:paraId="0AA31C8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波动率</w:t>
            </w:r>
          </w:p>
        </w:tc>
        <w:tc>
          <w:tcPr>
            <w:tcW w:w="1440" w:type="dxa"/>
          </w:tcPr>
          <w:p w14:paraId="3C29A79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0ABADE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593648AE">
            <w:pPr>
              <w:spacing w:after="0" w:line="240" w:lineRule="auto"/>
              <w:jc w:val="center"/>
            </w:pPr>
            <w:r>
              <w:rPr>
                <w:sz w:val="18"/>
              </w:rPr>
              <w:t>MA12(原配置)</w:t>
            </w:r>
          </w:p>
        </w:tc>
        <w:tc>
          <w:tcPr>
            <w:tcW w:w="1440" w:type="dxa"/>
          </w:tcPr>
          <w:p w14:paraId="129C52A6">
            <w:pPr>
              <w:spacing w:after="0" w:line="240" w:lineRule="auto"/>
              <w:jc w:val="center"/>
            </w:pPr>
            <w:r>
              <w:rPr>
                <w:sz w:val="18"/>
              </w:rPr>
              <w:t>22.14%</w:t>
            </w:r>
          </w:p>
        </w:tc>
        <w:tc>
          <w:tcPr>
            <w:tcW w:w="1440" w:type="dxa"/>
          </w:tcPr>
          <w:p w14:paraId="241E2F63">
            <w:pPr>
              <w:spacing w:after="0" w:line="240" w:lineRule="auto"/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w="1440" w:type="dxa"/>
          </w:tcPr>
          <w:p w14:paraId="61EA82B7">
            <w:pPr>
              <w:spacing w:after="0" w:line="240" w:lineRule="auto"/>
              <w:jc w:val="center"/>
            </w:pPr>
            <w:r>
              <w:rPr>
                <w:sz w:val="18"/>
              </w:rPr>
              <w:t>-16.61%</w:t>
            </w:r>
          </w:p>
        </w:tc>
        <w:tc>
          <w:tcPr>
            <w:tcW w:w="1440" w:type="dxa"/>
          </w:tcPr>
          <w:p w14:paraId="7E2B9D1F">
            <w:pPr>
              <w:spacing w:after="0" w:line="240" w:lineRule="auto"/>
              <w:jc w:val="center"/>
            </w:pPr>
            <w:r>
              <w:rPr>
                <w:sz w:val="18"/>
              </w:rPr>
              <w:t>21.36%</w:t>
            </w:r>
          </w:p>
        </w:tc>
        <w:tc>
          <w:tcPr>
            <w:tcW w:w="1440" w:type="dxa"/>
          </w:tcPr>
          <w:p w14:paraId="2FC638BC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4B093F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2330DC13">
            <w:pPr>
              <w:spacing w:after="0" w:line="240" w:lineRule="auto"/>
              <w:jc w:val="center"/>
            </w:pPr>
            <w:r>
              <w:rPr>
                <w:sz w:val="18"/>
              </w:rPr>
              <w:t>MA6(新配置)</w:t>
            </w:r>
          </w:p>
        </w:tc>
        <w:tc>
          <w:tcPr>
            <w:tcW w:w="1440" w:type="dxa"/>
          </w:tcPr>
          <w:p w14:paraId="0DD1BBA7">
            <w:pPr>
              <w:spacing w:after="0" w:line="240" w:lineRule="auto"/>
              <w:jc w:val="center"/>
            </w:pPr>
            <w:r>
              <w:rPr>
                <w:sz w:val="18"/>
              </w:rPr>
              <w:t>24.94%</w:t>
            </w:r>
          </w:p>
        </w:tc>
        <w:tc>
          <w:tcPr>
            <w:tcW w:w="1440" w:type="dxa"/>
          </w:tcPr>
          <w:p w14:paraId="720CE56E">
            <w:pPr>
              <w:spacing w:after="0" w:line="240" w:lineRule="auto"/>
              <w:jc w:val="center"/>
            </w:pPr>
            <w:r>
              <w:rPr>
                <w:sz w:val="18"/>
              </w:rPr>
              <w:t>1.15</w:t>
            </w:r>
          </w:p>
        </w:tc>
        <w:tc>
          <w:tcPr>
            <w:tcW w:w="1440" w:type="dxa"/>
          </w:tcPr>
          <w:p w14:paraId="6C0AFA89">
            <w:pPr>
              <w:spacing w:after="0" w:line="240" w:lineRule="auto"/>
              <w:jc w:val="center"/>
            </w:pPr>
            <w:r>
              <w:rPr>
                <w:sz w:val="18"/>
              </w:rPr>
              <w:t>-15.32%</w:t>
            </w:r>
          </w:p>
        </w:tc>
        <w:tc>
          <w:tcPr>
            <w:tcW w:w="1440" w:type="dxa"/>
          </w:tcPr>
          <w:p w14:paraId="326EC50A">
            <w:pPr>
              <w:spacing w:after="0" w:line="240" w:lineRule="auto"/>
              <w:jc w:val="center"/>
            </w:pPr>
            <w:r>
              <w:rPr>
                <w:sz w:val="18"/>
              </w:rPr>
              <w:t>21.37%</w:t>
            </w:r>
          </w:p>
        </w:tc>
        <w:tc>
          <w:tcPr>
            <w:tcW w:w="1440" w:type="dxa"/>
          </w:tcPr>
          <w:p w14:paraId="27410BE6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</w:tbl>
    <w:p w14:paraId="387EEF3D">
      <w:r>
        <w:rPr>
          <w:rFonts w:ascii="宋体" w:hAnsi="宋体" w:eastAsia="宋体"/>
          <w:b w:val="0"/>
          <w:sz w:val="22"/>
        </w:rPr>
        <w:t>MA6优于MA12（夏普1.15 vs 1.04），短周期MA更敏感，能更快识别趋势变化。MA12的滞后性导致在趋势拐点处反应过慢——当市场从牛市转熊市时，MA12需要更长时间才能确认趋势转变，而MA6能提前1-2个月降仓。参数网格测试也确认MA6是所有MA参数中最优的。</w:t>
      </w:r>
    </w:p>
    <w:p w14:paraId="774D0F37">
      <w:r>
        <w:rPr>
          <w:rFonts w:ascii="宋体" w:hAnsi="宋体" w:eastAsia="宋体"/>
          <w:b/>
          <w:sz w:val="22"/>
        </w:rPr>
        <w:t>③ 时间止损（3月跑输渐进降仓）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C216B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4BDF9C9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止损方案</w:t>
            </w:r>
          </w:p>
        </w:tc>
        <w:tc>
          <w:tcPr>
            <w:tcW w:w="1728" w:type="dxa"/>
          </w:tcPr>
          <w:p w14:paraId="4BAB191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5BCDE4F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728" w:type="dxa"/>
          </w:tcPr>
          <w:p w14:paraId="179EAE8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4ED393B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64E742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CFC6A15">
            <w:pPr>
              <w:spacing w:after="0" w:line="240" w:lineRule="auto"/>
              <w:jc w:val="center"/>
            </w:pPr>
            <w:r>
              <w:rPr>
                <w:sz w:val="18"/>
              </w:rPr>
              <w:t>无止损</w:t>
            </w:r>
          </w:p>
        </w:tc>
        <w:tc>
          <w:tcPr>
            <w:tcW w:w="1728" w:type="dxa"/>
          </w:tcPr>
          <w:p w14:paraId="32CFDD19">
            <w:pPr>
              <w:spacing w:after="0" w:line="240" w:lineRule="auto"/>
              <w:jc w:val="center"/>
            </w:pPr>
            <w:r>
              <w:rPr>
                <w:sz w:val="18"/>
              </w:rPr>
              <w:t>22.14%</w:t>
            </w:r>
          </w:p>
        </w:tc>
        <w:tc>
          <w:tcPr>
            <w:tcW w:w="1728" w:type="dxa"/>
          </w:tcPr>
          <w:p w14:paraId="1E24AA18">
            <w:pPr>
              <w:spacing w:after="0" w:line="240" w:lineRule="auto"/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w="1728" w:type="dxa"/>
          </w:tcPr>
          <w:p w14:paraId="5A4CF99F">
            <w:pPr>
              <w:spacing w:after="0" w:line="240" w:lineRule="auto"/>
              <w:jc w:val="center"/>
            </w:pPr>
            <w:r>
              <w:rPr>
                <w:sz w:val="18"/>
              </w:rPr>
              <w:t>-16.61%</w:t>
            </w:r>
          </w:p>
        </w:tc>
        <w:tc>
          <w:tcPr>
            <w:tcW w:w="1728" w:type="dxa"/>
          </w:tcPr>
          <w:p w14:paraId="2A950AA9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42FCDC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FB16A98">
            <w:pPr>
              <w:spacing w:after="0" w:line="240" w:lineRule="auto"/>
              <w:jc w:val="center"/>
            </w:pPr>
            <w:r>
              <w:rPr>
                <w:sz w:val="18"/>
              </w:rPr>
              <w:t>3月简单止损(降仓50%)</w:t>
            </w:r>
          </w:p>
        </w:tc>
        <w:tc>
          <w:tcPr>
            <w:tcW w:w="1728" w:type="dxa"/>
          </w:tcPr>
          <w:p w14:paraId="7A40D91D">
            <w:pPr>
              <w:spacing w:after="0" w:line="240" w:lineRule="auto"/>
              <w:jc w:val="center"/>
            </w:pPr>
            <w:r>
              <w:rPr>
                <w:sz w:val="18"/>
              </w:rPr>
              <w:t>22.02%</w:t>
            </w:r>
          </w:p>
        </w:tc>
        <w:tc>
          <w:tcPr>
            <w:tcW w:w="1728" w:type="dxa"/>
          </w:tcPr>
          <w:p w14:paraId="06E56B90">
            <w:pPr>
              <w:spacing w:after="0" w:line="240" w:lineRule="auto"/>
              <w:jc w:val="center"/>
            </w:pPr>
            <w:r>
              <w:rPr>
                <w:sz w:val="18"/>
              </w:rPr>
              <w:t>1.01</w:t>
            </w:r>
          </w:p>
        </w:tc>
        <w:tc>
          <w:tcPr>
            <w:tcW w:w="1728" w:type="dxa"/>
          </w:tcPr>
          <w:p w14:paraId="4587BE3F">
            <w:pPr>
              <w:spacing w:after="0" w:line="240" w:lineRule="auto"/>
              <w:jc w:val="center"/>
            </w:pPr>
            <w:r>
              <w:rPr>
                <w:sz w:val="18"/>
              </w:rPr>
              <w:t>-20.16%</w:t>
            </w:r>
          </w:p>
        </w:tc>
        <w:tc>
          <w:tcPr>
            <w:tcW w:w="1728" w:type="dxa"/>
          </w:tcPr>
          <w:p w14:paraId="1CCBEF1B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47F371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099A1F97">
            <w:pPr>
              <w:spacing w:after="0" w:line="240" w:lineRule="auto"/>
              <w:jc w:val="center"/>
            </w:pPr>
            <w:r>
              <w:rPr>
                <w:sz w:val="18"/>
              </w:rPr>
              <w:t>3月渐进止损(3月→50%,4月→30%)</w:t>
            </w:r>
          </w:p>
        </w:tc>
        <w:tc>
          <w:tcPr>
            <w:tcW w:w="1728" w:type="dxa"/>
          </w:tcPr>
          <w:p w14:paraId="2529A0DB">
            <w:pPr>
              <w:spacing w:after="0" w:line="240" w:lineRule="auto"/>
              <w:jc w:val="center"/>
            </w:pPr>
            <w:r>
              <w:rPr>
                <w:sz w:val="18"/>
              </w:rPr>
              <w:t>22.25%</w:t>
            </w:r>
          </w:p>
        </w:tc>
        <w:tc>
          <w:tcPr>
            <w:tcW w:w="1728" w:type="dxa"/>
          </w:tcPr>
          <w:p w14:paraId="17996765">
            <w:pPr>
              <w:spacing w:after="0" w:line="240" w:lineRule="auto"/>
              <w:jc w:val="center"/>
            </w:pPr>
            <w:r>
              <w:rPr>
                <w:sz w:val="18"/>
              </w:rPr>
              <w:t>1.01</w:t>
            </w:r>
          </w:p>
        </w:tc>
        <w:tc>
          <w:tcPr>
            <w:tcW w:w="1728" w:type="dxa"/>
          </w:tcPr>
          <w:p w14:paraId="09B936D4">
            <w:pPr>
              <w:spacing w:after="0" w:line="240" w:lineRule="auto"/>
              <w:jc w:val="center"/>
            </w:pPr>
            <w:r>
              <w:rPr>
                <w:sz w:val="18"/>
              </w:rPr>
              <w:t>-19.01%</w:t>
            </w:r>
          </w:p>
        </w:tc>
        <w:tc>
          <w:tcPr>
            <w:tcW w:w="1728" w:type="dxa"/>
          </w:tcPr>
          <w:p w14:paraId="4FE5ACB1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</w:tbl>
    <w:p w14:paraId="6FF3D197">
      <w:r>
        <w:rPr>
          <w:rFonts w:ascii="宋体" w:hAnsi="宋体" w:eastAsia="宋体"/>
          <w:b w:val="0"/>
          <w:sz w:val="22"/>
        </w:rPr>
        <w:t>修正前视偏差前，时间止损看似是风控层的第二大发现（夏普1.06→1.13）。但严格使用历史数据后，夏普从1.04降至1.01（-0.03），效果完全消失。这说明原实现中使用了当月跑输状态判断当月降仓，存在前视偏差——修复后只能基于前3个月跑输状态决策，滞后性导致时间止损无法改善风险收益比。时间止损的经济学逻辑是：如果策略连续跑输，说明当前市场环境可能不适合反转策略（如持续牛市中反转失效），应主动降低暴露而非被动等待。这与Daniel &amp; Moskowitz(2016)的动量崩溃研究互补——动量崩溃后反转表现好，反转"崩溃"（持续跑输）后应降仓。</w:t>
      </w:r>
    </w:p>
    <w:p w14:paraId="32251F90">
      <w:r>
        <w:rPr>
          <w:rFonts w:ascii="宋体" w:hAnsi="宋体" w:eastAsia="宋体"/>
          <w:b/>
          <w:sz w:val="22"/>
        </w:rPr>
        <w:t>部分成功方向</w:t>
      </w:r>
    </w:p>
    <w:p w14:paraId="5613F5BB">
      <w:r>
        <w:rPr>
          <w:rFonts w:ascii="宋体" w:hAnsi="宋体" w:eastAsia="宋体"/>
          <w:b/>
          <w:sz w:val="22"/>
        </w:rPr>
        <w:t>④ 波动率目标(Vol Targeting)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093919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0570892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1440" w:type="dxa"/>
          </w:tcPr>
          <w:p w14:paraId="33A7E62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440" w:type="dxa"/>
          </w:tcPr>
          <w:p w14:paraId="48E274B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440" w:type="dxa"/>
          </w:tcPr>
          <w:p w14:paraId="3D19AE8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440" w:type="dxa"/>
          </w:tcPr>
          <w:p w14:paraId="56FA82E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波动率</w:t>
            </w:r>
          </w:p>
        </w:tc>
        <w:tc>
          <w:tcPr>
            <w:tcW w:w="1440" w:type="dxa"/>
          </w:tcPr>
          <w:p w14:paraId="5328C97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7A1A7E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295019EB">
            <w:pPr>
              <w:spacing w:after="0" w:line="240" w:lineRule="auto"/>
              <w:jc w:val="center"/>
            </w:pPr>
            <w:r>
              <w:rPr>
                <w:sz w:val="18"/>
              </w:rPr>
              <w:t>基准(无VT)</w:t>
            </w:r>
          </w:p>
        </w:tc>
        <w:tc>
          <w:tcPr>
            <w:tcW w:w="1440" w:type="dxa"/>
          </w:tcPr>
          <w:p w14:paraId="3F22DC54">
            <w:pPr>
              <w:spacing w:after="0" w:line="240" w:lineRule="auto"/>
              <w:jc w:val="center"/>
            </w:pPr>
            <w:r>
              <w:rPr>
                <w:sz w:val="18"/>
              </w:rPr>
              <w:t>18.64%</w:t>
            </w:r>
          </w:p>
        </w:tc>
        <w:tc>
          <w:tcPr>
            <w:tcW w:w="1440" w:type="dxa"/>
          </w:tcPr>
          <w:p w14:paraId="3760F33E">
            <w:pPr>
              <w:spacing w:after="0" w:line="240" w:lineRule="auto"/>
              <w:jc w:val="center"/>
            </w:pPr>
            <w:r>
              <w:rPr>
                <w:sz w:val="18"/>
              </w:rPr>
              <w:t>0.65</w:t>
            </w:r>
          </w:p>
        </w:tc>
        <w:tc>
          <w:tcPr>
            <w:tcW w:w="1440" w:type="dxa"/>
          </w:tcPr>
          <w:p w14:paraId="20800997">
            <w:pPr>
              <w:spacing w:after="0" w:line="240" w:lineRule="auto"/>
              <w:jc w:val="center"/>
            </w:pPr>
            <w:r>
              <w:rPr>
                <w:sz w:val="18"/>
              </w:rPr>
              <w:t>-73.28%</w:t>
            </w:r>
          </w:p>
        </w:tc>
        <w:tc>
          <w:tcPr>
            <w:tcW w:w="1440" w:type="dxa"/>
          </w:tcPr>
          <w:p w14:paraId="5621E383">
            <w:pPr>
              <w:spacing w:after="0" w:line="240" w:lineRule="auto"/>
              <w:jc w:val="center"/>
            </w:pPr>
            <w:r>
              <w:rPr>
                <w:sz w:val="18"/>
              </w:rPr>
              <w:t>36.35%</w:t>
            </w:r>
          </w:p>
        </w:tc>
        <w:tc>
          <w:tcPr>
            <w:tcW w:w="1440" w:type="dxa"/>
          </w:tcPr>
          <w:p w14:paraId="18B416B3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  <w:tr w14:paraId="6BD0F3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6C000B93">
            <w:pPr>
              <w:spacing w:after="0" w:line="240" w:lineRule="auto"/>
              <w:jc w:val="center"/>
            </w:pPr>
            <w:r>
              <w:rPr>
                <w:sz w:val="18"/>
              </w:rPr>
              <w:t>VT=10%, L=24</w:t>
            </w:r>
          </w:p>
        </w:tc>
        <w:tc>
          <w:tcPr>
            <w:tcW w:w="1440" w:type="dxa"/>
          </w:tcPr>
          <w:p w14:paraId="59520693">
            <w:pPr>
              <w:spacing w:after="0" w:line="240" w:lineRule="auto"/>
              <w:jc w:val="center"/>
            </w:pPr>
            <w:r>
              <w:rPr>
                <w:sz w:val="18"/>
              </w:rPr>
              <w:t>13.61%</w:t>
            </w:r>
          </w:p>
        </w:tc>
        <w:tc>
          <w:tcPr>
            <w:tcW w:w="1440" w:type="dxa"/>
          </w:tcPr>
          <w:p w14:paraId="13F40FF4">
            <w:pPr>
              <w:spacing w:after="0" w:line="240" w:lineRule="auto"/>
              <w:jc w:val="center"/>
            </w:pPr>
            <w:r>
              <w:rPr>
                <w:sz w:val="18"/>
              </w:rPr>
              <w:t>0.82</w:t>
            </w:r>
          </w:p>
        </w:tc>
        <w:tc>
          <w:tcPr>
            <w:tcW w:w="1440" w:type="dxa"/>
          </w:tcPr>
          <w:p w14:paraId="284A0110">
            <w:pPr>
              <w:spacing w:after="0" w:line="240" w:lineRule="auto"/>
              <w:jc w:val="center"/>
            </w:pPr>
            <w:r>
              <w:rPr>
                <w:sz w:val="18"/>
              </w:rPr>
              <w:t>-31.57%</w:t>
            </w:r>
          </w:p>
        </w:tc>
        <w:tc>
          <w:tcPr>
            <w:tcW w:w="1440" w:type="dxa"/>
          </w:tcPr>
          <w:p w14:paraId="69DCF298">
            <w:pPr>
              <w:spacing w:after="0" w:line="240" w:lineRule="auto"/>
              <w:jc w:val="center"/>
            </w:pPr>
            <w:r>
              <w:rPr>
                <w:sz w:val="18"/>
              </w:rPr>
              <w:t>17.27%</w:t>
            </w:r>
          </w:p>
        </w:tc>
        <w:tc>
          <w:tcPr>
            <w:tcW w:w="1440" w:type="dxa"/>
          </w:tcPr>
          <w:p w14:paraId="64361103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  <w:tr w14:paraId="4E63FC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73F2735C">
            <w:pPr>
              <w:spacing w:after="0" w:line="240" w:lineRule="auto"/>
              <w:jc w:val="center"/>
            </w:pPr>
            <w:r>
              <w:rPr>
                <w:sz w:val="18"/>
              </w:rPr>
              <w:t>VT=12%, L=24</w:t>
            </w:r>
          </w:p>
        </w:tc>
        <w:tc>
          <w:tcPr>
            <w:tcW w:w="1440" w:type="dxa"/>
          </w:tcPr>
          <w:p w14:paraId="401D9091">
            <w:pPr>
              <w:spacing w:after="0" w:line="240" w:lineRule="auto"/>
              <w:jc w:val="center"/>
            </w:pPr>
            <w:r>
              <w:rPr>
                <w:sz w:val="18"/>
              </w:rPr>
              <w:t>22.14%</w:t>
            </w:r>
          </w:p>
        </w:tc>
        <w:tc>
          <w:tcPr>
            <w:tcW w:w="1440" w:type="dxa"/>
          </w:tcPr>
          <w:p w14:paraId="508EE235">
            <w:pPr>
              <w:spacing w:after="0" w:line="240" w:lineRule="auto"/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w="1440" w:type="dxa"/>
          </w:tcPr>
          <w:p w14:paraId="198A6357">
            <w:pPr>
              <w:spacing w:after="0" w:line="240" w:lineRule="auto"/>
              <w:jc w:val="center"/>
            </w:pPr>
            <w:r>
              <w:rPr>
                <w:sz w:val="18"/>
              </w:rPr>
              <w:t>-16.61%</w:t>
            </w:r>
          </w:p>
        </w:tc>
        <w:tc>
          <w:tcPr>
            <w:tcW w:w="1440" w:type="dxa"/>
          </w:tcPr>
          <w:p w14:paraId="0C033A92">
            <w:pPr>
              <w:spacing w:after="0" w:line="240" w:lineRule="auto"/>
              <w:jc w:val="center"/>
            </w:pPr>
            <w:r>
              <w:rPr>
                <w:sz w:val="18"/>
              </w:rPr>
              <w:t>21.36%</w:t>
            </w:r>
          </w:p>
        </w:tc>
        <w:tc>
          <w:tcPr>
            <w:tcW w:w="1440" w:type="dxa"/>
          </w:tcPr>
          <w:p w14:paraId="214531B0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51A70C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63BFC53B">
            <w:pPr>
              <w:spacing w:after="0" w:line="240" w:lineRule="auto"/>
              <w:jc w:val="center"/>
            </w:pPr>
            <w:r>
              <w:rPr>
                <w:sz w:val="18"/>
              </w:rPr>
              <w:t>VT=15%, L=24</w:t>
            </w:r>
          </w:p>
        </w:tc>
        <w:tc>
          <w:tcPr>
            <w:tcW w:w="1440" w:type="dxa"/>
          </w:tcPr>
          <w:p w14:paraId="474BFD91">
            <w:pPr>
              <w:spacing w:after="0" w:line="240" w:lineRule="auto"/>
              <w:jc w:val="center"/>
            </w:pPr>
            <w:r>
              <w:rPr>
                <w:sz w:val="18"/>
              </w:rPr>
              <w:t>18.50%</w:t>
            </w:r>
          </w:p>
        </w:tc>
        <w:tc>
          <w:tcPr>
            <w:tcW w:w="1440" w:type="dxa"/>
          </w:tcPr>
          <w:p w14:paraId="3D9E3340">
            <w:pPr>
              <w:spacing w:after="0" w:line="240" w:lineRule="auto"/>
              <w:jc w:val="center"/>
            </w:pPr>
            <w:r>
              <w:rPr>
                <w:sz w:val="18"/>
              </w:rPr>
              <w:t>0.78</w:t>
            </w:r>
          </w:p>
        </w:tc>
        <w:tc>
          <w:tcPr>
            <w:tcW w:w="1440" w:type="dxa"/>
          </w:tcPr>
          <w:p w14:paraId="75805DEF">
            <w:pPr>
              <w:spacing w:after="0" w:line="240" w:lineRule="auto"/>
              <w:jc w:val="center"/>
            </w:pPr>
            <w:r>
              <w:rPr>
                <w:sz w:val="18"/>
              </w:rPr>
              <w:t>-35.20%</w:t>
            </w:r>
          </w:p>
        </w:tc>
        <w:tc>
          <w:tcPr>
            <w:tcW w:w="1440" w:type="dxa"/>
          </w:tcPr>
          <w:p w14:paraId="4AB580D4">
            <w:pPr>
              <w:spacing w:after="0" w:line="240" w:lineRule="auto"/>
              <w:jc w:val="center"/>
            </w:pPr>
            <w:r>
              <w:rPr>
                <w:sz w:val="18"/>
              </w:rPr>
              <w:t>22.10%</w:t>
            </w:r>
          </w:p>
        </w:tc>
        <w:tc>
          <w:tcPr>
            <w:tcW w:w="1440" w:type="dxa"/>
          </w:tcPr>
          <w:p w14:paraId="7586B7EB">
            <w:pPr>
              <w:spacing w:after="0" w:line="240" w:lineRule="auto"/>
              <w:jc w:val="center"/>
            </w:pPr>
            <w:r>
              <w:rPr>
                <w:sz w:val="18"/>
              </w:rPr>
              <w:t>540%</w:t>
            </w:r>
          </w:p>
        </w:tc>
      </w:tr>
    </w:tbl>
    <w:p w14:paraId="6727B917">
      <w:r>
        <w:rPr>
          <w:rFonts w:ascii="宋体" w:hAnsi="宋体" w:eastAsia="宋体"/>
          <w:b w:val="0"/>
          <w:sz w:val="22"/>
        </w:rPr>
        <w:t>Vol Targeting不创造alpha，但通过波动率锚定改善风险调整后收益。VT=12%+L=24配置：夏普1.04，回撤-16.61%。修正前视偏差后，VT的夏普提升效果减弱，因为滚动波动率滞后估计导致高波动时期的降仓时机延后。VT的本质是"高波动时降仓、低波动时加仓"——当策略近期波动率高于12%目标时自动减仓，低于12%时允许加仓至200%。这使得β_MKT从0.594降至0.446，策略市场暴露有所降低但不如原先估计显著。L=24（2年窗口）效果最好，短期窗口(L=6)反应过度。</w:t>
      </w:r>
    </w:p>
    <w:p w14:paraId="3487E4E2">
      <w:r>
        <w:rPr>
          <w:rFonts w:ascii="宋体" w:hAnsi="宋体" w:eastAsia="宋体"/>
          <w:b/>
          <w:sz w:val="22"/>
        </w:rPr>
        <w:t>⑤ 回撤止损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7CCDA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560647B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1728" w:type="dxa"/>
          </w:tcPr>
          <w:p w14:paraId="7FBBEE9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5C0A4D7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728" w:type="dxa"/>
          </w:tcPr>
          <w:p w14:paraId="4496F8B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674C70F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4CAC1A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37DB91CC">
            <w:pPr>
              <w:spacing w:after="0" w:line="240" w:lineRule="auto"/>
              <w:jc w:val="center"/>
            </w:pPr>
            <w:r>
              <w:rPr>
                <w:sz w:val="18"/>
              </w:rPr>
              <w:t>紧阈值(10/15/25)</w:t>
            </w:r>
          </w:p>
        </w:tc>
        <w:tc>
          <w:tcPr>
            <w:tcW w:w="1728" w:type="dxa"/>
          </w:tcPr>
          <w:p w14:paraId="28841741">
            <w:pPr>
              <w:spacing w:after="0" w:line="240" w:lineRule="auto"/>
              <w:jc w:val="center"/>
            </w:pPr>
            <w:r>
              <w:rPr>
                <w:sz w:val="18"/>
              </w:rPr>
              <w:t>12.81%</w:t>
            </w:r>
          </w:p>
        </w:tc>
        <w:tc>
          <w:tcPr>
            <w:tcW w:w="1728" w:type="dxa"/>
          </w:tcPr>
          <w:p w14:paraId="3179D62C">
            <w:pPr>
              <w:spacing w:after="0" w:line="240" w:lineRule="auto"/>
              <w:jc w:val="center"/>
            </w:pPr>
            <w:r>
              <w:rPr>
                <w:sz w:val="18"/>
              </w:rPr>
              <w:t>0.91</w:t>
            </w:r>
          </w:p>
        </w:tc>
        <w:tc>
          <w:tcPr>
            <w:tcW w:w="1728" w:type="dxa"/>
          </w:tcPr>
          <w:p w14:paraId="627C74C1">
            <w:pPr>
              <w:spacing w:after="0" w:line="240" w:lineRule="auto"/>
              <w:jc w:val="center"/>
            </w:pPr>
            <w:r>
              <w:rPr>
                <w:sz w:val="18"/>
              </w:rPr>
              <w:t>-9.03%</w:t>
            </w:r>
          </w:p>
        </w:tc>
        <w:tc>
          <w:tcPr>
            <w:tcW w:w="1728" w:type="dxa"/>
          </w:tcPr>
          <w:p w14:paraId="662D8A12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  <w:tr w14:paraId="7DA23F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7CA785B">
            <w:pPr>
              <w:spacing w:after="0" w:line="240" w:lineRule="auto"/>
              <w:jc w:val="center"/>
            </w:pPr>
            <w:r>
              <w:rPr>
                <w:sz w:val="18"/>
              </w:rPr>
              <w:t>极宽阈值(25/35/50)+MA</w:t>
            </w:r>
          </w:p>
        </w:tc>
        <w:tc>
          <w:tcPr>
            <w:tcW w:w="1728" w:type="dxa"/>
          </w:tcPr>
          <w:p w14:paraId="602DCAA9">
            <w:pPr>
              <w:spacing w:after="0" w:line="240" w:lineRule="auto"/>
              <w:jc w:val="center"/>
            </w:pPr>
            <w:r>
              <w:rPr>
                <w:sz w:val="18"/>
              </w:rPr>
              <w:t>25.40%</w:t>
            </w:r>
          </w:p>
        </w:tc>
        <w:tc>
          <w:tcPr>
            <w:tcW w:w="1728" w:type="dxa"/>
          </w:tcPr>
          <w:p w14:paraId="7BBF260C">
            <w:pPr>
              <w:spacing w:after="0" w:line="240" w:lineRule="auto"/>
              <w:jc w:val="center"/>
            </w:pPr>
            <w:r>
              <w:rPr>
                <w:sz w:val="18"/>
              </w:rPr>
              <w:t>0.99</w:t>
            </w:r>
          </w:p>
        </w:tc>
        <w:tc>
          <w:tcPr>
            <w:tcW w:w="1728" w:type="dxa"/>
          </w:tcPr>
          <w:p w14:paraId="7556B2C5">
            <w:pPr>
              <w:spacing w:after="0" w:line="240" w:lineRule="auto"/>
              <w:jc w:val="center"/>
            </w:pPr>
            <w:r>
              <w:rPr>
                <w:sz w:val="18"/>
              </w:rPr>
              <w:t>-28.88%</w:t>
            </w:r>
          </w:p>
        </w:tc>
        <w:tc>
          <w:tcPr>
            <w:tcW w:w="1728" w:type="dxa"/>
          </w:tcPr>
          <w:p w14:paraId="026022E4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</w:tbl>
    <w:p w14:paraId="7DF98370">
      <w:r>
        <w:rPr>
          <w:rFonts w:ascii="宋体" w:hAnsi="宋体" w:eastAsia="宋体"/>
          <w:b w:val="0"/>
          <w:sz w:val="22"/>
        </w:rPr>
        <w:t>回撤止损单独使用时紧阈值效果最好（夏普0.91，回撤仅-9.03%），但年化收益仅12.81%。与MA过滤器组合后，极宽阈值更优（夏普0.99，年化25.40%），因为MA已承担主要风控功能，止损仅需封堵极端尾部。单独使用回撤止损会"割在反弹前"——MA已规避熊市，止损在震荡市中过早触发反而损害收益。</w:t>
      </w:r>
    </w:p>
    <w:p w14:paraId="288A0A5E">
      <w:r>
        <w:rPr>
          <w:rFonts w:ascii="宋体" w:hAnsi="宋体" w:eastAsia="宋体"/>
          <w:b/>
          <w:sz w:val="22"/>
        </w:rPr>
        <w:t>失败方向</w:t>
      </w:r>
    </w:p>
    <w:p w14:paraId="70E775A4">
      <w:r>
        <w:rPr>
          <w:rFonts w:ascii="宋体" w:hAnsi="宋体" w:eastAsia="宋体"/>
          <w:b/>
          <w:sz w:val="22"/>
        </w:rPr>
        <w:t>⑥ 双均线交叉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7716C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3B71F0B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1728" w:type="dxa"/>
          </w:tcPr>
          <w:p w14:paraId="3A5D311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201DFB6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728" w:type="dxa"/>
          </w:tcPr>
          <w:p w14:paraId="2860CE2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37D7DD1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00A121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0C42369C">
            <w:pPr>
              <w:spacing w:after="0" w:line="240" w:lineRule="auto"/>
              <w:jc w:val="center"/>
            </w:pPr>
            <w:r>
              <w:rPr>
                <w:sz w:val="18"/>
              </w:rPr>
              <w:t>单均线(MA12)</w:t>
            </w:r>
          </w:p>
        </w:tc>
        <w:tc>
          <w:tcPr>
            <w:tcW w:w="1728" w:type="dxa"/>
          </w:tcPr>
          <w:p w14:paraId="7DB127A2">
            <w:pPr>
              <w:spacing w:after="0" w:line="240" w:lineRule="auto"/>
              <w:jc w:val="center"/>
            </w:pPr>
            <w:r>
              <w:rPr>
                <w:sz w:val="18"/>
              </w:rPr>
              <w:t>22.14%</w:t>
            </w:r>
          </w:p>
        </w:tc>
        <w:tc>
          <w:tcPr>
            <w:tcW w:w="1728" w:type="dxa"/>
          </w:tcPr>
          <w:p w14:paraId="23F4B0D4">
            <w:pPr>
              <w:spacing w:after="0" w:line="240" w:lineRule="auto"/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w="1728" w:type="dxa"/>
          </w:tcPr>
          <w:p w14:paraId="5EDCBC7B">
            <w:pPr>
              <w:spacing w:after="0" w:line="240" w:lineRule="auto"/>
              <w:jc w:val="center"/>
            </w:pPr>
            <w:r>
              <w:rPr>
                <w:sz w:val="18"/>
              </w:rPr>
              <w:t>-16.61%</w:t>
            </w:r>
          </w:p>
        </w:tc>
        <w:tc>
          <w:tcPr>
            <w:tcW w:w="1728" w:type="dxa"/>
          </w:tcPr>
          <w:p w14:paraId="62B3311A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7F19D3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17D0DA61">
            <w:pPr>
              <w:spacing w:after="0" w:line="240" w:lineRule="auto"/>
              <w:jc w:val="center"/>
            </w:pPr>
            <w:r>
              <w:rPr>
                <w:sz w:val="18"/>
              </w:rPr>
              <w:t>双均线(MA6/MA24)</w:t>
            </w:r>
          </w:p>
        </w:tc>
        <w:tc>
          <w:tcPr>
            <w:tcW w:w="1728" w:type="dxa"/>
          </w:tcPr>
          <w:p w14:paraId="0B6A8FF3">
            <w:pPr>
              <w:spacing w:after="0" w:line="240" w:lineRule="auto"/>
              <w:jc w:val="center"/>
            </w:pPr>
            <w:r>
              <w:rPr>
                <w:sz w:val="18"/>
              </w:rPr>
              <w:t>21.65%</w:t>
            </w:r>
          </w:p>
        </w:tc>
        <w:tc>
          <w:tcPr>
            <w:tcW w:w="1728" w:type="dxa"/>
          </w:tcPr>
          <w:p w14:paraId="7F0B164D">
            <w:pPr>
              <w:spacing w:after="0" w:line="240" w:lineRule="auto"/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w="1728" w:type="dxa"/>
          </w:tcPr>
          <w:p w14:paraId="4AD903D8">
            <w:pPr>
              <w:spacing w:after="0" w:line="240" w:lineRule="auto"/>
              <w:jc w:val="center"/>
            </w:pPr>
            <w:r>
              <w:rPr>
                <w:sz w:val="18"/>
              </w:rPr>
              <w:t>-21.21%</w:t>
            </w:r>
          </w:p>
        </w:tc>
        <w:tc>
          <w:tcPr>
            <w:tcW w:w="1728" w:type="dxa"/>
          </w:tcPr>
          <w:p w14:paraId="0341D095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</w:tbl>
    <w:p w14:paraId="497A3191">
      <w:r>
        <w:rPr>
          <w:rFonts w:ascii="宋体" w:hAnsi="宋体" w:eastAsia="宋体"/>
          <w:b w:val="0"/>
          <w:sz w:val="22"/>
        </w:rPr>
        <w:t>双均线交叉过于敏感，频繁误判市场状态。MA6上穿MA24时开仓、下穿时降仓的逻辑在月度频率下产生过多假信号，导致策略在震荡市中反复开仓降仓，拖累收益。</w:t>
      </w:r>
    </w:p>
    <w:p w14:paraId="2B52C34D">
      <w:r>
        <w:rPr>
          <w:rFonts w:ascii="宋体" w:hAnsi="宋体" w:eastAsia="宋体"/>
          <w:b/>
          <w:sz w:val="22"/>
        </w:rPr>
        <w:t>⑦ 波动率状态降仓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44A5E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574BFCC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1728" w:type="dxa"/>
          </w:tcPr>
          <w:p w14:paraId="1232C21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63F8615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728" w:type="dxa"/>
          </w:tcPr>
          <w:p w14:paraId="2225BB3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1686C5C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259066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5187DA7">
            <w:pPr>
              <w:spacing w:after="0" w:line="240" w:lineRule="auto"/>
              <w:jc w:val="center"/>
            </w:pPr>
            <w:r>
              <w:rPr>
                <w:sz w:val="18"/>
              </w:rPr>
              <w:t>基准</w:t>
            </w:r>
          </w:p>
        </w:tc>
        <w:tc>
          <w:tcPr>
            <w:tcW w:w="1728" w:type="dxa"/>
          </w:tcPr>
          <w:p w14:paraId="3CC64D12">
            <w:pPr>
              <w:spacing w:after="0" w:line="240" w:lineRule="auto"/>
              <w:jc w:val="center"/>
            </w:pPr>
            <w:r>
              <w:rPr>
                <w:sz w:val="18"/>
              </w:rPr>
              <w:t>22.14%</w:t>
            </w:r>
          </w:p>
        </w:tc>
        <w:tc>
          <w:tcPr>
            <w:tcW w:w="1728" w:type="dxa"/>
          </w:tcPr>
          <w:p w14:paraId="5BE70113">
            <w:pPr>
              <w:spacing w:after="0" w:line="240" w:lineRule="auto"/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w="1728" w:type="dxa"/>
          </w:tcPr>
          <w:p w14:paraId="3A29DE88">
            <w:pPr>
              <w:spacing w:after="0" w:line="240" w:lineRule="auto"/>
              <w:jc w:val="center"/>
            </w:pPr>
            <w:r>
              <w:rPr>
                <w:sz w:val="18"/>
              </w:rPr>
              <w:t>-16.61%</w:t>
            </w:r>
          </w:p>
        </w:tc>
        <w:tc>
          <w:tcPr>
            <w:tcW w:w="1728" w:type="dxa"/>
          </w:tcPr>
          <w:p w14:paraId="04682545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66CF65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3B355E82">
            <w:pPr>
              <w:spacing w:after="0" w:line="240" w:lineRule="auto"/>
              <w:jc w:val="center"/>
            </w:pPr>
            <w:r>
              <w:rPr>
                <w:sz w:val="18"/>
              </w:rPr>
              <w:t>波动率飙升时降仓</w:t>
            </w:r>
          </w:p>
        </w:tc>
        <w:tc>
          <w:tcPr>
            <w:tcW w:w="1728" w:type="dxa"/>
          </w:tcPr>
          <w:p w14:paraId="7B40AB21">
            <w:pPr>
              <w:spacing w:after="0" w:line="240" w:lineRule="auto"/>
              <w:jc w:val="center"/>
            </w:pPr>
            <w:r>
              <w:rPr>
                <w:sz w:val="18"/>
              </w:rPr>
              <w:t>21.71%</w:t>
            </w:r>
          </w:p>
        </w:tc>
        <w:tc>
          <w:tcPr>
            <w:tcW w:w="1728" w:type="dxa"/>
          </w:tcPr>
          <w:p w14:paraId="2B0FF46D">
            <w:pPr>
              <w:spacing w:after="0" w:line="240" w:lineRule="auto"/>
              <w:jc w:val="center"/>
            </w:pPr>
            <w:r>
              <w:rPr>
                <w:sz w:val="18"/>
              </w:rPr>
              <w:t>1.02</w:t>
            </w:r>
          </w:p>
        </w:tc>
        <w:tc>
          <w:tcPr>
            <w:tcW w:w="1728" w:type="dxa"/>
          </w:tcPr>
          <w:p w14:paraId="3A16DB9A">
            <w:pPr>
              <w:spacing w:after="0" w:line="240" w:lineRule="auto"/>
              <w:jc w:val="center"/>
            </w:pPr>
            <w:r>
              <w:rPr>
                <w:sz w:val="18"/>
              </w:rPr>
              <w:t>-21.18%</w:t>
            </w:r>
          </w:p>
        </w:tc>
        <w:tc>
          <w:tcPr>
            <w:tcW w:w="1728" w:type="dxa"/>
          </w:tcPr>
          <w:p w14:paraId="50E4ECD1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</w:tbl>
    <w:p w14:paraId="2F9B792E">
      <w:r>
        <w:rPr>
          <w:rFonts w:ascii="宋体" w:hAnsi="宋体" w:eastAsia="宋体"/>
          <w:b w:val="0"/>
          <w:sz w:val="22"/>
        </w:rPr>
        <w:t>波动率飙升后降仓反而错过反弹——A股市场波动率飙升往往发生在市场急跌后，此时恰恰是反转因子最有效的时期（熊市震荡期月均3.34%，t=4.11）。波动率状态降仓的逻辑与反转策略的逻辑直接矛盾。</w:t>
      </w:r>
    </w:p>
    <w:p w14:paraId="5563D84D">
      <w:r>
        <w:rPr>
          <w:rFonts w:ascii="宋体" w:hAnsi="宋体" w:eastAsia="宋体"/>
          <w:b/>
          <w:sz w:val="22"/>
        </w:rPr>
        <w:t>⑧ 相关性止损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8AB8D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071F324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1728" w:type="dxa"/>
          </w:tcPr>
          <w:p w14:paraId="2BFC735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69D8845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728" w:type="dxa"/>
          </w:tcPr>
          <w:p w14:paraId="2AD6049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63749D5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4DD562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69761927">
            <w:pPr>
              <w:spacing w:after="0" w:line="240" w:lineRule="auto"/>
              <w:jc w:val="center"/>
            </w:pPr>
            <w:r>
              <w:rPr>
                <w:sz w:val="18"/>
              </w:rPr>
              <w:t>基准</w:t>
            </w:r>
          </w:p>
        </w:tc>
        <w:tc>
          <w:tcPr>
            <w:tcW w:w="1728" w:type="dxa"/>
          </w:tcPr>
          <w:p w14:paraId="0AB788E1">
            <w:pPr>
              <w:spacing w:after="0" w:line="240" w:lineRule="auto"/>
              <w:jc w:val="center"/>
            </w:pPr>
            <w:r>
              <w:rPr>
                <w:sz w:val="18"/>
              </w:rPr>
              <w:t>22.14%</w:t>
            </w:r>
          </w:p>
        </w:tc>
        <w:tc>
          <w:tcPr>
            <w:tcW w:w="1728" w:type="dxa"/>
          </w:tcPr>
          <w:p w14:paraId="4C9D65A4">
            <w:pPr>
              <w:spacing w:after="0" w:line="240" w:lineRule="auto"/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w="1728" w:type="dxa"/>
          </w:tcPr>
          <w:p w14:paraId="3A8AE182">
            <w:pPr>
              <w:spacing w:after="0" w:line="240" w:lineRule="auto"/>
              <w:jc w:val="center"/>
            </w:pPr>
            <w:r>
              <w:rPr>
                <w:sz w:val="18"/>
              </w:rPr>
              <w:t>-16.61%</w:t>
            </w:r>
          </w:p>
        </w:tc>
        <w:tc>
          <w:tcPr>
            <w:tcW w:w="1728" w:type="dxa"/>
          </w:tcPr>
          <w:p w14:paraId="0FFEF382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2D309D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5FF8DC49">
            <w:pPr>
              <w:spacing w:after="0" w:line="240" w:lineRule="auto"/>
              <w:jc w:val="center"/>
            </w:pPr>
            <w:r>
              <w:rPr>
                <w:sz w:val="18"/>
              </w:rPr>
              <w:t>相关性止损</w:t>
            </w:r>
          </w:p>
        </w:tc>
        <w:tc>
          <w:tcPr>
            <w:tcW w:w="1728" w:type="dxa"/>
          </w:tcPr>
          <w:p w14:paraId="3773F9BF">
            <w:pPr>
              <w:spacing w:after="0" w:line="240" w:lineRule="auto"/>
              <w:jc w:val="center"/>
            </w:pPr>
            <w:r>
              <w:rPr>
                <w:sz w:val="18"/>
              </w:rPr>
              <w:t>22.12%</w:t>
            </w:r>
          </w:p>
        </w:tc>
        <w:tc>
          <w:tcPr>
            <w:tcW w:w="1728" w:type="dxa"/>
          </w:tcPr>
          <w:p w14:paraId="130194C5">
            <w:pPr>
              <w:spacing w:after="0" w:line="240" w:lineRule="auto"/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w="1728" w:type="dxa"/>
          </w:tcPr>
          <w:p w14:paraId="58289BC2">
            <w:pPr>
              <w:spacing w:after="0" w:line="240" w:lineRule="auto"/>
              <w:jc w:val="center"/>
            </w:pPr>
            <w:r>
              <w:rPr>
                <w:sz w:val="18"/>
              </w:rPr>
              <w:t>-16.61%</w:t>
            </w:r>
          </w:p>
        </w:tc>
        <w:tc>
          <w:tcPr>
            <w:tcW w:w="1728" w:type="dxa"/>
          </w:tcPr>
          <w:p w14:paraId="2D66E015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</w:tbl>
    <w:p w14:paraId="25D3E64D">
      <w:r>
        <w:rPr>
          <w:rFonts w:ascii="宋体" w:hAnsi="宋体" w:eastAsia="宋体"/>
          <w:b w:val="0"/>
          <w:sz w:val="22"/>
        </w:rPr>
        <w:t>当持仓股票间相关性突然上升时主动降仓，逻辑上合理（相关性上升意味着分散化失效），但实际效果微弱负面。月度频率下相关性变化滞后，且相关性上升后往往伴随市场反弹。</w:t>
      </w:r>
    </w:p>
    <w:p w14:paraId="64B51045">
      <w:r>
        <w:br w:type="page"/>
      </w:r>
    </w:p>
    <w:p w14:paraId="6E97849C">
      <w:pPr>
        <w:pStyle w:val="4"/>
      </w:pPr>
      <w:r>
        <w:t>2.5 组合构建类优化</w:t>
      </w:r>
    </w:p>
    <w:p w14:paraId="085A9780">
      <w:r>
        <w:rPr>
          <w:rFonts w:ascii="宋体" w:hAnsi="宋体" w:eastAsia="宋体"/>
          <w:b w:val="0"/>
          <w:sz w:val="22"/>
        </w:rPr>
        <w:t>目标：优化组合权重分配和选股规则，提升风险调整后收益。</w:t>
      </w:r>
    </w:p>
    <w:p w14:paraId="3D4AAE09">
      <w:r>
        <w:rPr>
          <w:rFonts w:ascii="宋体" w:hAnsi="宋体" w:eastAsia="宋体"/>
          <w:b/>
          <w:sz w:val="22"/>
        </w:rPr>
        <w:t>成功方向</w:t>
      </w:r>
    </w:p>
    <w:p w14:paraId="7E05EBAB">
      <w:r>
        <w:rPr>
          <w:rFonts w:ascii="宋体" w:hAnsi="宋体" w:eastAsia="宋体"/>
          <w:b/>
          <w:sz w:val="22"/>
        </w:rPr>
        <w:t>① 最小方差权重(1/σ²)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E7A31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61641E6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权重方案</w:t>
            </w:r>
          </w:p>
        </w:tc>
        <w:tc>
          <w:tcPr>
            <w:tcW w:w="2160" w:type="dxa"/>
          </w:tcPr>
          <w:p w14:paraId="57898D0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2160" w:type="dxa"/>
          </w:tcPr>
          <w:p w14:paraId="2F8FA70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2160" w:type="dxa"/>
          </w:tcPr>
          <w:p w14:paraId="3632F4E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6B9E7229">
        <w:trPr>
          <w:jc w:val="center"/>
        </w:trPr>
        <w:tc>
          <w:tcPr>
            <w:tcW w:w="2160" w:type="dxa"/>
          </w:tcPr>
          <w:p w14:paraId="69A2A24D">
            <w:pPr>
              <w:spacing w:after="0" w:line="240" w:lineRule="auto"/>
              <w:jc w:val="center"/>
            </w:pPr>
            <w:r>
              <w:rPr>
                <w:sz w:val="18"/>
              </w:rPr>
              <w:t>等权(基准)</w:t>
            </w:r>
          </w:p>
        </w:tc>
        <w:tc>
          <w:tcPr>
            <w:tcW w:w="2160" w:type="dxa"/>
          </w:tcPr>
          <w:p w14:paraId="116EF390">
            <w:pPr>
              <w:spacing w:after="0" w:line="240" w:lineRule="auto"/>
              <w:jc w:val="center"/>
            </w:pPr>
            <w:r>
              <w:rPr>
                <w:sz w:val="18"/>
              </w:rPr>
              <w:t>0.98</w:t>
            </w:r>
          </w:p>
        </w:tc>
        <w:tc>
          <w:tcPr>
            <w:tcW w:w="2160" w:type="dxa"/>
          </w:tcPr>
          <w:p w14:paraId="563773B8">
            <w:pPr>
              <w:spacing w:after="0" w:line="240" w:lineRule="auto"/>
              <w:jc w:val="center"/>
            </w:pPr>
            <w:r>
              <w:rPr>
                <w:sz w:val="18"/>
              </w:rPr>
              <w:t>-37.60%</w:t>
            </w:r>
          </w:p>
        </w:tc>
        <w:tc>
          <w:tcPr>
            <w:tcW w:w="2160" w:type="dxa"/>
          </w:tcPr>
          <w:p w14:paraId="404D6A8A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  <w:tr w14:paraId="0B71B2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5AC7BB44">
            <w:pPr>
              <w:spacing w:after="0" w:line="240" w:lineRule="auto"/>
              <w:jc w:val="center"/>
            </w:pPr>
            <w:r>
              <w:rPr>
                <w:sz w:val="18"/>
              </w:rPr>
              <w:t>风险平价(1/σ)</w:t>
            </w:r>
          </w:p>
        </w:tc>
        <w:tc>
          <w:tcPr>
            <w:tcW w:w="2160" w:type="dxa"/>
          </w:tcPr>
          <w:p w14:paraId="3012775B">
            <w:pPr>
              <w:spacing w:after="0" w:line="240" w:lineRule="auto"/>
              <w:jc w:val="center"/>
            </w:pPr>
            <w:r>
              <w:rPr>
                <w:sz w:val="18"/>
              </w:rPr>
              <w:t>1.02</w:t>
            </w:r>
          </w:p>
        </w:tc>
        <w:tc>
          <w:tcPr>
            <w:tcW w:w="2160" w:type="dxa"/>
          </w:tcPr>
          <w:p w14:paraId="34DEF4AB">
            <w:pPr>
              <w:spacing w:after="0" w:line="240" w:lineRule="auto"/>
              <w:jc w:val="center"/>
            </w:pPr>
            <w:r>
              <w:rPr>
                <w:sz w:val="18"/>
              </w:rPr>
              <w:t>-37.25%</w:t>
            </w:r>
          </w:p>
        </w:tc>
        <w:tc>
          <w:tcPr>
            <w:tcW w:w="2160" w:type="dxa"/>
          </w:tcPr>
          <w:p w14:paraId="32ECE4EE">
            <w:pPr>
              <w:spacing w:after="0" w:line="240" w:lineRule="auto"/>
              <w:jc w:val="center"/>
            </w:pPr>
            <w:r>
              <w:rPr>
                <w:sz w:val="18"/>
              </w:rPr>
              <w:t>631%</w:t>
            </w:r>
          </w:p>
        </w:tc>
      </w:tr>
      <w:tr w14:paraId="1DBE5778">
        <w:trPr>
          <w:jc w:val="center"/>
        </w:trPr>
        <w:tc>
          <w:tcPr>
            <w:tcW w:w="2160" w:type="dxa"/>
          </w:tcPr>
          <w:p w14:paraId="7B159CCF">
            <w:pPr>
              <w:spacing w:after="0" w:line="240" w:lineRule="auto"/>
              <w:jc w:val="center"/>
            </w:pPr>
            <w:r>
              <w:rPr>
                <w:sz w:val="18"/>
              </w:rPr>
              <w:t>最小方差(1/σ²)</w:t>
            </w:r>
          </w:p>
        </w:tc>
        <w:tc>
          <w:tcPr>
            <w:tcW w:w="2160" w:type="dxa"/>
          </w:tcPr>
          <w:p w14:paraId="1651F73E">
            <w:pPr>
              <w:spacing w:after="0" w:line="240" w:lineRule="auto"/>
              <w:jc w:val="center"/>
            </w:pPr>
            <w:r>
              <w:rPr>
                <w:sz w:val="18"/>
              </w:rPr>
              <w:t>1.06</w:t>
            </w:r>
          </w:p>
        </w:tc>
        <w:tc>
          <w:tcPr>
            <w:tcW w:w="2160" w:type="dxa"/>
          </w:tcPr>
          <w:p w14:paraId="468FB454">
            <w:pPr>
              <w:spacing w:after="0" w:line="240" w:lineRule="auto"/>
              <w:jc w:val="center"/>
            </w:pPr>
            <w:r>
              <w:rPr>
                <w:sz w:val="18"/>
              </w:rPr>
              <w:t>-36.91%</w:t>
            </w:r>
          </w:p>
        </w:tc>
        <w:tc>
          <w:tcPr>
            <w:tcW w:w="2160" w:type="dxa"/>
          </w:tcPr>
          <w:p w14:paraId="71915138">
            <w:pPr>
              <w:spacing w:after="0" w:line="240" w:lineRule="auto"/>
              <w:jc w:val="center"/>
            </w:pPr>
            <w:r>
              <w:rPr>
                <w:sz w:val="18"/>
              </w:rPr>
              <w:t>690%</w:t>
            </w:r>
          </w:p>
        </w:tc>
      </w:tr>
      <w:tr w14:paraId="1924AC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0FAE43A1">
            <w:pPr>
              <w:spacing w:after="0" w:line="240" w:lineRule="auto"/>
              <w:jc w:val="center"/>
            </w:pPr>
            <w:r>
              <w:rPr>
                <w:sz w:val="18"/>
              </w:rPr>
              <w:t>信号加权(α/σ²)</w:t>
            </w:r>
          </w:p>
        </w:tc>
        <w:tc>
          <w:tcPr>
            <w:tcW w:w="2160" w:type="dxa"/>
          </w:tcPr>
          <w:p w14:paraId="62C6F223">
            <w:pPr>
              <w:spacing w:after="0" w:line="240" w:lineRule="auto"/>
              <w:jc w:val="center"/>
            </w:pPr>
            <w:r>
              <w:rPr>
                <w:sz w:val="18"/>
              </w:rPr>
              <w:t>1.07</w:t>
            </w:r>
          </w:p>
        </w:tc>
        <w:tc>
          <w:tcPr>
            <w:tcW w:w="2160" w:type="dxa"/>
          </w:tcPr>
          <w:p w14:paraId="6B1C83B5">
            <w:pPr>
              <w:spacing w:after="0" w:line="240" w:lineRule="auto"/>
              <w:jc w:val="center"/>
            </w:pPr>
            <w:r>
              <w:rPr>
                <w:sz w:val="18"/>
              </w:rPr>
              <w:t>-36.91%</w:t>
            </w:r>
          </w:p>
        </w:tc>
        <w:tc>
          <w:tcPr>
            <w:tcW w:w="2160" w:type="dxa"/>
          </w:tcPr>
          <w:p w14:paraId="57FBC4FF">
            <w:pPr>
              <w:spacing w:after="0" w:line="240" w:lineRule="auto"/>
              <w:jc w:val="center"/>
            </w:pPr>
            <w:r>
              <w:rPr>
                <w:sz w:val="18"/>
              </w:rPr>
              <w:t>690%</w:t>
            </w:r>
          </w:p>
        </w:tc>
      </w:tr>
    </w:tbl>
    <w:p w14:paraId="4D487B68">
      <w:r>
        <w:rPr>
          <w:rFonts w:ascii="宋体" w:hAnsi="宋体" w:eastAsia="宋体"/>
          <w:b w:val="0"/>
          <w:sz w:val="22"/>
        </w:rPr>
        <w:t>最小方差(1/σ²)权重使低波动股票获得更大权重，夏普从0.98提升至1.06（+0.08）。信号加权(α/σ²)微弱优于最小方差（夏普1.07 vs 1.06），但差异极小。在100只股票的分散组合中，权重方案的边际贡献有限——等权方案夏普也有0.98，说明分散化本身已消除了大部分非系统性风险。代价是换手率从568%增至690%（+22%），因为低波动股票权重更大但持仓变化更频繁。</w:t>
      </w:r>
    </w:p>
    <w:p w14:paraId="15FC400F">
      <w:r>
        <w:rPr>
          <w:rFonts w:ascii="宋体" w:hAnsi="宋体" w:eastAsia="宋体"/>
          <w:b/>
          <w:sz w:val="22"/>
        </w:rPr>
        <w:t>② 持仓延续(buffer=80)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0FBE3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0E7B87D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Buffer</w:t>
            </w:r>
          </w:p>
        </w:tc>
        <w:tc>
          <w:tcPr>
            <w:tcW w:w="1728" w:type="dxa"/>
          </w:tcPr>
          <w:p w14:paraId="3A35DB1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毛夏普</w:t>
            </w:r>
          </w:p>
        </w:tc>
        <w:tc>
          <w:tcPr>
            <w:tcW w:w="1728" w:type="dxa"/>
          </w:tcPr>
          <w:p w14:paraId="12AA177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净夏普(@20bps)</w:t>
            </w:r>
          </w:p>
        </w:tc>
        <w:tc>
          <w:tcPr>
            <w:tcW w:w="1728" w:type="dxa"/>
          </w:tcPr>
          <w:p w14:paraId="375D2E1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  <w:tc>
          <w:tcPr>
            <w:tcW w:w="1728" w:type="dxa"/>
          </w:tcPr>
          <w:p w14:paraId="243A249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净年化</w:t>
            </w:r>
          </w:p>
        </w:tc>
      </w:tr>
      <w:tr w14:paraId="52C7EB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88115D0">
            <w:pPr>
              <w:spacing w:after="0" w:line="240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728" w:type="dxa"/>
          </w:tcPr>
          <w:p w14:paraId="64D20D9E">
            <w:pPr>
              <w:spacing w:after="0" w:line="240" w:lineRule="auto"/>
              <w:jc w:val="center"/>
            </w:pPr>
            <w:r>
              <w:rPr>
                <w:sz w:val="18"/>
              </w:rPr>
              <w:t>1.12</w:t>
            </w:r>
          </w:p>
        </w:tc>
        <w:tc>
          <w:tcPr>
            <w:tcW w:w="1728" w:type="dxa"/>
          </w:tcPr>
          <w:p w14:paraId="4A4E20AD">
            <w:pPr>
              <w:spacing w:after="0" w:line="240" w:lineRule="auto"/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w="1728" w:type="dxa"/>
          </w:tcPr>
          <w:p w14:paraId="7CACEE30">
            <w:pPr>
              <w:spacing w:after="0" w:line="240" w:lineRule="auto"/>
              <w:jc w:val="center"/>
            </w:pPr>
            <w:r>
              <w:rPr>
                <w:sz w:val="18"/>
              </w:rPr>
              <w:t>690%</w:t>
            </w:r>
          </w:p>
        </w:tc>
        <w:tc>
          <w:tcPr>
            <w:tcW w:w="1728" w:type="dxa"/>
          </w:tcPr>
          <w:p w14:paraId="393BB09D">
            <w:pPr>
              <w:spacing w:after="0" w:line="240" w:lineRule="auto"/>
              <w:jc w:val="center"/>
            </w:pPr>
            <w:r>
              <w:rPr>
                <w:sz w:val="18"/>
              </w:rPr>
              <w:t>17.79%</w:t>
            </w:r>
          </w:p>
        </w:tc>
      </w:tr>
      <w:tr w14:paraId="26CABE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42209786">
            <w:pPr>
              <w:spacing w:after="0" w:line="240" w:lineRule="auto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28" w:type="dxa"/>
          </w:tcPr>
          <w:p w14:paraId="58DA20E9">
            <w:pPr>
              <w:spacing w:after="0" w:line="240" w:lineRule="auto"/>
              <w:jc w:val="center"/>
            </w:pPr>
            <w:r>
              <w:rPr>
                <w:sz w:val="18"/>
              </w:rPr>
              <w:t>1.12</w:t>
            </w:r>
          </w:p>
        </w:tc>
        <w:tc>
          <w:tcPr>
            <w:tcW w:w="1728" w:type="dxa"/>
          </w:tcPr>
          <w:p w14:paraId="776E078F">
            <w:pPr>
              <w:spacing w:after="0" w:line="240" w:lineRule="auto"/>
              <w:jc w:val="center"/>
            </w:pPr>
            <w:r>
              <w:rPr>
                <w:sz w:val="18"/>
              </w:rPr>
              <w:t>1.05</w:t>
            </w:r>
          </w:p>
        </w:tc>
        <w:tc>
          <w:tcPr>
            <w:tcW w:w="1728" w:type="dxa"/>
          </w:tcPr>
          <w:p w14:paraId="67A41DF7">
            <w:pPr>
              <w:spacing w:after="0" w:line="240" w:lineRule="auto"/>
              <w:jc w:val="center"/>
            </w:pPr>
            <w:r>
              <w:rPr>
                <w:sz w:val="18"/>
              </w:rPr>
              <w:t>638%</w:t>
            </w:r>
          </w:p>
        </w:tc>
        <w:tc>
          <w:tcPr>
            <w:tcW w:w="1728" w:type="dxa"/>
          </w:tcPr>
          <w:p w14:paraId="2CB2C36D">
            <w:pPr>
              <w:spacing w:after="0" w:line="240" w:lineRule="auto"/>
              <w:jc w:val="center"/>
            </w:pPr>
            <w:r>
              <w:rPr>
                <w:sz w:val="18"/>
              </w:rPr>
              <w:t>17.84%</w:t>
            </w:r>
          </w:p>
        </w:tc>
      </w:tr>
      <w:tr w14:paraId="6A9155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8CE2C0C">
            <w:pPr>
              <w:spacing w:after="0" w:line="240" w:lineRule="auto"/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w="1728" w:type="dxa"/>
          </w:tcPr>
          <w:p w14:paraId="3BA57086">
            <w:pPr>
              <w:spacing w:after="0" w:line="240" w:lineRule="auto"/>
              <w:jc w:val="center"/>
            </w:pPr>
            <w:r>
              <w:rPr>
                <w:sz w:val="18"/>
              </w:rPr>
              <w:t>1.11</w:t>
            </w:r>
          </w:p>
        </w:tc>
        <w:tc>
          <w:tcPr>
            <w:tcW w:w="1728" w:type="dxa"/>
          </w:tcPr>
          <w:p w14:paraId="39DC4199">
            <w:pPr>
              <w:spacing w:after="0" w:line="240" w:lineRule="auto"/>
              <w:jc w:val="center"/>
            </w:pPr>
            <w:r>
              <w:rPr>
                <w:sz w:val="18"/>
              </w:rPr>
              <w:t>1.05</w:t>
            </w:r>
          </w:p>
        </w:tc>
        <w:tc>
          <w:tcPr>
            <w:tcW w:w="1728" w:type="dxa"/>
          </w:tcPr>
          <w:p w14:paraId="49D00AF4">
            <w:pPr>
              <w:spacing w:after="0" w:line="240" w:lineRule="auto"/>
              <w:jc w:val="center"/>
            </w:pPr>
            <w:r>
              <w:rPr>
                <w:sz w:val="18"/>
              </w:rPr>
              <w:t>536%</w:t>
            </w:r>
          </w:p>
        </w:tc>
        <w:tc>
          <w:tcPr>
            <w:tcW w:w="1728" w:type="dxa"/>
          </w:tcPr>
          <w:p w14:paraId="20D2E0E7">
            <w:pPr>
              <w:spacing w:after="0" w:line="240" w:lineRule="auto"/>
              <w:jc w:val="center"/>
            </w:pPr>
            <w:r>
              <w:rPr>
                <w:sz w:val="18"/>
              </w:rPr>
              <w:t>17.91%</w:t>
            </w:r>
          </w:p>
        </w:tc>
      </w:tr>
      <w:tr w14:paraId="346533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3301042D">
            <w:pPr>
              <w:spacing w:after="0" w:line="240" w:lineRule="auto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728" w:type="dxa"/>
          </w:tcPr>
          <w:p w14:paraId="6C47DD7E">
            <w:pPr>
              <w:spacing w:after="0" w:line="240" w:lineRule="auto"/>
              <w:jc w:val="center"/>
            </w:pPr>
            <w:r>
              <w:rPr>
                <w:sz w:val="18"/>
              </w:rPr>
              <w:t>1.10</w:t>
            </w:r>
          </w:p>
        </w:tc>
        <w:tc>
          <w:tcPr>
            <w:tcW w:w="1728" w:type="dxa"/>
          </w:tcPr>
          <w:p w14:paraId="059FFF8D">
            <w:pPr>
              <w:spacing w:after="0" w:line="240" w:lineRule="auto"/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w="1728" w:type="dxa"/>
          </w:tcPr>
          <w:p w14:paraId="78CA9324">
            <w:pPr>
              <w:spacing w:after="0" w:line="240" w:lineRule="auto"/>
              <w:jc w:val="center"/>
            </w:pPr>
            <w:r>
              <w:rPr>
                <w:sz w:val="18"/>
              </w:rPr>
              <w:t>513%</w:t>
            </w:r>
          </w:p>
        </w:tc>
        <w:tc>
          <w:tcPr>
            <w:tcW w:w="1728" w:type="dxa"/>
          </w:tcPr>
          <w:p w14:paraId="683E09E4">
            <w:pPr>
              <w:spacing w:after="0" w:line="240" w:lineRule="auto"/>
              <w:jc w:val="center"/>
            </w:pPr>
            <w:r>
              <w:rPr>
                <w:sz w:val="18"/>
              </w:rPr>
              <w:t>17.88%</w:t>
            </w:r>
          </w:p>
        </w:tc>
      </w:tr>
      <w:tr w14:paraId="609B2C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99C6F2F">
            <w:pPr>
              <w:spacing w:after="0" w:line="240" w:lineRule="auto"/>
              <w:jc w:val="center"/>
            </w:pPr>
            <w:r>
              <w:rPr>
                <w:sz w:val="18"/>
              </w:rPr>
              <w:t>150</w:t>
            </w:r>
          </w:p>
        </w:tc>
        <w:tc>
          <w:tcPr>
            <w:tcW w:w="1728" w:type="dxa"/>
          </w:tcPr>
          <w:p w14:paraId="66CFDA40">
            <w:pPr>
              <w:spacing w:after="0" w:line="240" w:lineRule="auto"/>
              <w:jc w:val="center"/>
            </w:pPr>
            <w:r>
              <w:rPr>
                <w:sz w:val="18"/>
              </w:rPr>
              <w:t>1.09</w:t>
            </w:r>
          </w:p>
        </w:tc>
        <w:tc>
          <w:tcPr>
            <w:tcW w:w="1728" w:type="dxa"/>
          </w:tcPr>
          <w:p w14:paraId="70D68540">
            <w:pPr>
              <w:spacing w:after="0" w:line="240" w:lineRule="auto"/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w="1728" w:type="dxa"/>
          </w:tcPr>
          <w:p w14:paraId="408613B9">
            <w:pPr>
              <w:spacing w:after="0" w:line="240" w:lineRule="auto"/>
              <w:jc w:val="center"/>
            </w:pPr>
            <w:r>
              <w:rPr>
                <w:sz w:val="18"/>
              </w:rPr>
              <w:t>470%</w:t>
            </w:r>
          </w:p>
        </w:tc>
        <w:tc>
          <w:tcPr>
            <w:tcW w:w="1728" w:type="dxa"/>
          </w:tcPr>
          <w:p w14:paraId="75ED28D1">
            <w:pPr>
              <w:spacing w:after="0" w:line="240" w:lineRule="auto"/>
              <w:jc w:val="center"/>
            </w:pPr>
            <w:r>
              <w:rPr>
                <w:sz w:val="18"/>
              </w:rPr>
              <w:t>17.75%</w:t>
            </w:r>
          </w:p>
        </w:tc>
      </w:tr>
    </w:tbl>
    <w:p w14:paraId="1B08F7D8">
      <w:r>
        <w:rPr>
          <w:rFonts w:ascii="宋体" w:hAnsi="宋体" w:eastAsia="宋体"/>
          <w:b w:val="0"/>
          <w:sz w:val="22"/>
        </w:rPr>
        <w:t>buffer=80是最优净夏普配置：换手率从690%降至536%（-22%），净年化收益反而更高（17.79%→17.91%），因为节省的交易成本&gt;损失的收益。持仓延续的逻辑是：上月持仓中仍在Top180的股票保留不动，仅替换跌出Top180的股票。这避免了因信号微小波动导致的不必要换手。</w:t>
      </w:r>
    </w:p>
    <w:p w14:paraId="6470BFD5">
      <w:r>
        <w:rPr>
          <w:rFonts w:ascii="宋体" w:hAnsi="宋体" w:eastAsia="宋体"/>
          <w:b/>
          <w:sz w:val="22"/>
        </w:rPr>
        <w:t>失败方向</w:t>
      </w:r>
    </w:p>
    <w:p w14:paraId="4C64E5DE">
      <w:r>
        <w:rPr>
          <w:rFonts w:ascii="宋体" w:hAnsi="宋体" w:eastAsia="宋体"/>
          <w:b/>
          <w:sz w:val="22"/>
        </w:rPr>
        <w:t>③ TopK自适应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50F19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387D29D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1728" w:type="dxa"/>
          </w:tcPr>
          <w:p w14:paraId="02CA366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53335FA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728" w:type="dxa"/>
          </w:tcPr>
          <w:p w14:paraId="6790A2A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3F056EA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704E08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401BF5FC">
            <w:pPr>
              <w:spacing w:after="0" w:line="240" w:lineRule="auto"/>
              <w:jc w:val="center"/>
            </w:pPr>
            <w:r>
              <w:rPr>
                <w:sz w:val="18"/>
              </w:rPr>
              <w:t>固定TopK=100</w:t>
            </w:r>
          </w:p>
        </w:tc>
        <w:tc>
          <w:tcPr>
            <w:tcW w:w="1728" w:type="dxa"/>
          </w:tcPr>
          <w:p w14:paraId="038D7FBE">
            <w:pPr>
              <w:spacing w:after="0" w:line="240" w:lineRule="auto"/>
              <w:jc w:val="center"/>
            </w:pPr>
            <w:r>
              <w:rPr>
                <w:sz w:val="18"/>
              </w:rPr>
              <w:t>18.64%</w:t>
            </w:r>
          </w:p>
        </w:tc>
        <w:tc>
          <w:tcPr>
            <w:tcW w:w="1728" w:type="dxa"/>
          </w:tcPr>
          <w:p w14:paraId="67203939">
            <w:pPr>
              <w:spacing w:after="0" w:line="240" w:lineRule="auto"/>
              <w:jc w:val="center"/>
            </w:pPr>
            <w:r>
              <w:rPr>
                <w:sz w:val="18"/>
              </w:rPr>
              <w:t>0.65</w:t>
            </w:r>
          </w:p>
        </w:tc>
        <w:tc>
          <w:tcPr>
            <w:tcW w:w="1728" w:type="dxa"/>
          </w:tcPr>
          <w:p w14:paraId="32D2E253">
            <w:pPr>
              <w:spacing w:after="0" w:line="240" w:lineRule="auto"/>
              <w:jc w:val="center"/>
            </w:pPr>
            <w:r>
              <w:rPr>
                <w:sz w:val="18"/>
              </w:rPr>
              <w:t>-73.28%</w:t>
            </w:r>
          </w:p>
        </w:tc>
        <w:tc>
          <w:tcPr>
            <w:tcW w:w="1728" w:type="dxa"/>
          </w:tcPr>
          <w:p w14:paraId="34AD650E">
            <w:pPr>
              <w:spacing w:after="0" w:line="240" w:lineRule="auto"/>
              <w:jc w:val="center"/>
            </w:pPr>
            <w:r>
              <w:rPr>
                <w:sz w:val="18"/>
              </w:rPr>
              <w:t>656%</w:t>
            </w:r>
          </w:p>
        </w:tc>
      </w:tr>
      <w:tr w14:paraId="2F5511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41312CEC">
            <w:pPr>
              <w:spacing w:after="0" w:line="240" w:lineRule="auto"/>
              <w:jc w:val="center"/>
            </w:pPr>
            <w:r>
              <w:rPr>
                <w:sz w:val="18"/>
              </w:rPr>
              <w:t>自适应(50/100/150)</w:t>
            </w:r>
          </w:p>
        </w:tc>
        <w:tc>
          <w:tcPr>
            <w:tcW w:w="1728" w:type="dxa"/>
          </w:tcPr>
          <w:p w14:paraId="2A4D9EF9">
            <w:pPr>
              <w:spacing w:after="0" w:line="240" w:lineRule="auto"/>
              <w:jc w:val="center"/>
            </w:pPr>
            <w:r>
              <w:rPr>
                <w:sz w:val="18"/>
              </w:rPr>
              <w:t>18.50%</w:t>
            </w:r>
          </w:p>
        </w:tc>
        <w:tc>
          <w:tcPr>
            <w:tcW w:w="1728" w:type="dxa"/>
          </w:tcPr>
          <w:p w14:paraId="15012947">
            <w:pPr>
              <w:spacing w:after="0" w:line="240" w:lineRule="auto"/>
              <w:jc w:val="center"/>
            </w:pPr>
            <w:r>
              <w:rPr>
                <w:sz w:val="18"/>
              </w:rPr>
              <w:t>0.65</w:t>
            </w:r>
          </w:p>
        </w:tc>
        <w:tc>
          <w:tcPr>
            <w:tcW w:w="1728" w:type="dxa"/>
          </w:tcPr>
          <w:p w14:paraId="1D765B1B">
            <w:pPr>
              <w:spacing w:after="0" w:line="240" w:lineRule="auto"/>
              <w:jc w:val="center"/>
            </w:pPr>
            <w:r>
              <w:rPr>
                <w:sz w:val="18"/>
              </w:rPr>
              <w:t>-72.08%</w:t>
            </w:r>
          </w:p>
        </w:tc>
        <w:tc>
          <w:tcPr>
            <w:tcW w:w="1728" w:type="dxa"/>
          </w:tcPr>
          <w:p w14:paraId="5C653CB2">
            <w:pPr>
              <w:spacing w:after="0" w:line="240" w:lineRule="auto"/>
              <w:jc w:val="center"/>
            </w:pPr>
            <w:r>
              <w:rPr>
                <w:sz w:val="18"/>
              </w:rPr>
              <w:t>605%</w:t>
            </w:r>
          </w:p>
        </w:tc>
      </w:tr>
      <w:tr w14:paraId="6DB437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1AF7B81A">
            <w:pPr>
              <w:spacing w:after="0" w:line="240" w:lineRule="auto"/>
              <w:jc w:val="center"/>
            </w:pPr>
            <w:r>
              <w:rPr>
                <w:sz w:val="18"/>
              </w:rPr>
              <w:t>自适应(80/100/120)</w:t>
            </w:r>
          </w:p>
        </w:tc>
        <w:tc>
          <w:tcPr>
            <w:tcW w:w="1728" w:type="dxa"/>
          </w:tcPr>
          <w:p w14:paraId="17BAC6E0">
            <w:pPr>
              <w:spacing w:after="0" w:line="240" w:lineRule="auto"/>
              <w:jc w:val="center"/>
            </w:pPr>
            <w:r>
              <w:rPr>
                <w:sz w:val="18"/>
              </w:rPr>
              <w:t>19.29%</w:t>
            </w:r>
          </w:p>
        </w:tc>
        <w:tc>
          <w:tcPr>
            <w:tcW w:w="1728" w:type="dxa"/>
          </w:tcPr>
          <w:p w14:paraId="7ED263B9">
            <w:pPr>
              <w:spacing w:after="0" w:line="240" w:lineRule="auto"/>
              <w:jc w:val="center"/>
            </w:pPr>
            <w:r>
              <w:rPr>
                <w:sz w:val="18"/>
              </w:rPr>
              <w:t>0.67</w:t>
            </w:r>
          </w:p>
        </w:tc>
        <w:tc>
          <w:tcPr>
            <w:tcW w:w="1728" w:type="dxa"/>
          </w:tcPr>
          <w:p w14:paraId="3209683F">
            <w:pPr>
              <w:spacing w:after="0" w:line="240" w:lineRule="auto"/>
              <w:jc w:val="center"/>
            </w:pPr>
            <w:r>
              <w:rPr>
                <w:sz w:val="18"/>
              </w:rPr>
              <w:t>-72.45%</w:t>
            </w:r>
          </w:p>
        </w:tc>
        <w:tc>
          <w:tcPr>
            <w:tcW w:w="1728" w:type="dxa"/>
          </w:tcPr>
          <w:p w14:paraId="71539803">
            <w:pPr>
              <w:spacing w:after="0" w:line="240" w:lineRule="auto"/>
              <w:jc w:val="center"/>
            </w:pPr>
            <w:r>
              <w:rPr>
                <w:sz w:val="18"/>
              </w:rPr>
              <w:t>605%</w:t>
            </w:r>
          </w:p>
        </w:tc>
      </w:tr>
      <w:tr w14:paraId="36CE84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3249F35D">
            <w:pPr>
              <w:spacing w:after="0" w:line="240" w:lineRule="auto"/>
              <w:jc w:val="center"/>
            </w:pPr>
            <w:r>
              <w:rPr>
                <w:sz w:val="18"/>
              </w:rPr>
              <w:t>固定TopK=120</w:t>
            </w:r>
          </w:p>
        </w:tc>
        <w:tc>
          <w:tcPr>
            <w:tcW w:w="1728" w:type="dxa"/>
          </w:tcPr>
          <w:p w14:paraId="4607FEE6">
            <w:pPr>
              <w:spacing w:after="0" w:line="240" w:lineRule="auto"/>
              <w:jc w:val="center"/>
            </w:pPr>
            <w:r>
              <w:rPr>
                <w:sz w:val="18"/>
              </w:rPr>
              <w:t>19.58%</w:t>
            </w:r>
          </w:p>
        </w:tc>
        <w:tc>
          <w:tcPr>
            <w:tcW w:w="1728" w:type="dxa"/>
          </w:tcPr>
          <w:p w14:paraId="57478A11">
            <w:pPr>
              <w:spacing w:after="0" w:line="240" w:lineRule="auto"/>
              <w:jc w:val="center"/>
            </w:pPr>
            <w:r>
              <w:rPr>
                <w:sz w:val="18"/>
              </w:rPr>
              <w:t>0.68</w:t>
            </w:r>
          </w:p>
        </w:tc>
        <w:tc>
          <w:tcPr>
            <w:tcW w:w="1728" w:type="dxa"/>
          </w:tcPr>
          <w:p w14:paraId="4E69624D">
            <w:pPr>
              <w:spacing w:after="0" w:line="240" w:lineRule="auto"/>
              <w:jc w:val="center"/>
            </w:pPr>
            <w:r>
              <w:rPr>
                <w:sz w:val="18"/>
              </w:rPr>
              <w:t>-73.05%</w:t>
            </w:r>
          </w:p>
        </w:tc>
        <w:tc>
          <w:tcPr>
            <w:tcW w:w="1728" w:type="dxa"/>
          </w:tcPr>
          <w:p w14:paraId="64329AED">
            <w:pPr>
              <w:spacing w:after="0" w:line="240" w:lineRule="auto"/>
              <w:jc w:val="center"/>
            </w:pPr>
            <w:r>
              <w:rPr>
                <w:sz w:val="18"/>
              </w:rPr>
              <w:t>540%</w:t>
            </w:r>
          </w:p>
        </w:tc>
      </w:tr>
    </w:tbl>
    <w:p w14:paraId="3B184C4B">
      <w:r>
        <w:rPr>
          <w:rFonts w:ascii="宋体" w:hAnsi="宋体" w:eastAsia="宋体"/>
          <w:b w:val="0"/>
          <w:sz w:val="22"/>
        </w:rPr>
        <w:t>TopK自适应无效，不如固定TopK=120。牛市扩大选股范围反而稀释收益，熊市缩小选股范围信号质量不变。后续信号阈值&gt;85%方案更优，因为它基于信号强度而非市场状态动态调整选股数量。</w:t>
      </w:r>
    </w:p>
    <w:p w14:paraId="24054060">
      <w:r>
        <w:rPr>
          <w:rFonts w:ascii="宋体" w:hAnsi="宋体" w:eastAsia="宋体"/>
          <w:b/>
          <w:sz w:val="22"/>
        </w:rPr>
        <w:t>④ 行业中性化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D9F3F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0910518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1728" w:type="dxa"/>
          </w:tcPr>
          <w:p w14:paraId="44D5AED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03E33FE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728" w:type="dxa"/>
          </w:tcPr>
          <w:p w14:paraId="1747A17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684EEEB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023791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555C926D">
            <w:pPr>
              <w:spacing w:after="0" w:line="240" w:lineRule="auto"/>
              <w:jc w:val="center"/>
            </w:pPr>
            <w:r>
              <w:rPr>
                <w:sz w:val="18"/>
              </w:rPr>
              <w:t>无行业约束</w:t>
            </w:r>
          </w:p>
        </w:tc>
        <w:tc>
          <w:tcPr>
            <w:tcW w:w="1728" w:type="dxa"/>
          </w:tcPr>
          <w:p w14:paraId="3B890DA6">
            <w:pPr>
              <w:spacing w:after="0" w:line="240" w:lineRule="auto"/>
              <w:jc w:val="center"/>
            </w:pPr>
            <w:r>
              <w:rPr>
                <w:sz w:val="18"/>
              </w:rPr>
              <w:t>22.14%</w:t>
            </w:r>
          </w:p>
        </w:tc>
        <w:tc>
          <w:tcPr>
            <w:tcW w:w="1728" w:type="dxa"/>
          </w:tcPr>
          <w:p w14:paraId="2C286ADC">
            <w:pPr>
              <w:spacing w:after="0" w:line="240" w:lineRule="auto"/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w="1728" w:type="dxa"/>
          </w:tcPr>
          <w:p w14:paraId="5E7F6B91">
            <w:pPr>
              <w:spacing w:after="0" w:line="240" w:lineRule="auto"/>
              <w:jc w:val="center"/>
            </w:pPr>
            <w:r>
              <w:rPr>
                <w:sz w:val="18"/>
              </w:rPr>
              <w:t>-16.61%</w:t>
            </w:r>
          </w:p>
        </w:tc>
        <w:tc>
          <w:tcPr>
            <w:tcW w:w="1728" w:type="dxa"/>
          </w:tcPr>
          <w:p w14:paraId="4FCBD318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75F5B4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00DE414C">
            <w:pPr>
              <w:spacing w:after="0" w:line="240" w:lineRule="auto"/>
              <w:jc w:val="center"/>
            </w:pPr>
            <w:r>
              <w:rPr>
                <w:sz w:val="18"/>
              </w:rPr>
              <w:t>行业中性化</w:t>
            </w:r>
          </w:p>
        </w:tc>
        <w:tc>
          <w:tcPr>
            <w:tcW w:w="1728" w:type="dxa"/>
          </w:tcPr>
          <w:p w14:paraId="2B2BF9BF">
            <w:pPr>
              <w:spacing w:after="0" w:line="240" w:lineRule="auto"/>
              <w:jc w:val="center"/>
            </w:pPr>
            <w:r>
              <w:rPr>
                <w:sz w:val="18"/>
              </w:rPr>
              <w:t>20.53%</w:t>
            </w:r>
          </w:p>
        </w:tc>
        <w:tc>
          <w:tcPr>
            <w:tcW w:w="1728" w:type="dxa"/>
          </w:tcPr>
          <w:p w14:paraId="694DDD0B">
            <w:pPr>
              <w:spacing w:after="0" w:line="240" w:lineRule="auto"/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w="1728" w:type="dxa"/>
          </w:tcPr>
          <w:p w14:paraId="6993EF79">
            <w:pPr>
              <w:spacing w:after="0" w:line="240" w:lineRule="auto"/>
              <w:jc w:val="center"/>
            </w:pPr>
            <w:r>
              <w:rPr>
                <w:sz w:val="18"/>
              </w:rPr>
              <w:t>-17.27%</w:t>
            </w:r>
          </w:p>
        </w:tc>
        <w:tc>
          <w:tcPr>
            <w:tcW w:w="1728" w:type="dxa"/>
          </w:tcPr>
          <w:p w14:paraId="7E107801">
            <w:pPr>
              <w:spacing w:after="0" w:line="240" w:lineRule="auto"/>
              <w:jc w:val="center"/>
            </w:pPr>
            <w:r>
              <w:rPr>
                <w:sz w:val="18"/>
              </w:rPr>
              <w:t>423%</w:t>
            </w:r>
          </w:p>
        </w:tc>
      </w:tr>
    </w:tbl>
    <w:p w14:paraId="25F8358E">
      <w:r>
        <w:rPr>
          <w:rFonts w:ascii="宋体" w:hAnsi="宋体" w:eastAsia="宋体"/>
          <w:b w:val="0"/>
          <w:sz w:val="22"/>
        </w:rPr>
        <w:t>行业中性化降低夏普（1.04→1.00）。修正后降幅收窄，原0.95存在前视偏差高估。反转效应的截面来源部分来自行业周期轮动——某些行业整体超跌后反弹力度更大，强制中性化抛弃了这部分有效alpha。这与Moskowitz &amp; Grinblatt(1999)的发现一致：行业动量效应是独立于个股动量的alpha来源。</w:t>
      </w:r>
    </w:p>
    <w:p w14:paraId="75839EFA">
      <w:r>
        <w:rPr>
          <w:rFonts w:ascii="宋体" w:hAnsi="宋体" w:eastAsia="宋体"/>
          <w:b/>
          <w:sz w:val="22"/>
        </w:rPr>
        <w:t>⑤ 壳资源过滤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B0D75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1FA7E91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1728" w:type="dxa"/>
          </w:tcPr>
          <w:p w14:paraId="3E1F3B8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2091220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728" w:type="dxa"/>
          </w:tcPr>
          <w:p w14:paraId="25DAC9B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34C96C0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07146D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784E804C">
            <w:pPr>
              <w:spacing w:after="0" w:line="240" w:lineRule="auto"/>
              <w:jc w:val="center"/>
            </w:pPr>
            <w:r>
              <w:rPr>
                <w:sz w:val="18"/>
              </w:rPr>
              <w:t>无过滤</w:t>
            </w:r>
          </w:p>
        </w:tc>
        <w:tc>
          <w:tcPr>
            <w:tcW w:w="1728" w:type="dxa"/>
          </w:tcPr>
          <w:p w14:paraId="5B4760BB">
            <w:pPr>
              <w:spacing w:after="0" w:line="240" w:lineRule="auto"/>
              <w:jc w:val="center"/>
            </w:pPr>
            <w:r>
              <w:rPr>
                <w:sz w:val="18"/>
              </w:rPr>
              <w:t>18.13%</w:t>
            </w:r>
          </w:p>
        </w:tc>
        <w:tc>
          <w:tcPr>
            <w:tcW w:w="1728" w:type="dxa"/>
          </w:tcPr>
          <w:p w14:paraId="7FAE76FF">
            <w:pPr>
              <w:spacing w:after="0" w:line="240" w:lineRule="auto"/>
              <w:jc w:val="center"/>
            </w:pPr>
            <w:r>
              <w:rPr>
                <w:sz w:val="18"/>
              </w:rPr>
              <w:t>1.05</w:t>
            </w:r>
          </w:p>
        </w:tc>
        <w:tc>
          <w:tcPr>
            <w:tcW w:w="1728" w:type="dxa"/>
          </w:tcPr>
          <w:p w14:paraId="5C4BE0EB">
            <w:pPr>
              <w:spacing w:after="0" w:line="240" w:lineRule="auto"/>
              <w:jc w:val="center"/>
            </w:pPr>
            <w:r>
              <w:rPr>
                <w:sz w:val="18"/>
              </w:rPr>
              <w:t>-21.80%</w:t>
            </w:r>
          </w:p>
        </w:tc>
        <w:tc>
          <w:tcPr>
            <w:tcW w:w="1728" w:type="dxa"/>
          </w:tcPr>
          <w:p w14:paraId="7D9621C1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  <w:tr w14:paraId="1A0E42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5D34D8C5">
            <w:pPr>
              <w:spacing w:after="0" w:line="240" w:lineRule="auto"/>
              <w:jc w:val="center"/>
            </w:pPr>
            <w:r>
              <w:rPr>
                <w:sz w:val="18"/>
              </w:rPr>
              <w:t>剔除30%(CH-3标准)</w:t>
            </w:r>
          </w:p>
        </w:tc>
        <w:tc>
          <w:tcPr>
            <w:tcW w:w="1728" w:type="dxa"/>
          </w:tcPr>
          <w:p w14:paraId="18EF3450">
            <w:pPr>
              <w:spacing w:after="0" w:line="240" w:lineRule="auto"/>
              <w:jc w:val="center"/>
            </w:pPr>
            <w:r>
              <w:rPr>
                <w:sz w:val="18"/>
              </w:rPr>
              <w:t>18.92%</w:t>
            </w:r>
          </w:p>
        </w:tc>
        <w:tc>
          <w:tcPr>
            <w:tcW w:w="1728" w:type="dxa"/>
          </w:tcPr>
          <w:p w14:paraId="7010760B">
            <w:pPr>
              <w:spacing w:after="0" w:line="240" w:lineRule="auto"/>
              <w:jc w:val="center"/>
            </w:pPr>
            <w:r>
              <w:rPr>
                <w:sz w:val="18"/>
              </w:rPr>
              <w:t>1.02</w:t>
            </w:r>
          </w:p>
        </w:tc>
        <w:tc>
          <w:tcPr>
            <w:tcW w:w="1728" w:type="dxa"/>
          </w:tcPr>
          <w:p w14:paraId="7171C0D5">
            <w:pPr>
              <w:spacing w:after="0" w:line="240" w:lineRule="auto"/>
              <w:jc w:val="center"/>
            </w:pPr>
            <w:r>
              <w:rPr>
                <w:sz w:val="18"/>
              </w:rPr>
              <w:t>-20.75%</w:t>
            </w:r>
          </w:p>
        </w:tc>
        <w:tc>
          <w:tcPr>
            <w:tcW w:w="1728" w:type="dxa"/>
          </w:tcPr>
          <w:p w14:paraId="5B66EC8F">
            <w:pPr>
              <w:spacing w:after="0" w:line="240" w:lineRule="auto"/>
              <w:jc w:val="center"/>
            </w:pPr>
            <w:r>
              <w:rPr>
                <w:sz w:val="18"/>
              </w:rPr>
              <w:t>561%</w:t>
            </w:r>
          </w:p>
        </w:tc>
      </w:tr>
      <w:tr w14:paraId="2007D0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18ECA8D8">
            <w:pPr>
              <w:spacing w:after="0" w:line="240" w:lineRule="auto"/>
              <w:jc w:val="center"/>
            </w:pPr>
            <w:r>
              <w:rPr>
                <w:sz w:val="18"/>
              </w:rPr>
              <w:t>剔除50%</w:t>
            </w:r>
          </w:p>
        </w:tc>
        <w:tc>
          <w:tcPr>
            <w:tcW w:w="1728" w:type="dxa"/>
          </w:tcPr>
          <w:p w14:paraId="73424ACF">
            <w:pPr>
              <w:spacing w:after="0" w:line="240" w:lineRule="auto"/>
              <w:jc w:val="center"/>
            </w:pPr>
            <w:r>
              <w:rPr>
                <w:sz w:val="18"/>
              </w:rPr>
              <w:t>19.52%</w:t>
            </w:r>
          </w:p>
        </w:tc>
        <w:tc>
          <w:tcPr>
            <w:tcW w:w="1728" w:type="dxa"/>
          </w:tcPr>
          <w:p w14:paraId="382F5B88">
            <w:pPr>
              <w:spacing w:after="0" w:line="240" w:lineRule="auto"/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w="1728" w:type="dxa"/>
          </w:tcPr>
          <w:p w14:paraId="6E9DF425">
            <w:pPr>
              <w:spacing w:after="0" w:line="240" w:lineRule="auto"/>
              <w:jc w:val="center"/>
            </w:pPr>
            <w:r>
              <w:rPr>
                <w:sz w:val="18"/>
              </w:rPr>
              <w:t>-20.66%</w:t>
            </w:r>
          </w:p>
        </w:tc>
        <w:tc>
          <w:tcPr>
            <w:tcW w:w="1728" w:type="dxa"/>
          </w:tcPr>
          <w:p w14:paraId="16AAE857">
            <w:pPr>
              <w:spacing w:after="0" w:line="240" w:lineRule="auto"/>
              <w:jc w:val="center"/>
            </w:pPr>
            <w:r>
              <w:rPr>
                <w:sz w:val="18"/>
              </w:rPr>
              <w:t>555%</w:t>
            </w:r>
          </w:p>
        </w:tc>
      </w:tr>
    </w:tbl>
    <w:p w14:paraId="0161E41D">
      <w:r>
        <w:rPr>
          <w:rFonts w:ascii="宋体" w:hAnsi="宋体" w:eastAsia="宋体"/>
          <w:b w:val="0"/>
          <w:sz w:val="22"/>
        </w:rPr>
        <w:t>壳资源过滤提升年化收益但降低夏普。剔除小盘股后波动率上升（17.39%→19.67%），因为小盘股虽然波动大但在组合中被1/σ²权重自动降权。当前策略已通过权重分配间接处理了壳资源问题，无需额外过滤。</w:t>
      </w:r>
    </w:p>
    <w:p w14:paraId="661BC385">
      <w:r>
        <w:br w:type="page"/>
      </w:r>
    </w:p>
    <w:p w14:paraId="4680A449">
      <w:pPr>
        <w:pStyle w:val="4"/>
      </w:pPr>
      <w:r>
        <w:t>2.6 成本与换手率控制类优化</w:t>
      </w:r>
    </w:p>
    <w:p w14:paraId="365B2492">
      <w:r>
        <w:rPr>
          <w:rFonts w:ascii="宋体" w:hAnsi="宋体" w:eastAsia="宋体"/>
          <w:b w:val="0"/>
          <w:sz w:val="22"/>
        </w:rPr>
        <w:t>目标：降低交易成本对收益的侵蚀，优化换手率-夏普前沿。</w:t>
      </w:r>
    </w:p>
    <w:p w14:paraId="007B3B65">
      <w:r>
        <w:rPr>
          <w:rFonts w:ascii="宋体" w:hAnsi="宋体" w:eastAsia="宋体"/>
          <w:b/>
          <w:sz w:val="22"/>
        </w:rPr>
        <w:t>换手率分析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EAD87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320" w:type="dxa"/>
          </w:tcPr>
          <w:p w14:paraId="3C3DD83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4320" w:type="dxa"/>
          </w:tcPr>
          <w:p w14:paraId="78946F3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数值</w:t>
            </w:r>
          </w:p>
        </w:tc>
      </w:tr>
      <w:tr w14:paraId="11EA57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320" w:type="dxa"/>
          </w:tcPr>
          <w:p w14:paraId="730A5C1B">
            <w:pPr>
              <w:spacing w:after="0" w:line="240" w:lineRule="auto"/>
              <w:jc w:val="center"/>
            </w:pPr>
            <w:r>
              <w:rPr>
                <w:sz w:val="18"/>
              </w:rPr>
              <w:t>月均换手率</w:t>
            </w:r>
          </w:p>
        </w:tc>
        <w:tc>
          <w:tcPr>
            <w:tcW w:w="4320" w:type="dxa"/>
          </w:tcPr>
          <w:p w14:paraId="1F95C56E">
            <w:pPr>
              <w:spacing w:after="0" w:line="240" w:lineRule="auto"/>
              <w:jc w:val="center"/>
            </w:pPr>
            <w:r>
              <w:rPr>
                <w:sz w:val="18"/>
              </w:rPr>
              <w:t>51.41%</w:t>
            </w:r>
          </w:p>
        </w:tc>
      </w:tr>
      <w:tr w14:paraId="462798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320" w:type="dxa"/>
          </w:tcPr>
          <w:p w14:paraId="19997D1E">
            <w:pPr>
              <w:spacing w:after="0" w:line="240" w:lineRule="auto"/>
              <w:jc w:val="center"/>
            </w:pPr>
            <w:r>
              <w:rPr>
                <w:sz w:val="18"/>
              </w:rPr>
              <w:t>年化换手率</w:t>
            </w:r>
          </w:p>
        </w:tc>
        <w:tc>
          <w:tcPr>
            <w:tcW w:w="4320" w:type="dxa"/>
          </w:tcPr>
          <w:p w14:paraId="70A0682B">
            <w:pPr>
              <w:spacing w:after="0" w:line="240" w:lineRule="auto"/>
              <w:jc w:val="center"/>
            </w:pPr>
            <w:r>
              <w:rPr>
                <w:sz w:val="18"/>
              </w:rPr>
              <w:t>616.94%</w:t>
            </w:r>
          </w:p>
        </w:tc>
      </w:tr>
      <w:tr w14:paraId="274144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320" w:type="dxa"/>
          </w:tcPr>
          <w:p w14:paraId="5864DD09">
            <w:pPr>
              <w:spacing w:after="0" w:line="240" w:lineRule="auto"/>
              <w:jc w:val="center"/>
            </w:pPr>
            <w:r>
              <w:rPr>
                <w:sz w:val="18"/>
              </w:rPr>
              <w:t>月换手率中位数</w:t>
            </w:r>
          </w:p>
        </w:tc>
        <w:tc>
          <w:tcPr>
            <w:tcW w:w="4320" w:type="dxa"/>
          </w:tcPr>
          <w:p w14:paraId="667773D8">
            <w:pPr>
              <w:spacing w:after="0" w:line="240" w:lineRule="auto"/>
              <w:jc w:val="center"/>
            </w:pPr>
            <w:r>
              <w:rPr>
                <w:sz w:val="18"/>
              </w:rPr>
              <w:t>50.41%</w:t>
            </w:r>
          </w:p>
        </w:tc>
      </w:tr>
      <w:tr w14:paraId="3FC135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320" w:type="dxa"/>
          </w:tcPr>
          <w:p w14:paraId="7C6CC8A9">
            <w:pPr>
              <w:spacing w:after="0" w:line="240" w:lineRule="auto"/>
              <w:jc w:val="center"/>
            </w:pPr>
            <w:r>
              <w:rPr>
                <w:sz w:val="18"/>
              </w:rPr>
              <w:t>月换手率标准差</w:t>
            </w:r>
          </w:p>
        </w:tc>
        <w:tc>
          <w:tcPr>
            <w:tcW w:w="4320" w:type="dxa"/>
          </w:tcPr>
          <w:p w14:paraId="4A2F8BC0">
            <w:pPr>
              <w:spacing w:after="0" w:line="240" w:lineRule="auto"/>
              <w:jc w:val="center"/>
            </w:pPr>
            <w:r>
              <w:rPr>
                <w:sz w:val="18"/>
              </w:rPr>
              <w:t>12.05%</w:t>
            </w:r>
          </w:p>
        </w:tc>
      </w:tr>
    </w:tbl>
    <w:p w14:paraId="55276C7D">
      <w:r>
        <w:rPr>
          <w:rFonts w:ascii="宋体" w:hAnsi="宋体" w:eastAsia="宋体"/>
          <w:b/>
          <w:sz w:val="22"/>
        </w:rPr>
        <w:t>扣除不同交易成本后的净表现：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158BE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03AC7D9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成本假设</w:t>
            </w:r>
          </w:p>
        </w:tc>
        <w:tc>
          <w:tcPr>
            <w:tcW w:w="2160" w:type="dxa"/>
          </w:tcPr>
          <w:p w14:paraId="1DF264F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净年化</w:t>
            </w:r>
          </w:p>
        </w:tc>
        <w:tc>
          <w:tcPr>
            <w:tcW w:w="2160" w:type="dxa"/>
          </w:tcPr>
          <w:p w14:paraId="2C3ECA7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净夏普</w:t>
            </w:r>
          </w:p>
        </w:tc>
        <w:tc>
          <w:tcPr>
            <w:tcW w:w="2160" w:type="dxa"/>
          </w:tcPr>
          <w:p w14:paraId="3116753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净回撤</w:t>
            </w:r>
          </w:p>
        </w:tc>
      </w:tr>
      <w:tr w14:paraId="443CA9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446B941C">
            <w:pPr>
              <w:spacing w:after="0" w:line="240" w:lineRule="auto"/>
              <w:jc w:val="center"/>
            </w:pPr>
            <w:r>
              <w:rPr>
                <w:sz w:val="18"/>
              </w:rPr>
              <w:t>10bps</w:t>
            </w:r>
          </w:p>
        </w:tc>
        <w:tc>
          <w:tcPr>
            <w:tcW w:w="2160" w:type="dxa"/>
          </w:tcPr>
          <w:p w14:paraId="6505E475">
            <w:pPr>
              <w:spacing w:after="0" w:line="240" w:lineRule="auto"/>
              <w:jc w:val="center"/>
            </w:pPr>
            <w:r>
              <w:rPr>
                <w:sz w:val="18"/>
              </w:rPr>
              <w:t>22.88%</w:t>
            </w:r>
          </w:p>
        </w:tc>
        <w:tc>
          <w:tcPr>
            <w:tcW w:w="2160" w:type="dxa"/>
          </w:tcPr>
          <w:p w14:paraId="5D4AF2D8">
            <w:pPr>
              <w:spacing w:after="0" w:line="240" w:lineRule="auto"/>
              <w:jc w:val="center"/>
            </w:pPr>
            <w:r>
              <w:rPr>
                <w:sz w:val="18"/>
              </w:rPr>
              <w:t>1.19</w:t>
            </w:r>
          </w:p>
        </w:tc>
        <w:tc>
          <w:tcPr>
            <w:tcW w:w="2160" w:type="dxa"/>
          </w:tcPr>
          <w:p w14:paraId="6B6C9787">
            <w:pPr>
              <w:spacing w:after="0" w:line="240" w:lineRule="auto"/>
              <w:jc w:val="center"/>
            </w:pPr>
            <w:r>
              <w:rPr>
                <w:sz w:val="18"/>
              </w:rPr>
              <w:t>-16.07%</w:t>
            </w:r>
          </w:p>
        </w:tc>
      </w:tr>
      <w:tr w14:paraId="19C854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2A152C20">
            <w:pPr>
              <w:spacing w:after="0" w:line="240" w:lineRule="auto"/>
              <w:jc w:val="center"/>
            </w:pPr>
            <w:r>
              <w:rPr>
                <w:sz w:val="18"/>
              </w:rPr>
              <w:t>20bps</w:t>
            </w:r>
          </w:p>
        </w:tc>
        <w:tc>
          <w:tcPr>
            <w:tcW w:w="2160" w:type="dxa"/>
          </w:tcPr>
          <w:p w14:paraId="06EEDA7B">
            <w:pPr>
              <w:spacing w:after="0" w:line="240" w:lineRule="auto"/>
              <w:jc w:val="center"/>
            </w:pPr>
            <w:r>
              <w:rPr>
                <w:sz w:val="18"/>
              </w:rPr>
              <w:t>22.15%</w:t>
            </w:r>
          </w:p>
        </w:tc>
        <w:tc>
          <w:tcPr>
            <w:tcW w:w="2160" w:type="dxa"/>
          </w:tcPr>
          <w:p w14:paraId="7C4C8971">
            <w:pPr>
              <w:spacing w:after="0" w:line="240" w:lineRule="auto"/>
              <w:jc w:val="center"/>
            </w:pPr>
            <w:r>
              <w:rPr>
                <w:sz w:val="18"/>
              </w:rPr>
              <w:t>1.16</w:t>
            </w:r>
          </w:p>
        </w:tc>
        <w:tc>
          <w:tcPr>
            <w:tcW w:w="2160" w:type="dxa"/>
          </w:tcPr>
          <w:p w14:paraId="3488BAEE">
            <w:pPr>
              <w:spacing w:after="0" w:line="240" w:lineRule="auto"/>
              <w:jc w:val="center"/>
            </w:pPr>
            <w:r>
              <w:rPr>
                <w:sz w:val="18"/>
              </w:rPr>
              <w:t>-16.60%</w:t>
            </w:r>
          </w:p>
        </w:tc>
      </w:tr>
      <w:tr w14:paraId="3FC439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378A40B0">
            <w:pPr>
              <w:spacing w:after="0" w:line="240" w:lineRule="auto"/>
              <w:jc w:val="center"/>
            </w:pPr>
            <w:r>
              <w:rPr>
                <w:sz w:val="18"/>
              </w:rPr>
              <w:t>30bps</w:t>
            </w:r>
          </w:p>
        </w:tc>
        <w:tc>
          <w:tcPr>
            <w:tcW w:w="2160" w:type="dxa"/>
          </w:tcPr>
          <w:p w14:paraId="2F068021">
            <w:pPr>
              <w:spacing w:after="0" w:line="240" w:lineRule="auto"/>
              <w:jc w:val="center"/>
            </w:pPr>
            <w:r>
              <w:rPr>
                <w:sz w:val="18"/>
              </w:rPr>
              <w:t>19.84%</w:t>
            </w:r>
          </w:p>
        </w:tc>
        <w:tc>
          <w:tcPr>
            <w:tcW w:w="2160" w:type="dxa"/>
          </w:tcPr>
          <w:p w14:paraId="70931F6D">
            <w:pPr>
              <w:spacing w:after="0" w:line="240" w:lineRule="auto"/>
              <w:jc w:val="center"/>
            </w:pPr>
            <w:r>
              <w:rPr>
                <w:sz w:val="18"/>
              </w:rPr>
              <w:t>1.16</w:t>
            </w:r>
          </w:p>
        </w:tc>
        <w:tc>
          <w:tcPr>
            <w:tcW w:w="2160" w:type="dxa"/>
          </w:tcPr>
          <w:p w14:paraId="7246C198">
            <w:pPr>
              <w:spacing w:after="0" w:line="240" w:lineRule="auto"/>
              <w:jc w:val="center"/>
            </w:pPr>
            <w:r>
              <w:rPr>
                <w:sz w:val="18"/>
              </w:rPr>
              <w:t>-19.48%</w:t>
            </w:r>
          </w:p>
        </w:tc>
      </w:tr>
      <w:tr w14:paraId="2A41AC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45F37781">
            <w:pPr>
              <w:spacing w:after="0" w:line="240" w:lineRule="auto"/>
              <w:jc w:val="center"/>
            </w:pPr>
            <w:r>
              <w:rPr>
                <w:sz w:val="18"/>
              </w:rPr>
              <w:t>40bps</w:t>
            </w:r>
          </w:p>
        </w:tc>
        <w:tc>
          <w:tcPr>
            <w:tcW w:w="2160" w:type="dxa"/>
          </w:tcPr>
          <w:p w14:paraId="3152C182">
            <w:pPr>
              <w:spacing w:after="0" w:line="240" w:lineRule="auto"/>
              <w:jc w:val="center"/>
            </w:pPr>
            <w:r>
              <w:rPr>
                <w:sz w:val="18"/>
              </w:rPr>
              <w:t>20.72%</w:t>
            </w:r>
          </w:p>
        </w:tc>
        <w:tc>
          <w:tcPr>
            <w:tcW w:w="2160" w:type="dxa"/>
          </w:tcPr>
          <w:p w14:paraId="4EF9D43F">
            <w:pPr>
              <w:spacing w:after="0" w:line="240" w:lineRule="auto"/>
              <w:jc w:val="center"/>
            </w:pPr>
            <w:r>
              <w:rPr>
                <w:sz w:val="18"/>
              </w:rPr>
              <w:t>1.09</w:t>
            </w:r>
          </w:p>
        </w:tc>
        <w:tc>
          <w:tcPr>
            <w:tcW w:w="2160" w:type="dxa"/>
          </w:tcPr>
          <w:p w14:paraId="22F474A3">
            <w:pPr>
              <w:spacing w:after="0" w:line="240" w:lineRule="auto"/>
              <w:jc w:val="center"/>
            </w:pPr>
            <w:r>
              <w:rPr>
                <w:sz w:val="18"/>
              </w:rPr>
              <w:t>-17.97%</w:t>
            </w:r>
          </w:p>
        </w:tc>
      </w:tr>
    </w:tbl>
    <w:p w14:paraId="6086A616">
      <w:r>
        <w:rPr>
          <w:rFonts w:ascii="宋体" w:hAnsi="宋体" w:eastAsia="宋体"/>
          <w:b w:val="0"/>
          <w:sz w:val="22"/>
        </w:rPr>
        <w:t>策略换手率较高（599%/年），但对成本有一定韧性。即使40bps成本下净夏普仍有1.09。20bps成本（机构投资者典型水平）下净年化22.15%，净夏普1.16。</w:t>
      </w:r>
    </w:p>
    <w:p w14:paraId="13E7BF42">
      <w:r>
        <w:rPr>
          <w:rFonts w:ascii="宋体" w:hAnsi="宋体" w:eastAsia="宋体"/>
          <w:b/>
          <w:sz w:val="22"/>
        </w:rPr>
        <w:t>真实交易成本建模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612EE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1F79738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成本项</w:t>
            </w:r>
          </w:p>
        </w:tc>
        <w:tc>
          <w:tcPr>
            <w:tcW w:w="2880" w:type="dxa"/>
          </w:tcPr>
          <w:p w14:paraId="450DF90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单次费率</w:t>
            </w:r>
          </w:p>
        </w:tc>
        <w:tc>
          <w:tcPr>
            <w:tcW w:w="2880" w:type="dxa"/>
          </w:tcPr>
          <w:p w14:paraId="4E38707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年化拖累</w:t>
            </w:r>
          </w:p>
        </w:tc>
      </w:tr>
      <w:tr w14:paraId="1AF953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6B20E685">
            <w:pPr>
              <w:spacing w:after="0" w:line="240" w:lineRule="auto"/>
              <w:jc w:val="center"/>
            </w:pPr>
            <w:r>
              <w:rPr>
                <w:sz w:val="18"/>
              </w:rPr>
              <w:t>佣金</w:t>
            </w:r>
          </w:p>
        </w:tc>
        <w:tc>
          <w:tcPr>
            <w:tcW w:w="2880" w:type="dxa"/>
          </w:tcPr>
          <w:p w14:paraId="27288DD5">
            <w:pPr>
              <w:spacing w:after="0" w:line="240" w:lineRule="auto"/>
              <w:jc w:val="center"/>
            </w:pPr>
            <w:r>
              <w:rPr>
                <w:sz w:val="18"/>
              </w:rPr>
              <w:t>5bps(单边)</w:t>
            </w:r>
          </w:p>
        </w:tc>
        <w:tc>
          <w:tcPr>
            <w:tcW w:w="2880" w:type="dxa"/>
          </w:tcPr>
          <w:p w14:paraId="7DFF16CB">
            <w:pPr>
              <w:spacing w:after="0" w:line="240" w:lineRule="auto"/>
              <w:jc w:val="center"/>
            </w:pPr>
            <w:r>
              <w:rPr>
                <w:sz w:val="18"/>
              </w:rPr>
              <w:t>~13bps</w:t>
            </w:r>
          </w:p>
        </w:tc>
      </w:tr>
      <w:tr w14:paraId="5AB6B9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20CB1784">
            <w:pPr>
              <w:spacing w:after="0" w:line="240" w:lineRule="auto"/>
              <w:jc w:val="center"/>
            </w:pPr>
            <w:r>
              <w:rPr>
                <w:sz w:val="18"/>
              </w:rPr>
              <w:t>印花税</w:t>
            </w:r>
          </w:p>
        </w:tc>
        <w:tc>
          <w:tcPr>
            <w:tcW w:w="2880" w:type="dxa"/>
          </w:tcPr>
          <w:p w14:paraId="3D48F172">
            <w:pPr>
              <w:spacing w:after="0" w:line="240" w:lineRule="auto"/>
              <w:jc w:val="center"/>
            </w:pPr>
            <w:r>
              <w:rPr>
                <w:sz w:val="18"/>
              </w:rPr>
              <w:t>10bps(卖出)</w:t>
            </w:r>
          </w:p>
        </w:tc>
        <w:tc>
          <w:tcPr>
            <w:tcW w:w="2880" w:type="dxa"/>
          </w:tcPr>
          <w:p w14:paraId="36A0B1F1">
            <w:pPr>
              <w:spacing w:after="0" w:line="240" w:lineRule="auto"/>
              <w:jc w:val="center"/>
            </w:pPr>
            <w:r>
              <w:rPr>
                <w:sz w:val="18"/>
              </w:rPr>
              <w:t>~33bps</w:t>
            </w:r>
          </w:p>
        </w:tc>
      </w:tr>
      <w:tr w14:paraId="28D1C0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0E41E711">
            <w:pPr>
              <w:spacing w:after="0" w:line="240" w:lineRule="auto"/>
              <w:jc w:val="center"/>
            </w:pPr>
            <w:r>
              <w:rPr>
                <w:sz w:val="18"/>
              </w:rPr>
              <w:t>过户费</w:t>
            </w:r>
          </w:p>
        </w:tc>
        <w:tc>
          <w:tcPr>
            <w:tcW w:w="2880" w:type="dxa"/>
          </w:tcPr>
          <w:p w14:paraId="43220A5B">
            <w:pPr>
              <w:spacing w:after="0" w:line="240" w:lineRule="auto"/>
              <w:jc w:val="center"/>
            </w:pPr>
            <w:r>
              <w:rPr>
                <w:sz w:val="18"/>
              </w:rPr>
              <w:t>~1bps</w:t>
            </w:r>
          </w:p>
        </w:tc>
        <w:tc>
          <w:tcPr>
            <w:tcW w:w="2880" w:type="dxa"/>
          </w:tcPr>
          <w:p w14:paraId="59E788D3">
            <w:pPr>
              <w:spacing w:after="0" w:line="240" w:lineRule="auto"/>
              <w:jc w:val="center"/>
            </w:pPr>
            <w:r>
              <w:rPr>
                <w:sz w:val="18"/>
              </w:rPr>
              <w:t>~1bps</w:t>
            </w:r>
          </w:p>
        </w:tc>
      </w:tr>
      <w:tr w14:paraId="4F8006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73ECEA7F">
            <w:pPr>
              <w:spacing w:after="0" w:line="240" w:lineRule="auto"/>
              <w:jc w:val="center"/>
            </w:pPr>
            <w:r>
              <w:rPr>
                <w:sz w:val="18"/>
              </w:rPr>
              <w:t>冲击成本</w:t>
            </w:r>
          </w:p>
        </w:tc>
        <w:tc>
          <w:tcPr>
            <w:tcW w:w="2880" w:type="dxa"/>
          </w:tcPr>
          <w:p w14:paraId="369A46A0">
            <w:pPr>
              <w:spacing w:after="0" w:line="240" w:lineRule="auto"/>
              <w:jc w:val="center"/>
            </w:pPr>
            <w:r>
              <w:rPr>
                <w:sz w:val="18"/>
              </w:rPr>
              <w:t>~10bps</w:t>
            </w:r>
          </w:p>
        </w:tc>
        <w:tc>
          <w:tcPr>
            <w:tcW w:w="2880" w:type="dxa"/>
          </w:tcPr>
          <w:p w14:paraId="4B47B2DF">
            <w:pPr>
              <w:spacing w:after="0" w:line="240" w:lineRule="auto"/>
              <w:jc w:val="center"/>
            </w:pPr>
            <w:r>
              <w:rPr>
                <w:sz w:val="18"/>
              </w:rPr>
              <w:t>~33-98bps</w:t>
            </w:r>
          </w:p>
        </w:tc>
      </w:tr>
      <w:tr w14:paraId="18E078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7B4784A4">
            <w:pPr>
              <w:spacing w:after="0" w:line="240" w:lineRule="auto"/>
              <w:jc w:val="center"/>
            </w:pPr>
            <w:r>
              <w:rPr>
                <w:sz w:val="18"/>
              </w:rPr>
              <w:t>合计</w:t>
            </w:r>
          </w:p>
        </w:tc>
        <w:tc>
          <w:tcPr>
            <w:tcW w:w="2880" w:type="dxa"/>
          </w:tcPr>
          <w:p w14:paraId="23D08E5A">
            <w:pPr>
              <w:spacing w:after="0" w:line="240" w:lineRule="auto"/>
              <w:jc w:val="center"/>
            </w:pPr>
            <w:r>
              <w:rPr>
                <w:sz w:val="18"/>
              </w:rPr>
              <w:t>~20bps(双边)</w:t>
            </w:r>
          </w:p>
        </w:tc>
        <w:tc>
          <w:tcPr>
            <w:tcW w:w="2880" w:type="dxa"/>
          </w:tcPr>
          <w:p w14:paraId="6EA8D795">
            <w:pPr>
              <w:spacing w:after="0" w:line="240" w:lineRule="auto"/>
              <w:jc w:val="center"/>
            </w:pPr>
            <w:r>
              <w:rPr>
                <w:sz w:val="18"/>
              </w:rPr>
              <w:t>~80-145bps</w:t>
            </w:r>
          </w:p>
        </w:tc>
      </w:tr>
    </w:tbl>
    <w:p w14:paraId="2FBBD212">
      <w:r>
        <w:rPr>
          <w:rFonts w:ascii="宋体" w:hAnsi="宋体" w:eastAsia="宋体"/>
          <w:b w:val="0"/>
          <w:sz w:val="22"/>
        </w:rPr>
        <w:t>真实成本约20bps双边，年化拖累约2.76%（基准策略从21.43%降至18.67%）。与理论估算一致。冲击成本是最大的不确定性来源，取决于持仓市值和日均成交额。</w:t>
      </w:r>
    </w:p>
    <w:p w14:paraId="57317D06">
      <w:r>
        <w:rPr>
          <w:rFonts w:ascii="宋体" w:hAnsi="宋体" w:eastAsia="宋体"/>
          <w:b/>
          <w:sz w:val="22"/>
        </w:rPr>
        <w:t>换手率优化空间分析</w:t>
      </w:r>
    </w:p>
    <w:p w14:paraId="178D72BA">
      <w:r>
        <w:rPr>
          <w:rFonts w:ascii="宋体" w:hAnsi="宋体" w:eastAsia="宋体"/>
          <w:b w:val="0"/>
          <w:sz w:val="22"/>
        </w:rPr>
        <w:t>当前buffer=80已是近优配置，换手率从690%降至536%（-22%）。进一步优化空间极小：信号平滑微弱降低换手率但夏普也微降；更大buffer(100/150)不改善净夏普；季度调仓严重损害策略。反转策略的换手率本质上由信号变化驱动——每月约50%的持仓发生变化，这是策略特性而非缺陷。</w:t>
      </w:r>
    </w:p>
    <w:p w14:paraId="27519F47">
      <w:r>
        <w:br w:type="page"/>
      </w:r>
    </w:p>
    <w:p w14:paraId="373443C4">
      <w:pPr>
        <w:pStyle w:val="4"/>
      </w:pPr>
      <w:r>
        <w:t>2.7 实战可行性类优化</w:t>
      </w:r>
    </w:p>
    <w:p w14:paraId="13F9115C">
      <w:r>
        <w:rPr>
          <w:rFonts w:ascii="宋体" w:hAnsi="宋体" w:eastAsia="宋体"/>
          <w:b w:val="0"/>
          <w:sz w:val="22"/>
        </w:rPr>
        <w:t>目标：提升策略在实盘中的可交易性和稳健性。</w:t>
      </w:r>
    </w:p>
    <w:p w14:paraId="2A429DA3">
      <w:r>
        <w:rPr>
          <w:rFonts w:ascii="宋体" w:hAnsi="宋体" w:eastAsia="宋体"/>
          <w:b/>
          <w:sz w:val="22"/>
        </w:rPr>
        <w:t>成功方向</w:t>
      </w:r>
    </w:p>
    <w:p w14:paraId="51115248">
      <w:r>
        <w:rPr>
          <w:rFonts w:ascii="宋体" w:hAnsi="宋体" w:eastAsia="宋体"/>
          <w:b/>
          <w:sz w:val="22"/>
        </w:rPr>
        <w:t>① 可交易性过滤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6B4D8D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1A0CBE2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1440" w:type="dxa"/>
          </w:tcPr>
          <w:p w14:paraId="45E5B35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440" w:type="dxa"/>
          </w:tcPr>
          <w:p w14:paraId="69584CD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440" w:type="dxa"/>
          </w:tcPr>
          <w:p w14:paraId="08CC972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440" w:type="dxa"/>
          </w:tcPr>
          <w:p w14:paraId="15CD0F8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波动率</w:t>
            </w:r>
          </w:p>
        </w:tc>
        <w:tc>
          <w:tcPr>
            <w:tcW w:w="1440" w:type="dxa"/>
          </w:tcPr>
          <w:p w14:paraId="755A7C8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3348EB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72E6D847">
            <w:pPr>
              <w:spacing w:after="0" w:line="240" w:lineRule="auto"/>
              <w:jc w:val="center"/>
            </w:pPr>
            <w:r>
              <w:rPr>
                <w:sz w:val="18"/>
              </w:rPr>
              <w:t>基准(无过滤)</w:t>
            </w:r>
          </w:p>
        </w:tc>
        <w:tc>
          <w:tcPr>
            <w:tcW w:w="1440" w:type="dxa"/>
          </w:tcPr>
          <w:p w14:paraId="5A403171">
            <w:pPr>
              <w:spacing w:after="0" w:line="240" w:lineRule="auto"/>
              <w:jc w:val="center"/>
            </w:pPr>
            <w:r>
              <w:rPr>
                <w:sz w:val="18"/>
              </w:rPr>
              <w:t>20.30%</w:t>
            </w:r>
          </w:p>
        </w:tc>
        <w:tc>
          <w:tcPr>
            <w:tcW w:w="1440" w:type="dxa"/>
          </w:tcPr>
          <w:p w14:paraId="45F67E17">
            <w:pPr>
              <w:spacing w:after="0" w:line="240" w:lineRule="auto"/>
              <w:jc w:val="center"/>
            </w:pPr>
            <w:r>
              <w:rPr>
                <w:sz w:val="18"/>
              </w:rPr>
              <w:t>1.06</w:t>
            </w:r>
          </w:p>
        </w:tc>
        <w:tc>
          <w:tcPr>
            <w:tcW w:w="1440" w:type="dxa"/>
          </w:tcPr>
          <w:p w14:paraId="3371EC7B">
            <w:pPr>
              <w:spacing w:after="0" w:line="240" w:lineRule="auto"/>
              <w:jc w:val="center"/>
            </w:pPr>
            <w:r>
              <w:rPr>
                <w:sz w:val="18"/>
              </w:rPr>
              <w:t>-20%</w:t>
            </w:r>
          </w:p>
        </w:tc>
        <w:tc>
          <w:tcPr>
            <w:tcW w:w="1440" w:type="dxa"/>
          </w:tcPr>
          <w:p w14:paraId="530EEEC6">
            <w:pPr>
              <w:spacing w:after="0" w:line="240" w:lineRule="auto"/>
              <w:jc w:val="center"/>
            </w:pPr>
            <w:r>
              <w:rPr>
                <w:sz w:val="18"/>
              </w:rPr>
              <w:t>19%</w:t>
            </w:r>
          </w:p>
        </w:tc>
        <w:tc>
          <w:tcPr>
            <w:tcW w:w="1440" w:type="dxa"/>
          </w:tcPr>
          <w:p w14:paraId="7A15FEE2">
            <w:pPr>
              <w:spacing w:after="0" w:line="240" w:lineRule="auto"/>
              <w:jc w:val="center"/>
            </w:pPr>
            <w:r>
              <w:rPr>
                <w:sz w:val="18"/>
              </w:rPr>
              <w:t>543%</w:t>
            </w:r>
          </w:p>
        </w:tc>
      </w:tr>
      <w:tr w14:paraId="477A5E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64A08281">
            <w:pPr>
              <w:spacing w:after="0" w:line="240" w:lineRule="auto"/>
              <w:jc w:val="center"/>
            </w:pPr>
            <w:r>
              <w:rPr>
                <w:sz w:val="18"/>
              </w:rPr>
              <w:t>可交易性过滤(非次新+非停牌)</w:t>
            </w:r>
          </w:p>
        </w:tc>
        <w:tc>
          <w:tcPr>
            <w:tcW w:w="1440" w:type="dxa"/>
          </w:tcPr>
          <w:p w14:paraId="52AF0459">
            <w:pPr>
              <w:spacing w:after="0" w:line="240" w:lineRule="auto"/>
              <w:jc w:val="center"/>
            </w:pPr>
            <w:r>
              <w:rPr>
                <w:sz w:val="18"/>
              </w:rPr>
              <w:t>21.00%</w:t>
            </w:r>
          </w:p>
        </w:tc>
        <w:tc>
          <w:tcPr>
            <w:tcW w:w="1440" w:type="dxa"/>
          </w:tcPr>
          <w:p w14:paraId="71234897">
            <w:pPr>
              <w:spacing w:after="0" w:line="240" w:lineRule="auto"/>
              <w:jc w:val="center"/>
            </w:pPr>
            <w:r>
              <w:rPr>
                <w:sz w:val="18"/>
              </w:rPr>
              <w:t>1.10</w:t>
            </w:r>
          </w:p>
        </w:tc>
        <w:tc>
          <w:tcPr>
            <w:tcW w:w="1440" w:type="dxa"/>
          </w:tcPr>
          <w:p w14:paraId="0A0617F2">
            <w:pPr>
              <w:spacing w:after="0" w:line="240" w:lineRule="auto"/>
              <w:jc w:val="center"/>
            </w:pPr>
            <w:r>
              <w:rPr>
                <w:sz w:val="18"/>
              </w:rPr>
              <w:t>-18%</w:t>
            </w:r>
          </w:p>
        </w:tc>
        <w:tc>
          <w:tcPr>
            <w:tcW w:w="1440" w:type="dxa"/>
          </w:tcPr>
          <w:p w14:paraId="3004DCA1">
            <w:pPr>
              <w:spacing w:after="0" w:line="240" w:lineRule="auto"/>
              <w:jc w:val="center"/>
            </w:pPr>
            <w:r>
              <w:rPr>
                <w:sz w:val="18"/>
              </w:rPr>
              <w:t>17%</w:t>
            </w:r>
          </w:p>
        </w:tc>
        <w:tc>
          <w:tcPr>
            <w:tcW w:w="1440" w:type="dxa"/>
          </w:tcPr>
          <w:p w14:paraId="338EAF51">
            <w:pPr>
              <w:spacing w:after="0" w:line="240" w:lineRule="auto"/>
              <w:jc w:val="center"/>
            </w:pPr>
            <w:r>
              <w:rPr>
                <w:sz w:val="18"/>
              </w:rPr>
              <w:t>536%</w:t>
            </w:r>
          </w:p>
        </w:tc>
      </w:tr>
    </w:tbl>
    <w:p w14:paraId="7B621AB8">
      <w:r>
        <w:rPr>
          <w:rFonts w:ascii="宋体" w:hAnsi="宋体" w:eastAsia="宋体"/>
          <w:b w:val="0"/>
          <w:sz w:val="22"/>
        </w:rPr>
        <w:t>可交易性过滤有效！夏普从1.06升至1.10，波动率从19%降至17%。过滤次新股（上市不满6个月）和停牌股降低了噪音——次新股缺乏足够的历史数据计算反转信号，信号质量差；停牌股无法交易，包含它们会虚增组合收益。这是唯一同时提升夏普和降低波动率的优化。</w:t>
      </w:r>
    </w:p>
    <w:p w14:paraId="23C1D1C5">
      <w:r>
        <w:rPr>
          <w:rFonts w:ascii="宋体" w:hAnsi="宋体" w:eastAsia="宋体"/>
          <w:b/>
          <w:sz w:val="22"/>
        </w:rPr>
        <w:t>② 冲击成本分段建模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A5110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184E5A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成本假设</w:t>
            </w:r>
          </w:p>
        </w:tc>
        <w:tc>
          <w:tcPr>
            <w:tcW w:w="1728" w:type="dxa"/>
          </w:tcPr>
          <w:p w14:paraId="324F8DB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净年化收益</w:t>
            </w:r>
          </w:p>
        </w:tc>
        <w:tc>
          <w:tcPr>
            <w:tcW w:w="1728" w:type="dxa"/>
          </w:tcPr>
          <w:p w14:paraId="418B0F7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净夏普</w:t>
            </w:r>
          </w:p>
        </w:tc>
        <w:tc>
          <w:tcPr>
            <w:tcW w:w="1728" w:type="dxa"/>
          </w:tcPr>
          <w:p w14:paraId="4DFDACD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464FA25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4487AE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7D393CC7">
            <w:pPr>
              <w:spacing w:after="0" w:line="240" w:lineRule="auto"/>
              <w:jc w:val="center"/>
            </w:pPr>
            <w:r>
              <w:rPr>
                <w:sz w:val="18"/>
              </w:rPr>
              <w:t>15bps</w:t>
            </w:r>
          </w:p>
        </w:tc>
        <w:tc>
          <w:tcPr>
            <w:tcW w:w="1728" w:type="dxa"/>
          </w:tcPr>
          <w:p w14:paraId="59E1C8D9">
            <w:pPr>
              <w:spacing w:after="0" w:line="240" w:lineRule="auto"/>
              <w:jc w:val="center"/>
            </w:pPr>
            <w:r>
              <w:rPr>
                <w:sz w:val="18"/>
              </w:rPr>
              <w:t>20.07%</w:t>
            </w:r>
          </w:p>
        </w:tc>
        <w:tc>
          <w:tcPr>
            <w:tcW w:w="1728" w:type="dxa"/>
          </w:tcPr>
          <w:p w14:paraId="36CB293C">
            <w:pPr>
              <w:spacing w:after="0" w:line="240" w:lineRule="auto"/>
              <w:jc w:val="center"/>
            </w:pPr>
            <w:r>
              <w:rPr>
                <w:sz w:val="18"/>
              </w:rPr>
              <w:t>1.05</w:t>
            </w:r>
          </w:p>
        </w:tc>
        <w:tc>
          <w:tcPr>
            <w:tcW w:w="1728" w:type="dxa"/>
          </w:tcPr>
          <w:p w14:paraId="3552299D">
            <w:pPr>
              <w:spacing w:after="0" w:line="240" w:lineRule="auto"/>
              <w:jc w:val="center"/>
            </w:pPr>
            <w:r>
              <w:rPr>
                <w:sz w:val="18"/>
              </w:rPr>
              <w:t>-19.80%</w:t>
            </w:r>
          </w:p>
        </w:tc>
        <w:tc>
          <w:tcPr>
            <w:tcW w:w="1728" w:type="dxa"/>
          </w:tcPr>
          <w:p w14:paraId="79DAFD83">
            <w:pPr>
              <w:spacing w:after="0" w:line="240" w:lineRule="auto"/>
              <w:jc w:val="center"/>
            </w:pPr>
            <w:r>
              <w:rPr>
                <w:sz w:val="18"/>
              </w:rPr>
              <w:t>536%</w:t>
            </w:r>
          </w:p>
        </w:tc>
      </w:tr>
      <w:tr w14:paraId="600E2F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4C08252B">
            <w:pPr>
              <w:spacing w:after="0" w:line="240" w:lineRule="auto"/>
              <w:jc w:val="center"/>
            </w:pPr>
            <w:r>
              <w:rPr>
                <w:sz w:val="18"/>
              </w:rPr>
              <w:t>20bps</w:t>
            </w:r>
          </w:p>
        </w:tc>
        <w:tc>
          <w:tcPr>
            <w:tcW w:w="1728" w:type="dxa"/>
          </w:tcPr>
          <w:p w14:paraId="3569B3B3">
            <w:pPr>
              <w:spacing w:after="0" w:line="240" w:lineRule="auto"/>
              <w:jc w:val="center"/>
            </w:pPr>
            <w:r>
              <w:rPr>
                <w:sz w:val="18"/>
              </w:rPr>
              <w:t>19.93%</w:t>
            </w:r>
          </w:p>
        </w:tc>
        <w:tc>
          <w:tcPr>
            <w:tcW w:w="1728" w:type="dxa"/>
          </w:tcPr>
          <w:p w14:paraId="67409A81">
            <w:pPr>
              <w:spacing w:after="0" w:line="240" w:lineRule="auto"/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w="1728" w:type="dxa"/>
          </w:tcPr>
          <w:p w14:paraId="3A4E9DC7">
            <w:pPr>
              <w:spacing w:after="0" w:line="240" w:lineRule="auto"/>
              <w:jc w:val="center"/>
            </w:pPr>
            <w:r>
              <w:rPr>
                <w:sz w:val="18"/>
              </w:rPr>
              <w:t>-20.00%</w:t>
            </w:r>
          </w:p>
        </w:tc>
        <w:tc>
          <w:tcPr>
            <w:tcW w:w="1728" w:type="dxa"/>
          </w:tcPr>
          <w:p w14:paraId="118F3F5E">
            <w:pPr>
              <w:spacing w:after="0" w:line="240" w:lineRule="auto"/>
              <w:jc w:val="center"/>
            </w:pPr>
            <w:r>
              <w:rPr>
                <w:sz w:val="18"/>
              </w:rPr>
              <w:t>536%</w:t>
            </w:r>
          </w:p>
        </w:tc>
      </w:tr>
      <w:tr w14:paraId="0F5565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580745CA">
            <w:pPr>
              <w:spacing w:after="0" w:line="240" w:lineRule="auto"/>
              <w:jc w:val="center"/>
            </w:pPr>
            <w:r>
              <w:rPr>
                <w:sz w:val="18"/>
              </w:rPr>
              <w:t>30bps</w:t>
            </w:r>
          </w:p>
        </w:tc>
        <w:tc>
          <w:tcPr>
            <w:tcW w:w="1728" w:type="dxa"/>
          </w:tcPr>
          <w:p w14:paraId="1BDCF410">
            <w:pPr>
              <w:spacing w:after="0" w:line="240" w:lineRule="auto"/>
              <w:jc w:val="center"/>
            </w:pPr>
            <w:r>
              <w:rPr>
                <w:sz w:val="18"/>
              </w:rPr>
              <w:t>19.64%</w:t>
            </w:r>
          </w:p>
        </w:tc>
        <w:tc>
          <w:tcPr>
            <w:tcW w:w="1728" w:type="dxa"/>
          </w:tcPr>
          <w:p w14:paraId="4CF4EB83">
            <w:pPr>
              <w:spacing w:after="0" w:line="240" w:lineRule="auto"/>
              <w:jc w:val="center"/>
            </w:pPr>
            <w:r>
              <w:rPr>
                <w:sz w:val="18"/>
              </w:rPr>
              <w:t>1.03</w:t>
            </w:r>
          </w:p>
        </w:tc>
        <w:tc>
          <w:tcPr>
            <w:tcW w:w="1728" w:type="dxa"/>
          </w:tcPr>
          <w:p w14:paraId="58158031">
            <w:pPr>
              <w:spacing w:after="0" w:line="240" w:lineRule="auto"/>
              <w:jc w:val="center"/>
            </w:pPr>
            <w:r>
              <w:rPr>
                <w:sz w:val="18"/>
              </w:rPr>
              <w:t>-20.39%</w:t>
            </w:r>
          </w:p>
        </w:tc>
        <w:tc>
          <w:tcPr>
            <w:tcW w:w="1728" w:type="dxa"/>
          </w:tcPr>
          <w:p w14:paraId="0A8AA555">
            <w:pPr>
              <w:spacing w:after="0" w:line="240" w:lineRule="auto"/>
              <w:jc w:val="center"/>
            </w:pPr>
            <w:r>
              <w:rPr>
                <w:sz w:val="18"/>
              </w:rPr>
              <w:t>536%</w:t>
            </w:r>
          </w:p>
        </w:tc>
      </w:tr>
      <w:tr w14:paraId="1A6D12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7AB991EE">
            <w:pPr>
              <w:spacing w:after="0" w:line="240" w:lineRule="auto"/>
              <w:jc w:val="center"/>
            </w:pPr>
            <w:r>
              <w:rPr>
                <w:sz w:val="18"/>
              </w:rPr>
              <w:t>分段(10/25/50bps按市值)</w:t>
            </w:r>
          </w:p>
        </w:tc>
        <w:tc>
          <w:tcPr>
            <w:tcW w:w="1728" w:type="dxa"/>
          </w:tcPr>
          <w:p w14:paraId="506E9662">
            <w:pPr>
              <w:spacing w:after="0" w:line="240" w:lineRule="auto"/>
              <w:jc w:val="center"/>
            </w:pPr>
            <w:r>
              <w:rPr>
                <w:sz w:val="18"/>
              </w:rPr>
              <w:t>19.52%</w:t>
            </w:r>
          </w:p>
        </w:tc>
        <w:tc>
          <w:tcPr>
            <w:tcW w:w="1728" w:type="dxa"/>
          </w:tcPr>
          <w:p w14:paraId="7122F8D5">
            <w:pPr>
              <w:spacing w:after="0" w:line="240" w:lineRule="auto"/>
              <w:jc w:val="center"/>
            </w:pPr>
            <w:r>
              <w:rPr>
                <w:sz w:val="18"/>
              </w:rPr>
              <w:t>1.02</w:t>
            </w:r>
          </w:p>
        </w:tc>
        <w:tc>
          <w:tcPr>
            <w:tcW w:w="1728" w:type="dxa"/>
          </w:tcPr>
          <w:p w14:paraId="5C1C0972">
            <w:pPr>
              <w:spacing w:after="0" w:line="240" w:lineRule="auto"/>
              <w:jc w:val="center"/>
            </w:pPr>
            <w:r>
              <w:rPr>
                <w:sz w:val="18"/>
              </w:rPr>
              <w:t>-20.37%</w:t>
            </w:r>
          </w:p>
        </w:tc>
        <w:tc>
          <w:tcPr>
            <w:tcW w:w="1728" w:type="dxa"/>
          </w:tcPr>
          <w:p w14:paraId="4B314424">
            <w:pPr>
              <w:spacing w:after="0" w:line="240" w:lineRule="auto"/>
              <w:jc w:val="center"/>
            </w:pPr>
            <w:r>
              <w:rPr>
                <w:sz w:val="18"/>
              </w:rPr>
              <w:t>536%</w:t>
            </w:r>
          </w:p>
        </w:tc>
      </w:tr>
    </w:tbl>
    <w:p w14:paraId="274270A8">
      <w:r>
        <w:rPr>
          <w:rFonts w:ascii="宋体" w:hAnsi="宋体" w:eastAsia="宋体"/>
          <w:b w:val="0"/>
          <w:sz w:val="22"/>
        </w:rPr>
        <w:t>策略对成本敏感度适中。分段成本与30bps固定成本效果相当，说明当前持仓以中等市值为主。对于大资金（&gt;1亿元），冲击成本可能升至50bps以上，需考虑分批交易。</w:t>
      </w:r>
    </w:p>
    <w:p w14:paraId="76465FAA">
      <w:r>
        <w:rPr>
          <w:rFonts w:ascii="宋体" w:hAnsi="宋体" w:eastAsia="宋体"/>
          <w:b/>
          <w:sz w:val="22"/>
        </w:rPr>
        <w:t>③ 参数稳健性（多策略并行测试）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4ADD8F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080" w:type="dxa"/>
          </w:tcPr>
          <w:p w14:paraId="7278DFF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K</w:t>
            </w:r>
          </w:p>
        </w:tc>
        <w:tc>
          <w:tcPr>
            <w:tcW w:w="1080" w:type="dxa"/>
          </w:tcPr>
          <w:p w14:paraId="6D523A4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TopK</w:t>
            </w:r>
          </w:p>
        </w:tc>
        <w:tc>
          <w:tcPr>
            <w:tcW w:w="1080" w:type="dxa"/>
          </w:tcPr>
          <w:p w14:paraId="294D60A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MA</w:t>
            </w:r>
          </w:p>
        </w:tc>
        <w:tc>
          <w:tcPr>
            <w:tcW w:w="1080" w:type="dxa"/>
          </w:tcPr>
          <w:p w14:paraId="7AFBF47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VT</w:t>
            </w:r>
          </w:p>
        </w:tc>
        <w:tc>
          <w:tcPr>
            <w:tcW w:w="1080" w:type="dxa"/>
          </w:tcPr>
          <w:p w14:paraId="57EE899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080" w:type="dxa"/>
          </w:tcPr>
          <w:p w14:paraId="17896D5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080" w:type="dxa"/>
          </w:tcPr>
          <w:p w14:paraId="61944FC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080" w:type="dxa"/>
          </w:tcPr>
          <w:p w14:paraId="2F2D33A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759716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080" w:type="dxa"/>
          </w:tcPr>
          <w:p w14:paraId="057BC5C9">
            <w:pPr>
              <w:spacing w:after="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080" w:type="dxa"/>
          </w:tcPr>
          <w:p w14:paraId="2EC65D29">
            <w:pPr>
              <w:spacing w:after="0" w:line="240" w:lineRule="auto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080" w:type="dxa"/>
          </w:tcPr>
          <w:p w14:paraId="60FE567C">
            <w:pPr>
              <w:spacing w:after="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080" w:type="dxa"/>
          </w:tcPr>
          <w:p w14:paraId="7D9A9AC6">
            <w:pPr>
              <w:spacing w:after="0" w:line="240" w:lineRule="auto"/>
              <w:jc w:val="center"/>
            </w:pPr>
            <w:r>
              <w:rPr>
                <w:sz w:val="18"/>
              </w:rPr>
              <w:t>12%</w:t>
            </w:r>
          </w:p>
        </w:tc>
        <w:tc>
          <w:tcPr>
            <w:tcW w:w="1080" w:type="dxa"/>
          </w:tcPr>
          <w:p w14:paraId="0269550E">
            <w:pPr>
              <w:spacing w:after="0" w:line="240" w:lineRule="auto"/>
              <w:jc w:val="center"/>
            </w:pPr>
            <w:r>
              <w:rPr>
                <w:sz w:val="18"/>
              </w:rPr>
              <w:t>20.30%</w:t>
            </w:r>
          </w:p>
        </w:tc>
        <w:tc>
          <w:tcPr>
            <w:tcW w:w="1080" w:type="dxa"/>
          </w:tcPr>
          <w:p w14:paraId="12A55D84">
            <w:pPr>
              <w:spacing w:after="0" w:line="240" w:lineRule="auto"/>
              <w:jc w:val="center"/>
            </w:pPr>
            <w:r>
              <w:rPr>
                <w:sz w:val="18"/>
              </w:rPr>
              <w:t>1.06</w:t>
            </w:r>
          </w:p>
        </w:tc>
        <w:tc>
          <w:tcPr>
            <w:tcW w:w="1080" w:type="dxa"/>
          </w:tcPr>
          <w:p w14:paraId="69898BDB">
            <w:pPr>
              <w:spacing w:after="0" w:line="240" w:lineRule="auto"/>
              <w:jc w:val="center"/>
            </w:pPr>
            <w:r>
              <w:rPr>
                <w:sz w:val="18"/>
              </w:rPr>
              <w:t>-20.23%</w:t>
            </w:r>
          </w:p>
        </w:tc>
        <w:tc>
          <w:tcPr>
            <w:tcW w:w="1080" w:type="dxa"/>
          </w:tcPr>
          <w:p w14:paraId="668953A7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29B7BD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080" w:type="dxa"/>
          </w:tcPr>
          <w:p w14:paraId="49B7019C">
            <w:pPr>
              <w:spacing w:after="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080" w:type="dxa"/>
          </w:tcPr>
          <w:p w14:paraId="370982FC">
            <w:pPr>
              <w:spacing w:after="0" w:line="240" w:lineRule="auto"/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w="1080" w:type="dxa"/>
          </w:tcPr>
          <w:p w14:paraId="674D0F2A">
            <w:pPr>
              <w:spacing w:after="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080" w:type="dxa"/>
          </w:tcPr>
          <w:p w14:paraId="46F9AB6E">
            <w:pPr>
              <w:spacing w:after="0" w:line="240" w:lineRule="auto"/>
              <w:jc w:val="center"/>
            </w:pPr>
            <w:r>
              <w:rPr>
                <w:sz w:val="18"/>
              </w:rPr>
              <w:t>12%</w:t>
            </w:r>
          </w:p>
        </w:tc>
        <w:tc>
          <w:tcPr>
            <w:tcW w:w="1080" w:type="dxa"/>
          </w:tcPr>
          <w:p w14:paraId="2A4BEEBA">
            <w:pPr>
              <w:spacing w:after="0" w:line="240" w:lineRule="auto"/>
              <w:jc w:val="center"/>
            </w:pPr>
            <w:r>
              <w:rPr>
                <w:sz w:val="18"/>
              </w:rPr>
              <w:t>21.56%</w:t>
            </w:r>
          </w:p>
        </w:tc>
        <w:tc>
          <w:tcPr>
            <w:tcW w:w="1080" w:type="dxa"/>
          </w:tcPr>
          <w:p w14:paraId="5D646C63">
            <w:pPr>
              <w:spacing w:after="0" w:line="240" w:lineRule="auto"/>
              <w:jc w:val="center"/>
            </w:pPr>
            <w:r>
              <w:rPr>
                <w:sz w:val="18"/>
              </w:rPr>
              <w:t>1.02</w:t>
            </w:r>
          </w:p>
        </w:tc>
        <w:tc>
          <w:tcPr>
            <w:tcW w:w="1080" w:type="dxa"/>
          </w:tcPr>
          <w:p w14:paraId="6AA55983">
            <w:pPr>
              <w:spacing w:after="0" w:line="240" w:lineRule="auto"/>
              <w:jc w:val="center"/>
            </w:pPr>
            <w:r>
              <w:rPr>
                <w:sz w:val="18"/>
              </w:rPr>
              <w:t>-19.83%</w:t>
            </w:r>
          </w:p>
        </w:tc>
        <w:tc>
          <w:tcPr>
            <w:tcW w:w="1080" w:type="dxa"/>
          </w:tcPr>
          <w:p w14:paraId="24FACC2F">
            <w:pPr>
              <w:spacing w:after="0" w:line="240" w:lineRule="auto"/>
              <w:jc w:val="center"/>
            </w:pPr>
            <w:r>
              <w:rPr>
                <w:sz w:val="18"/>
              </w:rPr>
              <w:t>519%</w:t>
            </w:r>
          </w:p>
        </w:tc>
      </w:tr>
      <w:tr w14:paraId="460ABA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080" w:type="dxa"/>
          </w:tcPr>
          <w:p w14:paraId="72302D41">
            <w:pPr>
              <w:spacing w:after="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080" w:type="dxa"/>
          </w:tcPr>
          <w:p w14:paraId="6AE1E7C2">
            <w:pPr>
              <w:spacing w:after="0" w:line="240" w:lineRule="auto"/>
              <w:jc w:val="center"/>
            </w:pPr>
            <w:r>
              <w:rPr>
                <w:sz w:val="18"/>
              </w:rPr>
              <w:t>120</w:t>
            </w:r>
          </w:p>
        </w:tc>
        <w:tc>
          <w:tcPr>
            <w:tcW w:w="1080" w:type="dxa"/>
          </w:tcPr>
          <w:p w14:paraId="0F4FC011">
            <w:pPr>
              <w:spacing w:after="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080" w:type="dxa"/>
          </w:tcPr>
          <w:p w14:paraId="66640756">
            <w:pPr>
              <w:spacing w:after="0" w:line="240" w:lineRule="auto"/>
              <w:jc w:val="center"/>
            </w:pPr>
            <w:r>
              <w:rPr>
                <w:sz w:val="18"/>
              </w:rPr>
              <w:t>12%</w:t>
            </w:r>
          </w:p>
        </w:tc>
        <w:tc>
          <w:tcPr>
            <w:tcW w:w="1080" w:type="dxa"/>
          </w:tcPr>
          <w:p w14:paraId="0F5CF724">
            <w:pPr>
              <w:spacing w:after="0" w:line="240" w:lineRule="auto"/>
              <w:jc w:val="center"/>
            </w:pPr>
            <w:r>
              <w:rPr>
                <w:sz w:val="18"/>
              </w:rPr>
              <w:t>22.15%</w:t>
            </w:r>
          </w:p>
        </w:tc>
        <w:tc>
          <w:tcPr>
            <w:tcW w:w="1080" w:type="dxa"/>
          </w:tcPr>
          <w:p w14:paraId="7B233E23">
            <w:pPr>
              <w:spacing w:after="0" w:line="240" w:lineRule="auto"/>
              <w:jc w:val="center"/>
            </w:pPr>
            <w:r>
              <w:rPr>
                <w:sz w:val="18"/>
              </w:rPr>
              <w:t>1.06</w:t>
            </w:r>
          </w:p>
        </w:tc>
        <w:tc>
          <w:tcPr>
            <w:tcW w:w="1080" w:type="dxa"/>
          </w:tcPr>
          <w:p w14:paraId="453C7B5D">
            <w:pPr>
              <w:spacing w:after="0" w:line="240" w:lineRule="auto"/>
              <w:jc w:val="center"/>
            </w:pPr>
            <w:r>
              <w:rPr>
                <w:sz w:val="18"/>
              </w:rPr>
              <w:t>-15.60%</w:t>
            </w:r>
          </w:p>
        </w:tc>
        <w:tc>
          <w:tcPr>
            <w:tcW w:w="1080" w:type="dxa"/>
          </w:tcPr>
          <w:p w14:paraId="3601C884">
            <w:pPr>
              <w:spacing w:after="0" w:line="240" w:lineRule="auto"/>
              <w:jc w:val="center"/>
            </w:pPr>
            <w:r>
              <w:rPr>
                <w:sz w:val="18"/>
              </w:rPr>
              <w:t>532%</w:t>
            </w:r>
          </w:p>
        </w:tc>
      </w:tr>
      <w:tr w14:paraId="1C83FE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080" w:type="dxa"/>
          </w:tcPr>
          <w:p w14:paraId="6441A247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080" w:type="dxa"/>
          </w:tcPr>
          <w:p w14:paraId="38821BF0">
            <w:pPr>
              <w:spacing w:after="0" w:line="240" w:lineRule="auto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080" w:type="dxa"/>
          </w:tcPr>
          <w:p w14:paraId="7458280F">
            <w:pPr>
              <w:spacing w:after="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080" w:type="dxa"/>
          </w:tcPr>
          <w:p w14:paraId="37ACEC07">
            <w:pPr>
              <w:spacing w:after="0" w:line="240" w:lineRule="auto"/>
              <w:jc w:val="center"/>
            </w:pPr>
            <w:r>
              <w:rPr>
                <w:sz w:val="18"/>
              </w:rPr>
              <w:t>12%</w:t>
            </w:r>
          </w:p>
        </w:tc>
        <w:tc>
          <w:tcPr>
            <w:tcW w:w="1080" w:type="dxa"/>
          </w:tcPr>
          <w:p w14:paraId="40A83C65">
            <w:pPr>
              <w:spacing w:after="0" w:line="240" w:lineRule="auto"/>
              <w:jc w:val="center"/>
            </w:pPr>
            <w:r>
              <w:rPr>
                <w:sz w:val="18"/>
              </w:rPr>
              <w:t>15.61%</w:t>
            </w:r>
          </w:p>
        </w:tc>
        <w:tc>
          <w:tcPr>
            <w:tcW w:w="1080" w:type="dxa"/>
          </w:tcPr>
          <w:p w14:paraId="4487BF54">
            <w:pPr>
              <w:spacing w:after="0" w:line="240" w:lineRule="auto"/>
              <w:jc w:val="center"/>
            </w:pPr>
            <w:r>
              <w:rPr>
                <w:sz w:val="18"/>
              </w:rPr>
              <w:t>0.91</w:t>
            </w:r>
          </w:p>
        </w:tc>
        <w:tc>
          <w:tcPr>
            <w:tcW w:w="1080" w:type="dxa"/>
          </w:tcPr>
          <w:p w14:paraId="3A7970E8">
            <w:pPr>
              <w:spacing w:after="0" w:line="240" w:lineRule="auto"/>
              <w:jc w:val="center"/>
            </w:pPr>
            <w:r>
              <w:rPr>
                <w:sz w:val="18"/>
              </w:rPr>
              <w:t>-25.96%</w:t>
            </w:r>
          </w:p>
        </w:tc>
        <w:tc>
          <w:tcPr>
            <w:tcW w:w="1080" w:type="dxa"/>
          </w:tcPr>
          <w:p w14:paraId="259B4A1C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1B9C4B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080" w:type="dxa"/>
          </w:tcPr>
          <w:p w14:paraId="1CB7B7DC">
            <w:pPr>
              <w:spacing w:after="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080" w:type="dxa"/>
          </w:tcPr>
          <w:p w14:paraId="79AAC3B9">
            <w:pPr>
              <w:spacing w:after="0" w:line="240" w:lineRule="auto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080" w:type="dxa"/>
          </w:tcPr>
          <w:p w14:paraId="00235358">
            <w:pPr>
              <w:spacing w:after="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080" w:type="dxa"/>
          </w:tcPr>
          <w:p w14:paraId="0051C621">
            <w:pPr>
              <w:spacing w:after="0" w:line="240" w:lineRule="auto"/>
              <w:jc w:val="center"/>
            </w:pPr>
            <w:r>
              <w:rPr>
                <w:sz w:val="18"/>
              </w:rPr>
              <w:t>12%</w:t>
            </w:r>
          </w:p>
        </w:tc>
        <w:tc>
          <w:tcPr>
            <w:tcW w:w="1080" w:type="dxa"/>
          </w:tcPr>
          <w:p w14:paraId="2CF35196">
            <w:pPr>
              <w:spacing w:after="0" w:line="240" w:lineRule="auto"/>
              <w:jc w:val="center"/>
            </w:pPr>
            <w:r>
              <w:rPr>
                <w:sz w:val="18"/>
              </w:rPr>
              <w:t>15.57%</w:t>
            </w:r>
          </w:p>
        </w:tc>
        <w:tc>
          <w:tcPr>
            <w:tcW w:w="1080" w:type="dxa"/>
          </w:tcPr>
          <w:p w14:paraId="25B29B24">
            <w:pPr>
              <w:spacing w:after="0" w:line="240" w:lineRule="auto"/>
              <w:jc w:val="center"/>
            </w:pPr>
            <w:r>
              <w:rPr>
                <w:sz w:val="18"/>
              </w:rPr>
              <w:t>1.01</w:t>
            </w:r>
          </w:p>
        </w:tc>
        <w:tc>
          <w:tcPr>
            <w:tcW w:w="1080" w:type="dxa"/>
          </w:tcPr>
          <w:p w14:paraId="3725BD61">
            <w:pPr>
              <w:spacing w:after="0" w:line="240" w:lineRule="auto"/>
              <w:jc w:val="center"/>
            </w:pPr>
            <w:r>
              <w:rPr>
                <w:sz w:val="18"/>
              </w:rPr>
              <w:t>-18.91%</w:t>
            </w:r>
          </w:p>
        </w:tc>
        <w:tc>
          <w:tcPr>
            <w:tcW w:w="1080" w:type="dxa"/>
          </w:tcPr>
          <w:p w14:paraId="6A901B67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34C90B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080" w:type="dxa"/>
          </w:tcPr>
          <w:p w14:paraId="1AEFACA3">
            <w:pPr>
              <w:spacing w:after="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080" w:type="dxa"/>
          </w:tcPr>
          <w:p w14:paraId="18B0295A">
            <w:pPr>
              <w:spacing w:after="0" w:line="240" w:lineRule="auto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080" w:type="dxa"/>
          </w:tcPr>
          <w:p w14:paraId="2E7F6690">
            <w:pPr>
              <w:spacing w:after="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080" w:type="dxa"/>
          </w:tcPr>
          <w:p w14:paraId="13579D99">
            <w:pPr>
              <w:spacing w:after="0" w:line="240" w:lineRule="auto"/>
              <w:jc w:val="center"/>
            </w:pPr>
            <w:r>
              <w:rPr>
                <w:sz w:val="18"/>
              </w:rPr>
              <w:t>12%</w:t>
            </w:r>
          </w:p>
        </w:tc>
        <w:tc>
          <w:tcPr>
            <w:tcW w:w="1080" w:type="dxa"/>
          </w:tcPr>
          <w:p w14:paraId="30F75406">
            <w:pPr>
              <w:spacing w:after="0" w:line="240" w:lineRule="auto"/>
              <w:jc w:val="center"/>
            </w:pPr>
            <w:r>
              <w:rPr>
                <w:sz w:val="18"/>
              </w:rPr>
              <w:t>22.66%</w:t>
            </w:r>
          </w:p>
        </w:tc>
        <w:tc>
          <w:tcPr>
            <w:tcW w:w="1080" w:type="dxa"/>
          </w:tcPr>
          <w:p w14:paraId="558D2A6B">
            <w:pPr>
              <w:spacing w:after="0" w:line="240" w:lineRule="auto"/>
              <w:jc w:val="center"/>
            </w:pPr>
            <w:r>
              <w:rPr>
                <w:sz w:val="18"/>
              </w:rPr>
              <w:t>1.18</w:t>
            </w:r>
          </w:p>
        </w:tc>
        <w:tc>
          <w:tcPr>
            <w:tcW w:w="1080" w:type="dxa"/>
          </w:tcPr>
          <w:p w14:paraId="203872E7">
            <w:pPr>
              <w:spacing w:after="0" w:line="240" w:lineRule="auto"/>
              <w:jc w:val="center"/>
            </w:pPr>
            <w:r>
              <w:rPr>
                <w:sz w:val="18"/>
              </w:rPr>
              <w:t>-18.77%</w:t>
            </w:r>
          </w:p>
        </w:tc>
        <w:tc>
          <w:tcPr>
            <w:tcW w:w="1080" w:type="dxa"/>
          </w:tcPr>
          <w:p w14:paraId="75D872C2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74FF68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080" w:type="dxa"/>
          </w:tcPr>
          <w:p w14:paraId="2901CA7B">
            <w:pPr>
              <w:spacing w:after="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080" w:type="dxa"/>
          </w:tcPr>
          <w:p w14:paraId="57816408">
            <w:pPr>
              <w:spacing w:after="0" w:line="240" w:lineRule="auto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080" w:type="dxa"/>
          </w:tcPr>
          <w:p w14:paraId="7B7FA60A">
            <w:pPr>
              <w:spacing w:after="0" w:line="240" w:lineRule="auto"/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1080" w:type="dxa"/>
          </w:tcPr>
          <w:p w14:paraId="542F6B3B">
            <w:pPr>
              <w:spacing w:after="0" w:line="240" w:lineRule="auto"/>
              <w:jc w:val="center"/>
            </w:pPr>
            <w:r>
              <w:rPr>
                <w:sz w:val="18"/>
              </w:rPr>
              <w:t>12%</w:t>
            </w:r>
          </w:p>
        </w:tc>
        <w:tc>
          <w:tcPr>
            <w:tcW w:w="1080" w:type="dxa"/>
          </w:tcPr>
          <w:p w14:paraId="26AD7CBC">
            <w:pPr>
              <w:spacing w:after="0" w:line="240" w:lineRule="auto"/>
              <w:jc w:val="center"/>
            </w:pPr>
            <w:r>
              <w:rPr>
                <w:sz w:val="18"/>
              </w:rPr>
              <w:t>15.89%</w:t>
            </w:r>
          </w:p>
        </w:tc>
        <w:tc>
          <w:tcPr>
            <w:tcW w:w="1080" w:type="dxa"/>
          </w:tcPr>
          <w:p w14:paraId="7E6D199E">
            <w:pPr>
              <w:spacing w:after="0" w:line="240" w:lineRule="auto"/>
              <w:jc w:val="center"/>
            </w:pPr>
            <w:r>
              <w:rPr>
                <w:sz w:val="18"/>
              </w:rPr>
              <w:t>0.98</w:t>
            </w:r>
          </w:p>
        </w:tc>
        <w:tc>
          <w:tcPr>
            <w:tcW w:w="1080" w:type="dxa"/>
          </w:tcPr>
          <w:p w14:paraId="7DBDAF1C">
            <w:pPr>
              <w:spacing w:after="0" w:line="240" w:lineRule="auto"/>
              <w:jc w:val="center"/>
            </w:pPr>
            <w:r>
              <w:rPr>
                <w:sz w:val="18"/>
              </w:rPr>
              <w:t>-17.41%</w:t>
            </w:r>
          </w:p>
        </w:tc>
        <w:tc>
          <w:tcPr>
            <w:tcW w:w="1080" w:type="dxa"/>
          </w:tcPr>
          <w:p w14:paraId="4FCEC4C3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</w:tbl>
    <w:p w14:paraId="41A66936">
      <w:r>
        <w:rPr>
          <w:rFonts w:ascii="宋体" w:hAnsi="宋体" w:eastAsia="宋体"/>
          <w:b w:val="0"/>
          <w:sz w:val="22"/>
        </w:rPr>
        <w:t>参数网格统计：夏普均值=1.03，夏普范围=[0.91, 1.18]。策略对K和MA参数敏感（K=3/9和MA=24明显更差），对TopK不敏感（80-120差异仅0.05）。MA6是最优MA参数（夏普1.18），K=6是最优形成期。策略在合理参数范围内均能保持夏普&gt;0.90，说明具有一定的参数稳健性。K=3时年化收益显著下降至15.61%、夏普0.91，因为3个月反转窗口噪音过大、回撤扩大至-25.96%；K=9时年化15.57%、夏普1.01，效果接近K=6；MA=24时年化15.89%、夏普0.98，因为24个月均线对趋势变化反应过慢，错过了最佳的入场和出场时机。</w:t>
      </w:r>
    </w:p>
    <w:p w14:paraId="15D904E4">
      <w:r>
        <w:rPr>
          <w:rFonts w:ascii="宋体" w:hAnsi="宋体" w:eastAsia="宋体"/>
          <w:b/>
          <w:sz w:val="22"/>
        </w:rPr>
        <w:t>④ 流动性过滤（单独评估）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6179E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94D544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1728" w:type="dxa"/>
          </w:tcPr>
          <w:p w14:paraId="1525B8D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37AC574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728" w:type="dxa"/>
          </w:tcPr>
          <w:p w14:paraId="7EC2F65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3EFC0E2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4B8DAE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7509DE69">
            <w:pPr>
              <w:spacing w:after="0" w:line="240" w:lineRule="auto"/>
              <w:jc w:val="center"/>
            </w:pPr>
            <w:r>
              <w:rPr>
                <w:sz w:val="18"/>
              </w:rPr>
              <w:t>无过滤</w:t>
            </w:r>
          </w:p>
        </w:tc>
        <w:tc>
          <w:tcPr>
            <w:tcW w:w="1728" w:type="dxa"/>
          </w:tcPr>
          <w:p w14:paraId="47D4AF25">
            <w:pPr>
              <w:spacing w:after="0" w:line="240" w:lineRule="auto"/>
              <w:jc w:val="center"/>
            </w:pPr>
            <w:r>
              <w:rPr>
                <w:sz w:val="18"/>
              </w:rPr>
              <w:t>18.64%</w:t>
            </w:r>
          </w:p>
        </w:tc>
        <w:tc>
          <w:tcPr>
            <w:tcW w:w="1728" w:type="dxa"/>
          </w:tcPr>
          <w:p w14:paraId="5AFE6A6F">
            <w:pPr>
              <w:spacing w:after="0" w:line="240" w:lineRule="auto"/>
              <w:jc w:val="center"/>
            </w:pPr>
            <w:r>
              <w:rPr>
                <w:sz w:val="18"/>
              </w:rPr>
              <w:t>0.65</w:t>
            </w:r>
          </w:p>
        </w:tc>
        <w:tc>
          <w:tcPr>
            <w:tcW w:w="1728" w:type="dxa"/>
          </w:tcPr>
          <w:p w14:paraId="005370BE">
            <w:pPr>
              <w:spacing w:after="0" w:line="240" w:lineRule="auto"/>
              <w:jc w:val="center"/>
            </w:pPr>
            <w:r>
              <w:rPr>
                <w:sz w:val="18"/>
              </w:rPr>
              <w:t>-73.28%</w:t>
            </w:r>
          </w:p>
        </w:tc>
        <w:tc>
          <w:tcPr>
            <w:tcW w:w="1728" w:type="dxa"/>
          </w:tcPr>
          <w:p w14:paraId="0F93A68C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  <w:tr w14:paraId="2FCF75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57F180AA">
            <w:pPr>
              <w:spacing w:after="0" w:line="240" w:lineRule="auto"/>
              <w:jc w:val="center"/>
            </w:pPr>
            <w:r>
              <w:rPr>
                <w:sz w:val="18"/>
              </w:rPr>
              <w:t>流动性过滤(换手率&gt;30%)</w:t>
            </w:r>
          </w:p>
        </w:tc>
        <w:tc>
          <w:tcPr>
            <w:tcW w:w="1728" w:type="dxa"/>
          </w:tcPr>
          <w:p w14:paraId="3FF11D58">
            <w:pPr>
              <w:spacing w:after="0" w:line="240" w:lineRule="auto"/>
              <w:jc w:val="center"/>
            </w:pPr>
            <w:r>
              <w:rPr>
                <w:sz w:val="18"/>
              </w:rPr>
              <w:t>25.85%</w:t>
            </w:r>
          </w:p>
        </w:tc>
        <w:tc>
          <w:tcPr>
            <w:tcW w:w="1728" w:type="dxa"/>
          </w:tcPr>
          <w:p w14:paraId="46439198">
            <w:pPr>
              <w:spacing w:after="0" w:line="240" w:lineRule="auto"/>
              <w:jc w:val="center"/>
            </w:pPr>
            <w:r>
              <w:rPr>
                <w:sz w:val="18"/>
              </w:rPr>
              <w:t>0.89</w:t>
            </w:r>
          </w:p>
        </w:tc>
        <w:tc>
          <w:tcPr>
            <w:tcW w:w="1728" w:type="dxa"/>
          </w:tcPr>
          <w:p w14:paraId="78C8B8C4">
            <w:pPr>
              <w:spacing w:after="0" w:line="240" w:lineRule="auto"/>
              <w:jc w:val="center"/>
            </w:pPr>
            <w:r>
              <w:rPr>
                <w:sz w:val="18"/>
              </w:rPr>
              <w:t>-38.44%</w:t>
            </w:r>
          </w:p>
        </w:tc>
        <w:tc>
          <w:tcPr>
            <w:tcW w:w="1728" w:type="dxa"/>
          </w:tcPr>
          <w:p w14:paraId="342CE5A7">
            <w:pPr>
              <w:spacing w:after="0" w:line="240" w:lineRule="auto"/>
              <w:jc w:val="center"/>
            </w:pPr>
            <w:r>
              <w:rPr>
                <w:sz w:val="18"/>
              </w:rPr>
              <w:t>604%</w:t>
            </w:r>
          </w:p>
        </w:tc>
      </w:tr>
    </w:tbl>
    <w:p w14:paraId="54D67DC0">
      <w:r>
        <w:rPr>
          <w:rFonts w:ascii="宋体" w:hAnsi="宋体" w:eastAsia="宋体"/>
          <w:b w:val="0"/>
          <w:sz w:val="22"/>
        </w:rPr>
        <w:t>流动性过滤降低夏普（0.65→0.55单独使用时），但与MA组合后夏普0.89。流动性过滤的主要作用是降低换手率和波动率，而非提升夏普。在最终策略中，可交易性过滤（剔除次新+停牌）已部分覆盖了流动性过滤的功能，且效果更好。</w:t>
      </w:r>
    </w:p>
    <w:p w14:paraId="21CFB094">
      <w:r>
        <w:br w:type="page"/>
      </w:r>
    </w:p>
    <w:p w14:paraId="383EE45E">
      <w:pPr>
        <w:pStyle w:val="4"/>
      </w:pPr>
      <w:r>
        <w:t>2.8 最终集成与归因</w:t>
      </w:r>
    </w:p>
    <w:p w14:paraId="792312AF">
      <w:r>
        <w:rPr>
          <w:rFonts w:ascii="宋体" w:hAnsi="宋体" w:eastAsia="宋体"/>
          <w:b/>
          <w:sz w:val="22"/>
        </w:rPr>
        <w:t>四大优化逐步叠加效果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1440"/>
        <w:gridCol w:w="1440"/>
        <w:gridCol w:w="1440"/>
        <w:gridCol w:w="1440"/>
        <w:gridCol w:w="1440"/>
      </w:tblGrid>
      <w:tr w14:paraId="548290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332382D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1440" w:type="dxa"/>
          </w:tcPr>
          <w:p w14:paraId="780B954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</w:t>
            </w:r>
          </w:p>
        </w:tc>
        <w:tc>
          <w:tcPr>
            <w:tcW w:w="1440" w:type="dxa"/>
          </w:tcPr>
          <w:p w14:paraId="35DA22B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440" w:type="dxa"/>
          </w:tcPr>
          <w:p w14:paraId="7AF0BC9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440" w:type="dxa"/>
          </w:tcPr>
          <w:p w14:paraId="289CB34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波动率</w:t>
            </w:r>
          </w:p>
        </w:tc>
        <w:tc>
          <w:tcPr>
            <w:tcW w:w="1440" w:type="dxa"/>
          </w:tcPr>
          <w:p w14:paraId="0F04EAB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7A9376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276FD9C9">
            <w:pPr>
              <w:spacing w:after="0" w:line="240" w:lineRule="auto"/>
              <w:jc w:val="center"/>
            </w:pPr>
            <w:r>
              <w:rPr>
                <w:sz w:val="18"/>
              </w:rPr>
              <w:t>基准(MA12+TopK100+无过滤+无止损)</w:t>
            </w:r>
          </w:p>
        </w:tc>
        <w:tc>
          <w:tcPr>
            <w:tcW w:w="1440" w:type="dxa"/>
          </w:tcPr>
          <w:p w14:paraId="10CA7F87">
            <w:pPr>
              <w:spacing w:after="0" w:line="240" w:lineRule="auto"/>
              <w:jc w:val="center"/>
            </w:pPr>
            <w:r>
              <w:rPr>
                <w:sz w:val="18"/>
              </w:rPr>
              <w:t>20.30%</w:t>
            </w:r>
          </w:p>
        </w:tc>
        <w:tc>
          <w:tcPr>
            <w:tcW w:w="1440" w:type="dxa"/>
          </w:tcPr>
          <w:p w14:paraId="102A4A13">
            <w:pPr>
              <w:spacing w:after="0" w:line="240" w:lineRule="auto"/>
              <w:jc w:val="center"/>
            </w:pPr>
            <w:r>
              <w:rPr>
                <w:sz w:val="18"/>
              </w:rPr>
              <w:t>1.06</w:t>
            </w:r>
          </w:p>
        </w:tc>
        <w:tc>
          <w:tcPr>
            <w:tcW w:w="1440" w:type="dxa"/>
          </w:tcPr>
          <w:p w14:paraId="112F78B2">
            <w:pPr>
              <w:spacing w:after="0" w:line="240" w:lineRule="auto"/>
              <w:jc w:val="center"/>
            </w:pPr>
            <w:r>
              <w:rPr>
                <w:sz w:val="18"/>
              </w:rPr>
              <w:t>-20.23%</w:t>
            </w:r>
          </w:p>
        </w:tc>
        <w:tc>
          <w:tcPr>
            <w:tcW w:w="1440" w:type="dxa"/>
          </w:tcPr>
          <w:p w14:paraId="6B2CF865">
            <w:pPr>
              <w:spacing w:after="0" w:line="240" w:lineRule="auto"/>
              <w:jc w:val="center"/>
            </w:pPr>
            <w:r>
              <w:rPr>
                <w:sz w:val="18"/>
              </w:rPr>
              <w:t>19.13%</w:t>
            </w:r>
          </w:p>
        </w:tc>
        <w:tc>
          <w:tcPr>
            <w:tcW w:w="1440" w:type="dxa"/>
          </w:tcPr>
          <w:p w14:paraId="6962B63A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07F6E7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618C6CDA">
            <w:pPr>
              <w:spacing w:after="0" w:line="240" w:lineRule="auto"/>
              <w:jc w:val="center"/>
            </w:pPr>
            <w:r>
              <w:rPr>
                <w:sz w:val="18"/>
              </w:rPr>
              <w:t>+MA6</w:t>
            </w:r>
          </w:p>
        </w:tc>
        <w:tc>
          <w:tcPr>
            <w:tcW w:w="1440" w:type="dxa"/>
          </w:tcPr>
          <w:p w14:paraId="21A5FEA4">
            <w:pPr>
              <w:spacing w:after="0" w:line="240" w:lineRule="auto"/>
              <w:jc w:val="center"/>
            </w:pPr>
            <w:r>
              <w:rPr>
                <w:sz w:val="18"/>
              </w:rPr>
              <w:t>22.66%</w:t>
            </w:r>
          </w:p>
        </w:tc>
        <w:tc>
          <w:tcPr>
            <w:tcW w:w="1440" w:type="dxa"/>
          </w:tcPr>
          <w:p w14:paraId="752D6E8E">
            <w:pPr>
              <w:spacing w:after="0" w:line="240" w:lineRule="auto"/>
              <w:jc w:val="center"/>
            </w:pPr>
            <w:r>
              <w:rPr>
                <w:sz w:val="18"/>
              </w:rPr>
              <w:t>1.18</w:t>
            </w:r>
          </w:p>
        </w:tc>
        <w:tc>
          <w:tcPr>
            <w:tcW w:w="1440" w:type="dxa"/>
          </w:tcPr>
          <w:p w14:paraId="0BEDE0C9">
            <w:pPr>
              <w:spacing w:after="0" w:line="240" w:lineRule="auto"/>
              <w:jc w:val="center"/>
            </w:pPr>
            <w:r>
              <w:rPr>
                <w:sz w:val="18"/>
              </w:rPr>
              <w:t>-18.77%</w:t>
            </w:r>
          </w:p>
        </w:tc>
        <w:tc>
          <w:tcPr>
            <w:tcW w:w="1440" w:type="dxa"/>
          </w:tcPr>
          <w:p w14:paraId="633F99DC">
            <w:pPr>
              <w:spacing w:after="0" w:line="240" w:lineRule="auto"/>
              <w:jc w:val="center"/>
            </w:pPr>
            <w:r>
              <w:rPr>
                <w:sz w:val="18"/>
              </w:rPr>
              <w:t>18.79%</w:t>
            </w:r>
          </w:p>
        </w:tc>
        <w:tc>
          <w:tcPr>
            <w:tcW w:w="1440" w:type="dxa"/>
          </w:tcPr>
          <w:p w14:paraId="3A81E2A8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61A14B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6D54F876">
            <w:pPr>
              <w:spacing w:after="0" w:line="240" w:lineRule="auto"/>
              <w:jc w:val="center"/>
            </w:pPr>
            <w:r>
              <w:rPr>
                <w:sz w:val="18"/>
              </w:rPr>
              <w:t>+MA6+信号阈值85%</w:t>
            </w:r>
          </w:p>
        </w:tc>
        <w:tc>
          <w:tcPr>
            <w:tcW w:w="1440" w:type="dxa"/>
          </w:tcPr>
          <w:p w14:paraId="09336870">
            <w:pPr>
              <w:spacing w:after="0" w:line="240" w:lineRule="auto"/>
              <w:jc w:val="center"/>
            </w:pPr>
            <w:r>
              <w:rPr>
                <w:sz w:val="18"/>
              </w:rPr>
              <w:t>22.53%</w:t>
            </w:r>
          </w:p>
        </w:tc>
        <w:tc>
          <w:tcPr>
            <w:tcW w:w="1440" w:type="dxa"/>
          </w:tcPr>
          <w:p w14:paraId="59678239">
            <w:pPr>
              <w:spacing w:after="0" w:line="240" w:lineRule="auto"/>
              <w:jc w:val="center"/>
            </w:pPr>
            <w:r>
              <w:rPr>
                <w:sz w:val="18"/>
              </w:rPr>
              <w:t>1.25</w:t>
            </w:r>
          </w:p>
        </w:tc>
        <w:tc>
          <w:tcPr>
            <w:tcW w:w="1440" w:type="dxa"/>
          </w:tcPr>
          <w:p w14:paraId="016BE254">
            <w:pPr>
              <w:spacing w:after="0" w:line="240" w:lineRule="auto"/>
              <w:jc w:val="center"/>
            </w:pPr>
            <w:r>
              <w:rPr>
                <w:sz w:val="18"/>
              </w:rPr>
              <w:t>-18.72%</w:t>
            </w:r>
          </w:p>
        </w:tc>
        <w:tc>
          <w:tcPr>
            <w:tcW w:w="1440" w:type="dxa"/>
          </w:tcPr>
          <w:p w14:paraId="044E9722">
            <w:pPr>
              <w:spacing w:after="0" w:line="240" w:lineRule="auto"/>
              <w:jc w:val="center"/>
            </w:pPr>
            <w:r>
              <w:rPr>
                <w:sz w:val="18"/>
              </w:rPr>
              <w:t>17.44%</w:t>
            </w:r>
          </w:p>
        </w:tc>
        <w:tc>
          <w:tcPr>
            <w:tcW w:w="1440" w:type="dxa"/>
          </w:tcPr>
          <w:p w14:paraId="12B153C6">
            <w:pPr>
              <w:spacing w:after="0" w:line="240" w:lineRule="auto"/>
              <w:jc w:val="center"/>
            </w:pPr>
            <w:r>
              <w:rPr>
                <w:sz w:val="18"/>
              </w:rPr>
              <w:t>599%</w:t>
            </w:r>
          </w:p>
        </w:tc>
      </w:tr>
      <w:tr w14:paraId="65BCAA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58EA4C7A">
            <w:pPr>
              <w:spacing w:after="0" w:line="240" w:lineRule="auto"/>
              <w:jc w:val="center"/>
            </w:pPr>
            <w:r>
              <w:rPr>
                <w:sz w:val="18"/>
              </w:rPr>
              <w:t>+MA6+阈值85%+可交易性</w:t>
            </w:r>
          </w:p>
        </w:tc>
        <w:tc>
          <w:tcPr>
            <w:tcW w:w="1440" w:type="dxa"/>
          </w:tcPr>
          <w:p w14:paraId="547A28A2">
            <w:pPr>
              <w:spacing w:after="0" w:line="240" w:lineRule="auto"/>
              <w:jc w:val="center"/>
            </w:pPr>
            <w:r>
              <w:rPr>
                <w:sz w:val="18"/>
              </w:rPr>
              <w:t>21.93%</w:t>
            </w:r>
          </w:p>
        </w:tc>
        <w:tc>
          <w:tcPr>
            <w:tcW w:w="1440" w:type="dxa"/>
          </w:tcPr>
          <w:p w14:paraId="4AF92902">
            <w:pPr>
              <w:spacing w:after="0" w:line="240" w:lineRule="auto"/>
              <w:jc w:val="center"/>
            </w:pPr>
            <w:r>
              <w:rPr>
                <w:sz w:val="18"/>
              </w:rPr>
              <w:t>1.27</w:t>
            </w:r>
          </w:p>
        </w:tc>
        <w:tc>
          <w:tcPr>
            <w:tcW w:w="1440" w:type="dxa"/>
          </w:tcPr>
          <w:p w14:paraId="61025055">
            <w:pPr>
              <w:spacing w:after="0" w:line="240" w:lineRule="auto"/>
              <w:jc w:val="center"/>
            </w:pPr>
            <w:r>
              <w:rPr>
                <w:sz w:val="18"/>
              </w:rPr>
              <w:t>-16.99%</w:t>
            </w:r>
          </w:p>
        </w:tc>
        <w:tc>
          <w:tcPr>
            <w:tcW w:w="1440" w:type="dxa"/>
          </w:tcPr>
          <w:p w14:paraId="5D9C1989">
            <w:pPr>
              <w:spacing w:after="0" w:line="240" w:lineRule="auto"/>
              <w:jc w:val="center"/>
            </w:pPr>
            <w:r>
              <w:rPr>
                <w:sz w:val="18"/>
              </w:rPr>
              <w:t>16.79%</w:t>
            </w:r>
          </w:p>
        </w:tc>
        <w:tc>
          <w:tcPr>
            <w:tcW w:w="1440" w:type="dxa"/>
          </w:tcPr>
          <w:p w14:paraId="5479CB44">
            <w:pPr>
              <w:spacing w:after="0" w:line="240" w:lineRule="auto"/>
              <w:jc w:val="center"/>
            </w:pPr>
            <w:r>
              <w:rPr>
                <w:sz w:val="18"/>
              </w:rPr>
              <w:t>553%</w:t>
            </w:r>
          </w:p>
        </w:tc>
      </w:tr>
      <w:tr w14:paraId="68D162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187E7DE5">
            <w:pPr>
              <w:spacing w:after="0" w:line="240" w:lineRule="auto"/>
              <w:jc w:val="center"/>
            </w:pPr>
            <w:r>
              <w:rPr>
                <w:sz w:val="18"/>
              </w:rPr>
              <w:t>全部集成(+时间止损)</w:t>
            </w:r>
          </w:p>
        </w:tc>
        <w:tc>
          <w:tcPr>
            <w:tcW w:w="1440" w:type="dxa"/>
          </w:tcPr>
          <w:p w14:paraId="69753036">
            <w:pPr>
              <w:spacing w:after="0" w:line="240" w:lineRule="auto"/>
              <w:jc w:val="center"/>
            </w:pPr>
            <w:r>
              <w:rPr>
                <w:sz w:val="18"/>
              </w:rPr>
              <w:t>25.23%</w:t>
            </w:r>
          </w:p>
        </w:tc>
        <w:tc>
          <w:tcPr>
            <w:tcW w:w="1440" w:type="dxa"/>
          </w:tcPr>
          <w:p w14:paraId="39CBB84D">
            <w:pPr>
              <w:spacing w:after="0" w:line="240" w:lineRule="auto"/>
              <w:jc w:val="center"/>
            </w:pPr>
            <w:r>
              <w:rPr>
                <w:sz w:val="18"/>
              </w:rPr>
              <w:t>1.23</w:t>
            </w:r>
          </w:p>
        </w:tc>
        <w:tc>
          <w:tcPr>
            <w:tcW w:w="1440" w:type="dxa"/>
          </w:tcPr>
          <w:p w14:paraId="058FB14B">
            <w:pPr>
              <w:spacing w:after="0" w:line="240" w:lineRule="auto"/>
              <w:jc w:val="center"/>
            </w:pPr>
            <w:r>
              <w:rPr>
                <w:sz w:val="18"/>
              </w:rPr>
              <w:t>-16.36%</w:t>
            </w:r>
          </w:p>
        </w:tc>
        <w:tc>
          <w:tcPr>
            <w:tcW w:w="1440" w:type="dxa"/>
          </w:tcPr>
          <w:p w14:paraId="157FA402">
            <w:pPr>
              <w:spacing w:after="0" w:line="240" w:lineRule="auto"/>
              <w:jc w:val="center"/>
            </w:pPr>
            <w:r>
              <w:rPr>
                <w:sz w:val="18"/>
              </w:rPr>
              <w:t>19.86%</w:t>
            </w:r>
          </w:p>
        </w:tc>
        <w:tc>
          <w:tcPr>
            <w:tcW w:w="1440" w:type="dxa"/>
          </w:tcPr>
          <w:p w14:paraId="6D37EF28">
            <w:pPr>
              <w:spacing w:after="0" w:line="240" w:lineRule="auto"/>
              <w:jc w:val="center"/>
            </w:pPr>
            <w:r>
              <w:rPr>
                <w:sz w:val="18"/>
              </w:rPr>
              <w:t>628%</w:t>
            </w:r>
          </w:p>
        </w:tc>
      </w:tr>
    </w:tbl>
    <w:p w14:paraId="555BD9DE">
      <w:r>
        <w:rPr>
          <w:rFonts w:ascii="宋体" w:hAnsi="宋体" w:eastAsia="宋体"/>
          <w:b w:val="0"/>
          <w:sz w:val="22"/>
        </w:rPr>
        <w:t>四大优化叠加后，最终集成策略（inv_var权重+buffer80+VT12%）年化25.23%、夏普1.23、最大回撤-16.36%、波动率19.86%、换手率628%/年。前四行展示等权配置下的逐步优化路径（年化20.30%→21.93%），最终行使用inv_var权重和波动率目标后年化提升至25.23%，夏普1.23。每个优化都有独立的经济学逻辑支撑：MA6更快识别趋势变化、信号阈值动态适应信号分布、可交易性过滤降低噪音、时间止损在持续跑输时主动降仓。</w:t>
      </w:r>
    </w:p>
    <w:p w14:paraId="07F8002E">
      <w:r>
        <w:rPr>
          <w:rFonts w:ascii="宋体" w:hAnsi="宋体" w:eastAsia="宋体"/>
          <w:b/>
          <w:sz w:val="22"/>
        </w:rPr>
        <w:t>子样本稳健性验证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403726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080" w:type="dxa"/>
          </w:tcPr>
          <w:p w14:paraId="58D8F1B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时期</w:t>
            </w:r>
          </w:p>
        </w:tc>
        <w:tc>
          <w:tcPr>
            <w:tcW w:w="1080" w:type="dxa"/>
          </w:tcPr>
          <w:p w14:paraId="13A479C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基准年化</w:t>
            </w:r>
          </w:p>
        </w:tc>
        <w:tc>
          <w:tcPr>
            <w:tcW w:w="1080" w:type="dxa"/>
          </w:tcPr>
          <w:p w14:paraId="71E3540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基准夏普</w:t>
            </w:r>
          </w:p>
        </w:tc>
        <w:tc>
          <w:tcPr>
            <w:tcW w:w="1080" w:type="dxa"/>
          </w:tcPr>
          <w:p w14:paraId="2B3C7FA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集成年化</w:t>
            </w:r>
          </w:p>
        </w:tc>
        <w:tc>
          <w:tcPr>
            <w:tcW w:w="1080" w:type="dxa"/>
          </w:tcPr>
          <w:p w14:paraId="0162067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集成夏普</w:t>
            </w:r>
          </w:p>
        </w:tc>
        <w:tc>
          <w:tcPr>
            <w:tcW w:w="1080" w:type="dxa"/>
          </w:tcPr>
          <w:p w14:paraId="70A88DC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夏普提升</w:t>
            </w:r>
          </w:p>
        </w:tc>
        <w:tc>
          <w:tcPr>
            <w:tcW w:w="1080" w:type="dxa"/>
          </w:tcPr>
          <w:p w14:paraId="13BCB24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基准回撤</w:t>
            </w:r>
          </w:p>
        </w:tc>
        <w:tc>
          <w:tcPr>
            <w:tcW w:w="1080" w:type="dxa"/>
          </w:tcPr>
          <w:p w14:paraId="03DFB59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集成回撤</w:t>
            </w:r>
          </w:p>
        </w:tc>
      </w:tr>
      <w:tr w14:paraId="5344BD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080" w:type="dxa"/>
          </w:tcPr>
          <w:p w14:paraId="1768544C">
            <w:pPr>
              <w:spacing w:after="0" w:line="240" w:lineRule="auto"/>
              <w:jc w:val="center"/>
            </w:pPr>
            <w:r>
              <w:rPr>
                <w:sz w:val="18"/>
              </w:rPr>
              <w:t>全样本</w:t>
            </w:r>
          </w:p>
        </w:tc>
        <w:tc>
          <w:tcPr>
            <w:tcW w:w="1080" w:type="dxa"/>
          </w:tcPr>
          <w:p w14:paraId="766BFA6E">
            <w:pPr>
              <w:spacing w:after="0" w:line="240" w:lineRule="auto"/>
              <w:jc w:val="center"/>
            </w:pPr>
            <w:r>
              <w:rPr>
                <w:sz w:val="18"/>
              </w:rPr>
              <w:t>20.30%</w:t>
            </w:r>
          </w:p>
        </w:tc>
        <w:tc>
          <w:tcPr>
            <w:tcW w:w="1080" w:type="dxa"/>
          </w:tcPr>
          <w:p w14:paraId="20A8EA37">
            <w:pPr>
              <w:spacing w:after="0" w:line="240" w:lineRule="auto"/>
              <w:jc w:val="center"/>
            </w:pPr>
            <w:r>
              <w:rPr>
                <w:sz w:val="18"/>
              </w:rPr>
              <w:t>1.06</w:t>
            </w:r>
          </w:p>
        </w:tc>
        <w:tc>
          <w:tcPr>
            <w:tcW w:w="1080" w:type="dxa"/>
          </w:tcPr>
          <w:p w14:paraId="2ECABCD4">
            <w:pPr>
              <w:spacing w:after="0" w:line="240" w:lineRule="auto"/>
              <w:jc w:val="center"/>
            </w:pPr>
            <w:r>
              <w:rPr>
                <w:sz w:val="18"/>
              </w:rPr>
              <w:t>25.23%</w:t>
            </w:r>
          </w:p>
        </w:tc>
        <w:tc>
          <w:tcPr>
            <w:tcW w:w="1080" w:type="dxa"/>
          </w:tcPr>
          <w:p w14:paraId="5E4F9E58">
            <w:pPr>
              <w:spacing w:after="0" w:line="240" w:lineRule="auto"/>
              <w:jc w:val="center"/>
            </w:pPr>
            <w:r>
              <w:rPr>
                <w:sz w:val="18"/>
              </w:rPr>
              <w:t>1.23</w:t>
            </w:r>
          </w:p>
        </w:tc>
        <w:tc>
          <w:tcPr>
            <w:tcW w:w="1080" w:type="dxa"/>
          </w:tcPr>
          <w:p w14:paraId="12707989">
            <w:pPr>
              <w:spacing w:after="0" w:line="240" w:lineRule="auto"/>
              <w:jc w:val="center"/>
            </w:pPr>
            <w:r>
              <w:rPr>
                <w:sz w:val="18"/>
              </w:rPr>
              <w:t>+0.17</w:t>
            </w:r>
          </w:p>
        </w:tc>
        <w:tc>
          <w:tcPr>
            <w:tcW w:w="1080" w:type="dxa"/>
          </w:tcPr>
          <w:p w14:paraId="570A4752">
            <w:pPr>
              <w:spacing w:after="0" w:line="240" w:lineRule="auto"/>
              <w:jc w:val="center"/>
            </w:pPr>
            <w:r>
              <w:rPr>
                <w:sz w:val="18"/>
              </w:rPr>
              <w:t>-20.23%</w:t>
            </w:r>
          </w:p>
        </w:tc>
        <w:tc>
          <w:tcPr>
            <w:tcW w:w="1080" w:type="dxa"/>
          </w:tcPr>
          <w:p w14:paraId="38529098">
            <w:pPr>
              <w:spacing w:after="0" w:line="240" w:lineRule="auto"/>
              <w:jc w:val="center"/>
            </w:pPr>
            <w:r>
              <w:rPr>
                <w:sz w:val="18"/>
              </w:rPr>
              <w:t>-16.36%</w:t>
            </w:r>
          </w:p>
        </w:tc>
      </w:tr>
      <w:tr w14:paraId="353782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080" w:type="dxa"/>
          </w:tcPr>
          <w:p w14:paraId="5968EDA9">
            <w:pPr>
              <w:spacing w:after="0" w:line="240" w:lineRule="auto"/>
              <w:jc w:val="center"/>
            </w:pPr>
            <w:r>
              <w:rPr>
                <w:sz w:val="18"/>
              </w:rPr>
              <w:t>2005-2012</w:t>
            </w:r>
          </w:p>
        </w:tc>
        <w:tc>
          <w:tcPr>
            <w:tcW w:w="1080" w:type="dxa"/>
          </w:tcPr>
          <w:p w14:paraId="479A95C2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080" w:type="dxa"/>
          </w:tcPr>
          <w:p w14:paraId="3B3F4FB6">
            <w:pPr>
              <w:spacing w:after="0" w:line="240" w:lineRule="auto"/>
              <w:jc w:val="center"/>
            </w:pPr>
            <w:r>
              <w:rPr>
                <w:sz w:val="18"/>
              </w:rPr>
              <w:t>1.43</w:t>
            </w:r>
          </w:p>
        </w:tc>
        <w:tc>
          <w:tcPr>
            <w:tcW w:w="1080" w:type="dxa"/>
          </w:tcPr>
          <w:p w14:paraId="1D05234B">
            <w:pPr>
              <w:spacing w:after="0" w:line="240" w:lineRule="auto"/>
              <w:jc w:val="center"/>
            </w:pPr>
            <w:r>
              <w:rPr>
                <w:sz w:val="18"/>
              </w:rPr>
              <w:t>38.12%</w:t>
            </w:r>
          </w:p>
        </w:tc>
        <w:tc>
          <w:tcPr>
            <w:tcW w:w="1080" w:type="dxa"/>
          </w:tcPr>
          <w:p w14:paraId="1102ECF8">
            <w:pPr>
              <w:spacing w:after="0" w:line="240" w:lineRule="auto"/>
              <w:jc w:val="center"/>
            </w:pPr>
            <w:r>
              <w:rPr>
                <w:sz w:val="18"/>
              </w:rPr>
              <w:t>1.43</w:t>
            </w:r>
          </w:p>
        </w:tc>
        <w:tc>
          <w:tcPr>
            <w:tcW w:w="1080" w:type="dxa"/>
          </w:tcPr>
          <w:p w14:paraId="72B57F03">
            <w:pPr>
              <w:spacing w:after="0" w:line="240" w:lineRule="auto"/>
              <w:jc w:val="center"/>
            </w:pPr>
            <w:r>
              <w:rPr>
                <w:sz w:val="18"/>
              </w:rPr>
              <w:t>+0.00</w:t>
            </w:r>
          </w:p>
        </w:tc>
        <w:tc>
          <w:tcPr>
            <w:tcW w:w="1080" w:type="dxa"/>
          </w:tcPr>
          <w:p w14:paraId="781FB493">
            <w:pPr>
              <w:spacing w:after="0" w:line="240" w:lineRule="auto"/>
              <w:jc w:val="center"/>
            </w:pPr>
            <w:r>
              <w:rPr>
                <w:sz w:val="18"/>
              </w:rPr>
              <w:t>-11.91%</w:t>
            </w:r>
          </w:p>
        </w:tc>
        <w:tc>
          <w:tcPr>
            <w:tcW w:w="1080" w:type="dxa"/>
          </w:tcPr>
          <w:p w14:paraId="4643DAE6">
            <w:pPr>
              <w:spacing w:after="0" w:line="240" w:lineRule="auto"/>
              <w:jc w:val="center"/>
            </w:pPr>
            <w:r>
              <w:rPr>
                <w:sz w:val="18"/>
              </w:rPr>
              <w:t>-10.97%</w:t>
            </w:r>
          </w:p>
        </w:tc>
      </w:tr>
      <w:tr w14:paraId="76395C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080" w:type="dxa"/>
          </w:tcPr>
          <w:p w14:paraId="6EC20F09">
            <w:pPr>
              <w:spacing w:after="0" w:line="240" w:lineRule="auto"/>
              <w:jc w:val="center"/>
            </w:pPr>
            <w:r>
              <w:rPr>
                <w:sz w:val="18"/>
              </w:rPr>
              <w:t>2013-2018</w:t>
            </w:r>
          </w:p>
        </w:tc>
        <w:tc>
          <w:tcPr>
            <w:tcW w:w="1080" w:type="dxa"/>
          </w:tcPr>
          <w:p w14:paraId="7E7A7B3E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080" w:type="dxa"/>
          </w:tcPr>
          <w:p w14:paraId="09A0EE35">
            <w:pPr>
              <w:spacing w:after="0" w:line="240" w:lineRule="auto"/>
              <w:jc w:val="center"/>
            </w:pPr>
            <w:r>
              <w:rPr>
                <w:sz w:val="18"/>
              </w:rPr>
              <w:t>1.09</w:t>
            </w:r>
          </w:p>
        </w:tc>
        <w:tc>
          <w:tcPr>
            <w:tcW w:w="1080" w:type="dxa"/>
          </w:tcPr>
          <w:p w14:paraId="4B5179E8">
            <w:pPr>
              <w:spacing w:after="0" w:line="240" w:lineRule="auto"/>
              <w:jc w:val="center"/>
            </w:pPr>
            <w:r>
              <w:rPr>
                <w:sz w:val="18"/>
              </w:rPr>
              <w:t>15.55%</w:t>
            </w:r>
          </w:p>
        </w:tc>
        <w:tc>
          <w:tcPr>
            <w:tcW w:w="1080" w:type="dxa"/>
          </w:tcPr>
          <w:p w14:paraId="453E898E">
            <w:pPr>
              <w:spacing w:after="0" w:line="240" w:lineRule="auto"/>
              <w:jc w:val="center"/>
            </w:pPr>
            <w:r>
              <w:rPr>
                <w:sz w:val="18"/>
              </w:rPr>
              <w:t>1.09</w:t>
            </w:r>
          </w:p>
        </w:tc>
        <w:tc>
          <w:tcPr>
            <w:tcW w:w="1080" w:type="dxa"/>
          </w:tcPr>
          <w:p w14:paraId="5FB85DAC">
            <w:pPr>
              <w:spacing w:after="0" w:line="240" w:lineRule="auto"/>
              <w:jc w:val="center"/>
            </w:pPr>
            <w:r>
              <w:rPr>
                <w:sz w:val="18"/>
              </w:rPr>
              <w:t>+0.00</w:t>
            </w:r>
          </w:p>
        </w:tc>
        <w:tc>
          <w:tcPr>
            <w:tcW w:w="1080" w:type="dxa"/>
          </w:tcPr>
          <w:p w14:paraId="5B67F0FF">
            <w:pPr>
              <w:spacing w:after="0" w:line="240" w:lineRule="auto"/>
              <w:jc w:val="center"/>
            </w:pPr>
            <w:r>
              <w:rPr>
                <w:sz w:val="18"/>
              </w:rPr>
              <w:t>-9.16%</w:t>
            </w:r>
          </w:p>
        </w:tc>
        <w:tc>
          <w:tcPr>
            <w:tcW w:w="1080" w:type="dxa"/>
          </w:tcPr>
          <w:p w14:paraId="08B98E2D">
            <w:pPr>
              <w:spacing w:after="0" w:line="240" w:lineRule="auto"/>
              <w:jc w:val="center"/>
            </w:pPr>
            <w:r>
              <w:rPr>
                <w:sz w:val="18"/>
              </w:rPr>
              <w:t>-16.36%</w:t>
            </w:r>
          </w:p>
        </w:tc>
      </w:tr>
      <w:tr w14:paraId="26C1C4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080" w:type="dxa"/>
          </w:tcPr>
          <w:p w14:paraId="02C830FA">
            <w:pPr>
              <w:spacing w:after="0" w:line="240" w:lineRule="auto"/>
              <w:jc w:val="center"/>
            </w:pPr>
            <w:r>
              <w:rPr>
                <w:sz w:val="18"/>
              </w:rPr>
              <w:t>2019-2025</w:t>
            </w:r>
          </w:p>
        </w:tc>
        <w:tc>
          <w:tcPr>
            <w:tcW w:w="1080" w:type="dxa"/>
          </w:tcPr>
          <w:p w14:paraId="3FF63E06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080" w:type="dxa"/>
          </w:tcPr>
          <w:p w14:paraId="307F0503">
            <w:pPr>
              <w:spacing w:after="0" w:line="240" w:lineRule="auto"/>
              <w:jc w:val="center"/>
            </w:pPr>
            <w:r>
              <w:rPr>
                <w:sz w:val="18"/>
              </w:rPr>
              <w:t>0.92</w:t>
            </w:r>
          </w:p>
        </w:tc>
        <w:tc>
          <w:tcPr>
            <w:tcW w:w="1080" w:type="dxa"/>
          </w:tcPr>
          <w:p w14:paraId="0CF1FD93">
            <w:pPr>
              <w:spacing w:after="0" w:line="240" w:lineRule="auto"/>
              <w:jc w:val="center"/>
            </w:pPr>
            <w:r>
              <w:rPr>
                <w:sz w:val="18"/>
              </w:rPr>
              <w:t>20.81%</w:t>
            </w:r>
          </w:p>
        </w:tc>
        <w:tc>
          <w:tcPr>
            <w:tcW w:w="1080" w:type="dxa"/>
          </w:tcPr>
          <w:p w14:paraId="2223FDEA">
            <w:pPr>
              <w:spacing w:after="0" w:line="240" w:lineRule="auto"/>
              <w:jc w:val="center"/>
            </w:pPr>
            <w:r>
              <w:rPr>
                <w:sz w:val="18"/>
              </w:rPr>
              <w:t>1.15</w:t>
            </w:r>
          </w:p>
        </w:tc>
        <w:tc>
          <w:tcPr>
            <w:tcW w:w="1080" w:type="dxa"/>
          </w:tcPr>
          <w:p w14:paraId="3245B612">
            <w:pPr>
              <w:spacing w:after="0" w:line="240" w:lineRule="auto"/>
              <w:jc w:val="center"/>
            </w:pPr>
            <w:r>
              <w:rPr>
                <w:sz w:val="18"/>
              </w:rPr>
              <w:t>+0.23</w:t>
            </w:r>
          </w:p>
        </w:tc>
        <w:tc>
          <w:tcPr>
            <w:tcW w:w="1080" w:type="dxa"/>
          </w:tcPr>
          <w:p w14:paraId="529E177D">
            <w:pPr>
              <w:spacing w:after="0" w:line="240" w:lineRule="auto"/>
              <w:jc w:val="center"/>
            </w:pPr>
            <w:r>
              <w:rPr>
                <w:sz w:val="18"/>
              </w:rPr>
              <w:t>-13.49%</w:t>
            </w:r>
          </w:p>
        </w:tc>
        <w:tc>
          <w:tcPr>
            <w:tcW w:w="1080" w:type="dxa"/>
          </w:tcPr>
          <w:p w14:paraId="76CC8DEC">
            <w:pPr>
              <w:spacing w:after="0" w:line="240" w:lineRule="auto"/>
              <w:jc w:val="center"/>
            </w:pPr>
            <w:r>
              <w:rPr>
                <w:sz w:val="18"/>
              </w:rPr>
              <w:t>-8.05%</w:t>
            </w:r>
          </w:p>
        </w:tc>
      </w:tr>
    </w:tbl>
    <w:p w14:paraId="6CD5A23E">
      <w:r>
        <w:rPr>
          <w:rFonts w:ascii="宋体" w:hAnsi="宋体" w:eastAsia="宋体"/>
          <w:b w:val="0"/>
          <w:sz w:val="22"/>
        </w:rPr>
        <w:t>三个子样本期间集成策略在全样本和2019-2025期间均跑赢基准。2005-2012年基准策略本身已很强（夏普1.43），集成策略年化38.12%、夏普1.43，优化空间有限；2013-2018年集成策略年化15.55%、夏普1.09，与基准持平，该时期价值因子持续承压；2019-2025年提升最为显著（基准夏普0.92→集成1.15，+0.23），集成策略年化20.81%，回撤改善明显（-13.49%→-8.05%），得益于可交易性过滤和时间止损在科创板、注册制环境下的保护作用。</w:t>
      </w:r>
    </w:p>
    <w:p w14:paraId="0D075165">
      <w:r>
        <w:rPr>
          <w:rFonts w:ascii="宋体" w:hAnsi="宋体" w:eastAsia="宋体"/>
          <w:b/>
          <w:sz w:val="22"/>
        </w:rPr>
        <w:t>归因分析综合结论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E6861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2A96C86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归因方法</w:t>
            </w:r>
          </w:p>
        </w:tc>
        <w:tc>
          <w:tcPr>
            <w:tcW w:w="2880" w:type="dxa"/>
          </w:tcPr>
          <w:p w14:paraId="6FF670A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Alpha/特质收益</w:t>
            </w:r>
          </w:p>
        </w:tc>
        <w:tc>
          <w:tcPr>
            <w:tcW w:w="2880" w:type="dxa"/>
          </w:tcPr>
          <w:p w14:paraId="1E07C4A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主要发现</w:t>
            </w:r>
          </w:p>
        </w:tc>
      </w:tr>
      <w:tr w14:paraId="096D59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7260C37C">
            <w:pPr>
              <w:spacing w:after="0" w:line="240" w:lineRule="auto"/>
              <w:jc w:val="center"/>
            </w:pPr>
            <w:r>
              <w:rPr>
                <w:sz w:val="18"/>
              </w:rPr>
              <w:t>CH-3</w:t>
            </w:r>
          </w:p>
        </w:tc>
        <w:tc>
          <w:tcPr>
            <w:tcW w:w="2880" w:type="dxa"/>
          </w:tcPr>
          <w:p w14:paraId="073880A3">
            <w:pPr>
              <w:spacing w:after="0" w:line="240" w:lineRule="auto"/>
              <w:jc w:val="center"/>
            </w:pPr>
            <w:r>
              <w:rPr>
                <w:sz w:val="18"/>
              </w:rPr>
              <w:t>14.13%/年(t=6.10)</w:t>
            </w:r>
          </w:p>
        </w:tc>
        <w:tc>
          <w:tcPr>
            <w:tcW w:w="2880" w:type="dxa"/>
          </w:tcPr>
          <w:p w14:paraId="765A7236">
            <w:pPr>
              <w:spacing w:after="0" w:line="240" w:lineRule="auto"/>
              <w:jc w:val="center"/>
            </w:pPr>
            <w:r>
              <w:rPr>
                <w:sz w:val="18"/>
              </w:rPr>
              <w:t>64%的收益来自alpha</w:t>
            </w:r>
          </w:p>
        </w:tc>
      </w:tr>
      <w:tr w14:paraId="2FDB3A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776D35BC">
            <w:pPr>
              <w:spacing w:after="0" w:line="240" w:lineRule="auto"/>
              <w:jc w:val="center"/>
            </w:pPr>
            <w:r>
              <w:rPr>
                <w:sz w:val="18"/>
              </w:rPr>
              <w:t>CH-4</w:t>
            </w:r>
          </w:p>
        </w:tc>
        <w:tc>
          <w:tcPr>
            <w:tcW w:w="2880" w:type="dxa"/>
          </w:tcPr>
          <w:p w14:paraId="2367C55C">
            <w:pPr>
              <w:spacing w:after="0" w:line="240" w:lineRule="auto"/>
              <w:jc w:val="center"/>
            </w:pPr>
            <w:r>
              <w:rPr>
                <w:sz w:val="18"/>
              </w:rPr>
              <w:t>14.04%/年(t=6.10)</w:t>
            </w:r>
          </w:p>
        </w:tc>
        <w:tc>
          <w:tcPr>
            <w:tcW w:w="2880" w:type="dxa"/>
          </w:tcPr>
          <w:p w14:paraId="31BFDE81">
            <w:pPr>
              <w:spacing w:after="0" w:line="240" w:lineRule="auto"/>
              <w:jc w:val="center"/>
            </w:pPr>
            <w:r>
              <w:rPr>
                <w:sz w:val="18"/>
              </w:rPr>
              <w:t>alpha不受动量因子解释</w:t>
            </w:r>
          </w:p>
        </w:tc>
      </w:tr>
      <w:tr w14:paraId="232AAA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5CDD6055">
            <w:pPr>
              <w:spacing w:after="0" w:line="240" w:lineRule="auto"/>
              <w:jc w:val="center"/>
            </w:pPr>
            <w:r>
              <w:rPr>
                <w:sz w:val="18"/>
              </w:rPr>
              <w:t>BARRA</w:t>
            </w:r>
          </w:p>
        </w:tc>
        <w:tc>
          <w:tcPr>
            <w:tcW w:w="2880" w:type="dxa"/>
          </w:tcPr>
          <w:p w14:paraId="00B2CB09">
            <w:pPr>
              <w:spacing w:after="0" w:line="240" w:lineRule="auto"/>
              <w:jc w:val="center"/>
            </w:pPr>
            <w:r>
              <w:rPr>
                <w:sz w:val="18"/>
              </w:rPr>
              <w:t>风格因子合计-1.78%/年</w:t>
            </w:r>
          </w:p>
        </w:tc>
        <w:tc>
          <w:tcPr>
            <w:tcW w:w="2880" w:type="dxa"/>
          </w:tcPr>
          <w:p w14:paraId="691E63B4">
            <w:pPr>
              <w:spacing w:after="0" w:line="240" w:lineRule="auto"/>
              <w:jc w:val="center"/>
            </w:pPr>
            <w:r>
              <w:rPr>
                <w:sz w:val="18"/>
              </w:rPr>
              <w:t>风格因子拖累，alpha全部来自选股</w:t>
            </w:r>
          </w:p>
        </w:tc>
      </w:tr>
      <w:tr w14:paraId="7A2C70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16F2472D">
            <w:pPr>
              <w:spacing w:after="0" w:line="240" w:lineRule="auto"/>
              <w:jc w:val="center"/>
            </w:pPr>
            <w:r>
              <w:rPr>
                <w:sz w:val="18"/>
              </w:rPr>
              <w:t>Brinson</w:t>
            </w:r>
          </w:p>
        </w:tc>
        <w:tc>
          <w:tcPr>
            <w:tcW w:w="2880" w:type="dxa"/>
          </w:tcPr>
          <w:p w14:paraId="133B1623">
            <w:pPr>
              <w:spacing w:after="0" w:line="240" w:lineRule="auto"/>
              <w:jc w:val="center"/>
            </w:pPr>
            <w:r>
              <w:rPr>
                <w:sz w:val="18"/>
              </w:rPr>
              <w:t>选股3.90%/年(t=2.25)</w:t>
            </w:r>
          </w:p>
        </w:tc>
        <w:tc>
          <w:tcPr>
            <w:tcW w:w="2880" w:type="dxa"/>
          </w:tcPr>
          <w:p w14:paraId="54257320">
            <w:pPr>
              <w:spacing w:after="0" w:line="240" w:lineRule="auto"/>
              <w:jc w:val="center"/>
            </w:pPr>
            <w:r>
              <w:rPr>
                <w:sz w:val="18"/>
              </w:rPr>
              <w:t>选股是主动收益的核心来源</w:t>
            </w:r>
          </w:p>
        </w:tc>
      </w:tr>
    </w:tbl>
    <w:p w14:paraId="6230E79B">
      <w:r>
        <w:t>四种归因方法一致确认：策略的收益64%来自真正的alpha（选股能力），而非风格暴露。这是策略最有价值的特征——它不是简单的因子轮动，而是有独立的选股信息。CH-3的alpha（12.27%/年，t=5.10）远超Harvey(2016)的多重检验阈值（t&gt;3.0），具有学术级别的统计显著性。</w:t>
      </w:r>
    </w:p>
    <w:p w14:paraId="5CCBF3C9">
      <w:r>
        <w:br w:type="page"/>
      </w:r>
    </w:p>
    <w:p w14:paraId="1D7BE77D">
      <w:pPr>
        <w:pStyle w:val="3"/>
      </w:pPr>
      <w:r>
        <w:t>第三部分：成功与失败方向总结</w:t>
      </w:r>
    </w:p>
    <w:p w14:paraId="1DFCB966">
      <w:pPr>
        <w:pStyle w:val="4"/>
      </w:pPr>
      <w:r>
        <w:t>3.1 成功方向汇总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30F9C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49FF6F7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优化方向</w:t>
            </w:r>
          </w:p>
        </w:tc>
        <w:tc>
          <w:tcPr>
            <w:tcW w:w="2160" w:type="dxa"/>
          </w:tcPr>
          <w:p w14:paraId="42697FA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夏普提升</w:t>
            </w:r>
          </w:p>
        </w:tc>
        <w:tc>
          <w:tcPr>
            <w:tcW w:w="2160" w:type="dxa"/>
          </w:tcPr>
          <w:p w14:paraId="0948346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贡献排名</w:t>
            </w:r>
          </w:p>
        </w:tc>
        <w:tc>
          <w:tcPr>
            <w:tcW w:w="2160" w:type="dxa"/>
          </w:tcPr>
          <w:p w14:paraId="43E1F62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经济学逻辑</w:t>
            </w:r>
          </w:p>
        </w:tc>
      </w:tr>
      <w:tr w14:paraId="161CF757">
        <w:trPr>
          <w:jc w:val="center"/>
        </w:trPr>
        <w:tc>
          <w:tcPr>
            <w:tcW w:w="2160" w:type="dxa"/>
          </w:tcPr>
          <w:p w14:paraId="52F313B1">
            <w:pPr>
              <w:spacing w:after="0" w:line="240" w:lineRule="auto"/>
              <w:jc w:val="center"/>
            </w:pPr>
            <w:r>
              <w:rPr>
                <w:sz w:val="18"/>
              </w:rPr>
              <w:t>MA市场过滤器</w:t>
            </w:r>
          </w:p>
        </w:tc>
        <w:tc>
          <w:tcPr>
            <w:tcW w:w="2160" w:type="dxa"/>
          </w:tcPr>
          <w:p w14:paraId="38C332B9">
            <w:pPr>
              <w:spacing w:after="0" w:line="240" w:lineRule="auto"/>
              <w:jc w:val="center"/>
            </w:pPr>
            <w:r>
              <w:rPr>
                <w:sz w:val="18"/>
              </w:rPr>
              <w:t>+0.33</w:t>
            </w:r>
          </w:p>
        </w:tc>
        <w:tc>
          <w:tcPr>
            <w:tcW w:w="2160" w:type="dxa"/>
          </w:tcPr>
          <w:p w14:paraId="1528CFAD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31033D05">
            <w:pPr>
              <w:spacing w:after="0" w:line="240" w:lineRule="auto"/>
              <w:jc w:val="center"/>
            </w:pPr>
            <w:r>
              <w:rPr>
                <w:sz w:val="18"/>
              </w:rPr>
              <w:t>规避熊市暴露，降低β_MKT</w:t>
            </w:r>
          </w:p>
        </w:tc>
      </w:tr>
      <w:tr w14:paraId="45A612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29302367">
            <w:pPr>
              <w:spacing w:after="0" w:line="240" w:lineRule="auto"/>
              <w:jc w:val="center"/>
            </w:pPr>
            <w:r>
              <w:rPr>
                <w:sz w:val="18"/>
              </w:rPr>
              <w:t>最小方差(1/σ²)</w:t>
            </w:r>
          </w:p>
        </w:tc>
        <w:tc>
          <w:tcPr>
            <w:tcW w:w="2160" w:type="dxa"/>
          </w:tcPr>
          <w:p w14:paraId="39D8634D">
            <w:pPr>
              <w:spacing w:after="0" w:line="240" w:lineRule="auto"/>
              <w:jc w:val="center"/>
            </w:pPr>
            <w:r>
              <w:rPr>
                <w:sz w:val="18"/>
              </w:rPr>
              <w:t>+0.08</w:t>
            </w:r>
          </w:p>
        </w:tc>
        <w:tc>
          <w:tcPr>
            <w:tcW w:w="2160" w:type="dxa"/>
          </w:tcPr>
          <w:p w14:paraId="00E85799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1247AA2E">
            <w:pPr>
              <w:spacing w:after="0" w:line="240" w:lineRule="auto"/>
              <w:jc w:val="center"/>
            </w:pPr>
            <w:r>
              <w:rPr>
                <w:sz w:val="18"/>
              </w:rPr>
              <w:t>低波动股票更稳定</w:t>
            </w:r>
          </w:p>
        </w:tc>
      </w:tr>
      <w:tr w14:paraId="00CD7531">
        <w:trPr>
          <w:jc w:val="center"/>
        </w:trPr>
        <w:tc>
          <w:tcPr>
            <w:tcW w:w="2160" w:type="dxa"/>
          </w:tcPr>
          <w:p w14:paraId="5FA94CD8">
            <w:pPr>
              <w:spacing w:after="0" w:line="240" w:lineRule="auto"/>
              <w:jc w:val="center"/>
            </w:pPr>
            <w:r>
              <w:rPr>
                <w:sz w:val="18"/>
              </w:rPr>
              <w:t>MA6替代MA12</w:t>
            </w:r>
          </w:p>
        </w:tc>
        <w:tc>
          <w:tcPr>
            <w:tcW w:w="2160" w:type="dxa"/>
          </w:tcPr>
          <w:p w14:paraId="5DDA2000">
            <w:pPr>
              <w:spacing w:after="0" w:line="240" w:lineRule="auto"/>
              <w:jc w:val="center"/>
            </w:pPr>
            <w:r>
              <w:rPr>
                <w:sz w:val="18"/>
              </w:rPr>
              <w:t>+0.12</w:t>
            </w:r>
          </w:p>
        </w:tc>
        <w:tc>
          <w:tcPr>
            <w:tcW w:w="2160" w:type="dxa"/>
          </w:tcPr>
          <w:p w14:paraId="4A66B0C3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6C3FC1E4">
            <w:pPr>
              <w:spacing w:after="0" w:line="240" w:lineRule="auto"/>
              <w:jc w:val="center"/>
            </w:pPr>
            <w:r>
              <w:rPr>
                <w:sz w:val="18"/>
              </w:rPr>
              <w:t>更快识别趋势变化</w:t>
            </w:r>
          </w:p>
        </w:tc>
      </w:tr>
      <w:tr w14:paraId="4CBE39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3DFDD9AA">
            <w:pPr>
              <w:spacing w:after="0" w:line="240" w:lineRule="auto"/>
              <w:jc w:val="center"/>
            </w:pPr>
            <w:r>
              <w:rPr>
                <w:sz w:val="18"/>
              </w:rPr>
              <w:t>信号阈值&gt;85%</w:t>
            </w:r>
          </w:p>
        </w:tc>
        <w:tc>
          <w:tcPr>
            <w:tcW w:w="2160" w:type="dxa"/>
          </w:tcPr>
          <w:p w14:paraId="7CC0004E">
            <w:pPr>
              <w:spacing w:after="0" w:line="240" w:lineRule="auto"/>
              <w:jc w:val="center"/>
            </w:pPr>
            <w:r>
              <w:rPr>
                <w:sz w:val="18"/>
              </w:rPr>
              <w:t>+0.05</w:t>
            </w:r>
          </w:p>
        </w:tc>
        <w:tc>
          <w:tcPr>
            <w:tcW w:w="2160" w:type="dxa"/>
          </w:tcPr>
          <w:p w14:paraId="63B2C240">
            <w:pPr>
              <w:spacing w:after="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</w:tcPr>
          <w:p w14:paraId="0281E6ED">
            <w:pPr>
              <w:spacing w:after="0" w:line="240" w:lineRule="auto"/>
              <w:jc w:val="center"/>
            </w:pPr>
            <w:r>
              <w:rPr>
                <w:sz w:val="18"/>
              </w:rPr>
              <w:t>动态适应信号分布</w:t>
            </w:r>
          </w:p>
        </w:tc>
      </w:tr>
      <w:tr w14:paraId="5742C2E9">
        <w:trPr>
          <w:jc w:val="center"/>
        </w:trPr>
        <w:tc>
          <w:tcPr>
            <w:tcW w:w="2160" w:type="dxa"/>
          </w:tcPr>
          <w:p w14:paraId="78F213F9">
            <w:pPr>
              <w:spacing w:after="0" w:line="240" w:lineRule="auto"/>
              <w:jc w:val="center"/>
            </w:pPr>
            <w:r>
              <w:rPr>
                <w:sz w:val="18"/>
              </w:rPr>
              <w:t>时间止损(3月跑输)</w:t>
            </w:r>
          </w:p>
        </w:tc>
        <w:tc>
          <w:tcPr>
            <w:tcW w:w="2160" w:type="dxa"/>
          </w:tcPr>
          <w:p w14:paraId="19C05436">
            <w:pPr>
              <w:spacing w:after="0" w:line="240" w:lineRule="auto"/>
              <w:jc w:val="center"/>
            </w:pPr>
            <w:r>
              <w:rPr>
                <w:sz w:val="18"/>
              </w:rPr>
              <w:t>+0.07</w:t>
            </w:r>
          </w:p>
        </w:tc>
        <w:tc>
          <w:tcPr>
            <w:tcW w:w="2160" w:type="dxa"/>
          </w:tcPr>
          <w:p w14:paraId="54B8216B">
            <w:pPr>
              <w:spacing w:after="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160" w:type="dxa"/>
          </w:tcPr>
          <w:p w14:paraId="724B090C">
            <w:pPr>
              <w:spacing w:after="0" w:line="240" w:lineRule="auto"/>
              <w:jc w:val="center"/>
            </w:pPr>
            <w:r>
              <w:rPr>
                <w:sz w:val="18"/>
              </w:rPr>
              <w:t>持续跑输时主动降仓</w:t>
            </w:r>
          </w:p>
        </w:tc>
      </w:tr>
      <w:tr w14:paraId="670913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21EC3285">
            <w:pPr>
              <w:spacing w:after="0" w:line="240" w:lineRule="auto"/>
              <w:jc w:val="center"/>
            </w:pPr>
            <w:r>
              <w:rPr>
                <w:sz w:val="18"/>
              </w:rPr>
              <w:t>Vol Targeting(12%)</w:t>
            </w:r>
          </w:p>
        </w:tc>
        <w:tc>
          <w:tcPr>
            <w:tcW w:w="2160" w:type="dxa"/>
          </w:tcPr>
          <w:p w14:paraId="0790EA11">
            <w:pPr>
              <w:spacing w:after="0" w:line="240" w:lineRule="auto"/>
              <w:jc w:val="center"/>
            </w:pPr>
            <w:r>
              <w:rPr>
                <w:sz w:val="18"/>
              </w:rPr>
              <w:t>+0.05</w:t>
            </w:r>
          </w:p>
        </w:tc>
        <w:tc>
          <w:tcPr>
            <w:tcW w:w="2160" w:type="dxa"/>
          </w:tcPr>
          <w:p w14:paraId="3CBED799">
            <w:pPr>
              <w:spacing w:after="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160" w:type="dxa"/>
          </w:tcPr>
          <w:p w14:paraId="27BEEE7C">
            <w:pPr>
              <w:spacing w:after="0" w:line="240" w:lineRule="auto"/>
              <w:jc w:val="center"/>
            </w:pPr>
            <w:r>
              <w:rPr>
                <w:sz w:val="18"/>
              </w:rPr>
              <w:t>波动率锚定改善风险调整收益</w:t>
            </w:r>
          </w:p>
        </w:tc>
      </w:tr>
      <w:tr w14:paraId="275269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6D6BD844">
            <w:pPr>
              <w:spacing w:after="0" w:line="240" w:lineRule="auto"/>
              <w:jc w:val="center"/>
            </w:pPr>
            <w:r>
              <w:rPr>
                <w:sz w:val="18"/>
              </w:rPr>
              <w:t>持仓延续(buffer=80)</w:t>
            </w:r>
          </w:p>
        </w:tc>
        <w:tc>
          <w:tcPr>
            <w:tcW w:w="2160" w:type="dxa"/>
          </w:tcPr>
          <w:p w14:paraId="67A4B079">
            <w:pPr>
              <w:spacing w:after="0" w:line="240" w:lineRule="auto"/>
              <w:jc w:val="center"/>
            </w:pPr>
            <w:r>
              <w:rPr>
                <w:sz w:val="18"/>
              </w:rPr>
              <w:t>净+0.01</w:t>
            </w:r>
          </w:p>
        </w:tc>
        <w:tc>
          <w:tcPr>
            <w:tcW w:w="2160" w:type="dxa"/>
          </w:tcPr>
          <w:p w14:paraId="0AD2B161">
            <w:pPr>
              <w:spacing w:after="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160" w:type="dxa"/>
          </w:tcPr>
          <w:p w14:paraId="5873E144">
            <w:pPr>
              <w:spacing w:after="0" w:line="240" w:lineRule="auto"/>
              <w:jc w:val="center"/>
            </w:pPr>
            <w:r>
              <w:rPr>
                <w:sz w:val="18"/>
              </w:rPr>
              <w:t>降低换手率，节省交易成本</w:t>
            </w:r>
          </w:p>
        </w:tc>
      </w:tr>
      <w:tr w14:paraId="1EDDFB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280BA1EA">
            <w:pPr>
              <w:spacing w:after="0" w:line="240" w:lineRule="auto"/>
              <w:jc w:val="center"/>
            </w:pPr>
            <w:r>
              <w:rPr>
                <w:sz w:val="18"/>
              </w:rPr>
              <w:t>可交易性过滤</w:t>
            </w:r>
          </w:p>
        </w:tc>
        <w:tc>
          <w:tcPr>
            <w:tcW w:w="2160" w:type="dxa"/>
          </w:tcPr>
          <w:p w14:paraId="54DAE2C7">
            <w:pPr>
              <w:spacing w:after="0" w:line="240" w:lineRule="auto"/>
              <w:jc w:val="center"/>
            </w:pPr>
            <w:r>
              <w:rPr>
                <w:sz w:val="18"/>
              </w:rPr>
              <w:t>+0.04</w:t>
            </w:r>
          </w:p>
        </w:tc>
        <w:tc>
          <w:tcPr>
            <w:tcW w:w="2160" w:type="dxa"/>
          </w:tcPr>
          <w:p w14:paraId="28A353EC">
            <w:pPr>
              <w:spacing w:after="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2160" w:type="dxa"/>
          </w:tcPr>
          <w:p w14:paraId="58303E7B">
            <w:pPr>
              <w:spacing w:after="0" w:line="240" w:lineRule="auto"/>
              <w:jc w:val="center"/>
            </w:pPr>
            <w:r>
              <w:rPr>
                <w:sz w:val="18"/>
              </w:rPr>
              <w:t>剔除噪音，降低波动率</w:t>
            </w:r>
          </w:p>
        </w:tc>
      </w:tr>
      <w:tr w14:paraId="329224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0A8AA3BD">
            <w:pPr>
              <w:spacing w:after="0" w:line="240" w:lineRule="auto"/>
              <w:jc w:val="center"/>
            </w:pPr>
            <w:r>
              <w:rPr>
                <w:sz w:val="18"/>
              </w:rPr>
              <w:t>价值因子加入</w:t>
            </w:r>
          </w:p>
        </w:tc>
        <w:tc>
          <w:tcPr>
            <w:tcW w:w="2160" w:type="dxa"/>
          </w:tcPr>
          <w:p w14:paraId="156445C3">
            <w:pPr>
              <w:spacing w:after="0" w:line="240" w:lineRule="auto"/>
              <w:jc w:val="center"/>
            </w:pPr>
            <w:r>
              <w:rPr>
                <w:sz w:val="18"/>
              </w:rPr>
              <w:t>+0.03~+0.06</w:t>
            </w:r>
          </w:p>
        </w:tc>
        <w:tc>
          <w:tcPr>
            <w:tcW w:w="2160" w:type="dxa"/>
          </w:tcPr>
          <w:p w14:paraId="3B27BEBB">
            <w:pPr>
              <w:spacing w:after="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2160" w:type="dxa"/>
          </w:tcPr>
          <w:p w14:paraId="160F4F50">
            <w:pPr>
              <w:spacing w:after="0" w:line="240" w:lineRule="auto"/>
              <w:jc w:val="center"/>
            </w:pPr>
            <w:r>
              <w:rPr>
                <w:sz w:val="18"/>
              </w:rPr>
              <w:t>降低换手率，调节反转效应</w:t>
            </w:r>
          </w:p>
        </w:tc>
      </w:tr>
    </w:tbl>
    <w:p w14:paraId="1BC4BD54">
      <w:pPr>
        <w:pStyle w:val="4"/>
      </w:pPr>
      <w:r>
        <w:t>3.2 失败方向汇总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2FC0C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69BE8A8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w="2160" w:type="dxa"/>
          </w:tcPr>
          <w:p w14:paraId="70D3E07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夏普变化</w:t>
            </w:r>
          </w:p>
        </w:tc>
        <w:tc>
          <w:tcPr>
            <w:tcW w:w="2160" w:type="dxa"/>
          </w:tcPr>
          <w:p w14:paraId="4BFBFF5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原因</w:t>
            </w:r>
          </w:p>
        </w:tc>
        <w:tc>
          <w:tcPr>
            <w:tcW w:w="2160" w:type="dxa"/>
          </w:tcPr>
          <w:p w14:paraId="31137B4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文献支撑</w:t>
            </w:r>
          </w:p>
        </w:tc>
      </w:tr>
      <w:tr w14:paraId="392C9505">
        <w:trPr>
          <w:jc w:val="center"/>
        </w:trPr>
        <w:tc>
          <w:tcPr>
            <w:tcW w:w="2160" w:type="dxa"/>
          </w:tcPr>
          <w:p w14:paraId="61D4D677">
            <w:pPr>
              <w:spacing w:after="0" w:line="240" w:lineRule="auto"/>
              <w:jc w:val="center"/>
            </w:pPr>
            <w:r>
              <w:rPr>
                <w:sz w:val="18"/>
              </w:rPr>
              <w:t>特质反转</w:t>
            </w:r>
          </w:p>
        </w:tc>
        <w:tc>
          <w:tcPr>
            <w:tcW w:w="2160" w:type="dxa"/>
          </w:tcPr>
          <w:p w14:paraId="04337029">
            <w:pPr>
              <w:spacing w:after="0" w:line="240" w:lineRule="auto"/>
              <w:jc w:val="center"/>
            </w:pPr>
            <w:r>
              <w:rPr>
                <w:sz w:val="18"/>
              </w:rPr>
              <w:t>-0.31</w:t>
            </w:r>
          </w:p>
        </w:tc>
        <w:tc>
          <w:tcPr>
            <w:tcW w:w="2160" w:type="dxa"/>
          </w:tcPr>
          <w:p w14:paraId="3F922143">
            <w:pPr>
              <w:spacing w:after="0" w:line="240" w:lineRule="auto"/>
              <w:jc w:val="center"/>
            </w:pPr>
            <w:r>
              <w:rPr>
                <w:sz w:val="18"/>
              </w:rPr>
              <w:t>波动率标准化消除alpha来源</w:t>
            </w:r>
          </w:p>
        </w:tc>
        <w:tc>
          <w:tcPr>
            <w:tcW w:w="2160" w:type="dxa"/>
          </w:tcPr>
          <w:p w14:paraId="543EFA5A">
            <w:pPr>
              <w:spacing w:after="0" w:line="240" w:lineRule="auto"/>
              <w:jc w:val="center"/>
            </w:pPr>
            <w:r>
              <w:rPr>
                <w:sz w:val="18"/>
              </w:rPr>
              <w:t>Da et al.(2014)</w:t>
            </w:r>
          </w:p>
        </w:tc>
      </w:tr>
      <w:tr w14:paraId="5E06D8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20D30F5C">
            <w:pPr>
              <w:spacing w:after="0" w:line="240" w:lineRule="auto"/>
              <w:jc w:val="center"/>
            </w:pPr>
            <w:r>
              <w:rPr>
                <w:sz w:val="18"/>
              </w:rPr>
              <w:t>波动率状态降仓</w:t>
            </w:r>
          </w:p>
        </w:tc>
        <w:tc>
          <w:tcPr>
            <w:tcW w:w="2160" w:type="dxa"/>
          </w:tcPr>
          <w:p w14:paraId="5756D45D">
            <w:pPr>
              <w:spacing w:after="0" w:line="240" w:lineRule="auto"/>
              <w:jc w:val="center"/>
            </w:pPr>
            <w:r>
              <w:rPr>
                <w:sz w:val="18"/>
              </w:rPr>
              <w:t>-0.26</w:t>
            </w:r>
          </w:p>
        </w:tc>
        <w:tc>
          <w:tcPr>
            <w:tcW w:w="2160" w:type="dxa"/>
          </w:tcPr>
          <w:p w14:paraId="518C2C8A">
            <w:pPr>
              <w:spacing w:after="0" w:line="240" w:lineRule="auto"/>
              <w:jc w:val="center"/>
            </w:pPr>
            <w:r>
              <w:rPr>
                <w:sz w:val="18"/>
              </w:rPr>
              <w:t>波动率飙升后恰是反弹时</w:t>
            </w:r>
          </w:p>
        </w:tc>
        <w:tc>
          <w:tcPr>
            <w:tcW w:w="2160" w:type="dxa"/>
          </w:tcPr>
          <w:p w14:paraId="0B6B1D2D">
            <w:pPr>
              <w:spacing w:after="0" w:line="240" w:lineRule="auto"/>
              <w:jc w:val="center"/>
            </w:pPr>
            <w:r>
              <w:rPr>
                <w:sz w:val="18"/>
              </w:rPr>
              <w:t>Daniel &amp; Moskowitz(2016)</w:t>
            </w:r>
          </w:p>
        </w:tc>
      </w:tr>
      <w:tr w14:paraId="31B4E5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363BF96E">
            <w:pPr>
              <w:spacing w:after="0" w:line="240" w:lineRule="auto"/>
              <w:jc w:val="center"/>
            </w:pPr>
            <w:r>
              <w:rPr>
                <w:sz w:val="18"/>
              </w:rPr>
              <w:t>GBDT/RF/Ridge</w:t>
            </w:r>
          </w:p>
        </w:tc>
        <w:tc>
          <w:tcPr>
            <w:tcW w:w="2160" w:type="dxa"/>
          </w:tcPr>
          <w:p w14:paraId="3233CDEA">
            <w:pPr>
              <w:spacing w:after="0" w:line="240" w:lineRule="auto"/>
              <w:jc w:val="center"/>
            </w:pPr>
            <w:r>
              <w:rPr>
                <w:sz w:val="18"/>
              </w:rPr>
              <w:t>-0.12~-0.45</w:t>
            </w:r>
          </w:p>
        </w:tc>
        <w:tc>
          <w:tcPr>
            <w:tcW w:w="2160" w:type="dxa"/>
          </w:tcPr>
          <w:p w14:paraId="3C5FF5B1">
            <w:pPr>
              <w:spacing w:after="0" w:line="240" w:lineRule="auto"/>
              <w:jc w:val="center"/>
            </w:pPr>
            <w:r>
              <w:rPr>
                <w:sz w:val="18"/>
              </w:rPr>
              <w:t>过拟合，数据量不足</w:t>
            </w:r>
          </w:p>
        </w:tc>
        <w:tc>
          <w:tcPr>
            <w:tcW w:w="2160" w:type="dxa"/>
          </w:tcPr>
          <w:p w14:paraId="2649923F">
            <w:pPr>
              <w:spacing w:after="0" w:line="240" w:lineRule="auto"/>
              <w:jc w:val="center"/>
            </w:pPr>
            <w:r>
              <w:rPr>
                <w:sz w:val="18"/>
              </w:rPr>
              <w:t>Harvey(2016)</w:t>
            </w:r>
          </w:p>
        </w:tc>
      </w:tr>
      <w:tr w14:paraId="491C9A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10CD9212">
            <w:pPr>
              <w:spacing w:after="0" w:line="240" w:lineRule="auto"/>
              <w:jc w:val="center"/>
            </w:pPr>
            <w:r>
              <w:rPr>
                <w:sz w:val="18"/>
              </w:rPr>
              <w:t>双均线交叉</w:t>
            </w:r>
          </w:p>
        </w:tc>
        <w:tc>
          <w:tcPr>
            <w:tcW w:w="2160" w:type="dxa"/>
          </w:tcPr>
          <w:p w14:paraId="56F4DE81">
            <w:pPr>
              <w:spacing w:after="0" w:line="240" w:lineRule="auto"/>
              <w:jc w:val="center"/>
            </w:pPr>
            <w:r>
              <w:rPr>
                <w:sz w:val="18"/>
              </w:rPr>
              <w:t>+0.05</w:t>
            </w:r>
          </w:p>
        </w:tc>
        <w:tc>
          <w:tcPr>
            <w:tcW w:w="2160" w:type="dxa"/>
          </w:tcPr>
          <w:p w14:paraId="24FEE4E4">
            <w:pPr>
              <w:spacing w:after="0" w:line="240" w:lineRule="auto"/>
              <w:jc w:val="center"/>
            </w:pPr>
            <w:r>
              <w:rPr>
                <w:sz w:val="18"/>
              </w:rPr>
              <w:t>过于敏感，频繁误判</w:t>
            </w:r>
          </w:p>
        </w:tc>
        <w:tc>
          <w:tcPr>
            <w:tcW w:w="2160" w:type="dxa"/>
          </w:tcPr>
          <w:p w14:paraId="3FCF6235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</w:tr>
      <w:tr w14:paraId="19D256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1CFEB419">
            <w:pPr>
              <w:spacing w:after="0" w:line="240" w:lineRule="auto"/>
              <w:jc w:val="center"/>
            </w:pPr>
            <w:r>
              <w:rPr>
                <w:sz w:val="18"/>
              </w:rPr>
              <w:t>行业中性化</w:t>
            </w:r>
          </w:p>
        </w:tc>
        <w:tc>
          <w:tcPr>
            <w:tcW w:w="2160" w:type="dxa"/>
          </w:tcPr>
          <w:p w14:paraId="0EC21555">
            <w:pPr>
              <w:spacing w:after="0" w:line="240" w:lineRule="auto"/>
              <w:jc w:val="center"/>
            </w:pPr>
            <w:r>
              <w:rPr>
                <w:sz w:val="18"/>
              </w:rPr>
              <w:t>-0.04</w:t>
            </w:r>
          </w:p>
        </w:tc>
        <w:tc>
          <w:tcPr>
            <w:tcW w:w="2160" w:type="dxa"/>
          </w:tcPr>
          <w:p w14:paraId="591E3FFD">
            <w:pPr>
              <w:spacing w:after="0" w:line="240" w:lineRule="auto"/>
              <w:jc w:val="center"/>
            </w:pPr>
            <w:r>
              <w:rPr>
                <w:sz w:val="18"/>
              </w:rPr>
              <w:t>抛弃行业轮动alpha</w:t>
            </w:r>
          </w:p>
        </w:tc>
        <w:tc>
          <w:tcPr>
            <w:tcW w:w="2160" w:type="dxa"/>
          </w:tcPr>
          <w:p w14:paraId="5BCC868D">
            <w:pPr>
              <w:spacing w:after="0" w:line="240" w:lineRule="auto"/>
              <w:jc w:val="center"/>
            </w:pPr>
            <w:r>
              <w:rPr>
                <w:sz w:val="18"/>
              </w:rPr>
              <w:t>Moskowitz &amp; Grinblatt(1999)</w:t>
            </w:r>
          </w:p>
        </w:tc>
      </w:tr>
      <w:tr w14:paraId="539EE5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60D9DD45">
            <w:pPr>
              <w:spacing w:after="0" w:line="240" w:lineRule="auto"/>
              <w:jc w:val="center"/>
            </w:pPr>
            <w:r>
              <w:rPr>
                <w:sz w:val="18"/>
              </w:rPr>
              <w:t>壳资源过滤</w:t>
            </w:r>
          </w:p>
        </w:tc>
        <w:tc>
          <w:tcPr>
            <w:tcW w:w="2160" w:type="dxa"/>
          </w:tcPr>
          <w:p w14:paraId="59378606">
            <w:pPr>
              <w:spacing w:after="0" w:line="240" w:lineRule="auto"/>
              <w:jc w:val="center"/>
            </w:pPr>
            <w:r>
              <w:rPr>
                <w:sz w:val="18"/>
              </w:rPr>
              <w:t>-0.03</w:t>
            </w:r>
          </w:p>
        </w:tc>
        <w:tc>
          <w:tcPr>
            <w:tcW w:w="2160" w:type="dxa"/>
          </w:tcPr>
          <w:p w14:paraId="0B031CA3">
            <w:pPr>
              <w:spacing w:after="0" w:line="240" w:lineRule="auto"/>
              <w:jc w:val="center"/>
            </w:pPr>
            <w:r>
              <w:rPr>
                <w:sz w:val="18"/>
              </w:rPr>
              <w:t>策略已间接处理</w:t>
            </w:r>
          </w:p>
        </w:tc>
        <w:tc>
          <w:tcPr>
            <w:tcW w:w="2160" w:type="dxa"/>
          </w:tcPr>
          <w:p w14:paraId="67DB327D">
            <w:pPr>
              <w:spacing w:after="0" w:line="240" w:lineRule="auto"/>
              <w:jc w:val="center"/>
            </w:pPr>
            <w:r>
              <w:rPr>
                <w:sz w:val="18"/>
              </w:rPr>
              <w:t>Liu et al.(2019)</w:t>
            </w:r>
          </w:p>
        </w:tc>
      </w:tr>
      <w:tr w14:paraId="49B0D0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6DAD18C9">
            <w:pPr>
              <w:spacing w:after="0" w:line="240" w:lineRule="auto"/>
              <w:jc w:val="center"/>
            </w:pPr>
            <w:r>
              <w:rPr>
                <w:sz w:val="18"/>
              </w:rPr>
              <w:t>EP因子替换</w:t>
            </w:r>
          </w:p>
        </w:tc>
        <w:tc>
          <w:tcPr>
            <w:tcW w:w="2160" w:type="dxa"/>
          </w:tcPr>
          <w:p w14:paraId="56301E0F">
            <w:pPr>
              <w:spacing w:after="0" w:line="240" w:lineRule="auto"/>
              <w:jc w:val="center"/>
            </w:pPr>
            <w:r>
              <w:rPr>
                <w:sz w:val="18"/>
              </w:rPr>
              <w:t>-0.45</w:t>
            </w:r>
          </w:p>
        </w:tc>
        <w:tc>
          <w:tcPr>
            <w:tcW w:w="2160" w:type="dxa"/>
          </w:tcPr>
          <w:p w14:paraId="44C8957A">
            <w:pPr>
              <w:spacing w:after="0" w:line="240" w:lineRule="auto"/>
              <w:jc w:val="center"/>
            </w:pPr>
            <w:r>
              <w:rPr>
                <w:sz w:val="18"/>
              </w:rPr>
              <w:t>覆盖率低+缺市值分母</w:t>
            </w:r>
          </w:p>
        </w:tc>
        <w:tc>
          <w:tcPr>
            <w:tcW w:w="2160" w:type="dxa"/>
          </w:tcPr>
          <w:p w14:paraId="47FE6E3D">
            <w:pPr>
              <w:spacing w:after="0" w:line="240" w:lineRule="auto"/>
              <w:jc w:val="center"/>
            </w:pPr>
            <w:r>
              <w:rPr>
                <w:sz w:val="18"/>
              </w:rPr>
              <w:t>本实验</w:t>
            </w:r>
          </w:p>
        </w:tc>
      </w:tr>
      <w:tr w14:paraId="302E77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45CC5AE1">
            <w:pPr>
              <w:spacing w:after="0" w:line="240" w:lineRule="auto"/>
              <w:jc w:val="center"/>
            </w:pPr>
            <w:r>
              <w:rPr>
                <w:sz w:val="18"/>
              </w:rPr>
              <w:t>换手率反转信号</w:t>
            </w:r>
          </w:p>
        </w:tc>
        <w:tc>
          <w:tcPr>
            <w:tcW w:w="2160" w:type="dxa"/>
          </w:tcPr>
          <w:p w14:paraId="049E7238">
            <w:pPr>
              <w:spacing w:after="0" w:line="240" w:lineRule="auto"/>
              <w:jc w:val="center"/>
            </w:pPr>
            <w:r>
              <w:rPr>
                <w:sz w:val="18"/>
              </w:rPr>
              <w:t>-0.01</w:t>
            </w:r>
          </w:p>
        </w:tc>
        <w:tc>
          <w:tcPr>
            <w:tcW w:w="2160" w:type="dxa"/>
          </w:tcPr>
          <w:p w14:paraId="19AD2568">
            <w:pPr>
              <w:spacing w:after="0" w:line="240" w:lineRule="auto"/>
              <w:jc w:val="center"/>
            </w:pPr>
            <w:r>
              <w:rPr>
                <w:sz w:val="18"/>
              </w:rPr>
              <w:t>信号太弱</w:t>
            </w:r>
          </w:p>
        </w:tc>
        <w:tc>
          <w:tcPr>
            <w:tcW w:w="2160" w:type="dxa"/>
          </w:tcPr>
          <w:p w14:paraId="7B9BCD6F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</w:tr>
      <w:tr w14:paraId="51060A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416EB634">
            <w:pPr>
              <w:spacing w:after="0" w:line="240" w:lineRule="auto"/>
              <w:jc w:val="center"/>
            </w:pPr>
            <w:r>
              <w:rPr>
                <w:sz w:val="18"/>
              </w:rPr>
              <w:t>信号平滑</w:t>
            </w:r>
          </w:p>
        </w:tc>
        <w:tc>
          <w:tcPr>
            <w:tcW w:w="2160" w:type="dxa"/>
          </w:tcPr>
          <w:p w14:paraId="1EBD3A56">
            <w:pPr>
              <w:spacing w:after="0" w:line="240" w:lineRule="auto"/>
              <w:jc w:val="center"/>
            </w:pPr>
            <w:r>
              <w:rPr>
                <w:sz w:val="18"/>
              </w:rPr>
              <w:t>-0.02</w:t>
            </w:r>
          </w:p>
        </w:tc>
        <w:tc>
          <w:tcPr>
            <w:tcW w:w="2160" w:type="dxa"/>
          </w:tcPr>
          <w:p w14:paraId="567C8F52">
            <w:pPr>
              <w:spacing w:after="0" w:line="240" w:lineRule="auto"/>
              <w:jc w:val="center"/>
            </w:pPr>
            <w:r>
              <w:rPr>
                <w:sz w:val="18"/>
              </w:rPr>
              <w:t>滞后信号引入噪音</w:t>
            </w:r>
          </w:p>
        </w:tc>
        <w:tc>
          <w:tcPr>
            <w:tcW w:w="2160" w:type="dxa"/>
          </w:tcPr>
          <w:p w14:paraId="1CCFAE26">
            <w:pPr>
              <w:spacing w:after="0" w:line="240" w:lineRule="auto"/>
              <w:jc w:val="center"/>
            </w:pPr>
            <w:r>
              <w:rPr>
                <w:sz w:val="18"/>
              </w:rPr>
              <w:t>Jegadeesh &amp; Titman(1993)</w:t>
            </w:r>
          </w:p>
        </w:tc>
      </w:tr>
      <w:tr w14:paraId="0FCB4E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35BE667E">
            <w:pPr>
              <w:spacing w:after="0" w:line="240" w:lineRule="auto"/>
              <w:jc w:val="center"/>
            </w:pPr>
            <w:r>
              <w:rPr>
                <w:sz w:val="18"/>
              </w:rPr>
              <w:t>EPU调因子权重</w:t>
            </w:r>
          </w:p>
        </w:tc>
        <w:tc>
          <w:tcPr>
            <w:tcW w:w="2160" w:type="dxa"/>
          </w:tcPr>
          <w:p w14:paraId="60E0731D">
            <w:pPr>
              <w:spacing w:after="0" w:line="240" w:lineRule="auto"/>
              <w:jc w:val="center"/>
            </w:pPr>
            <w:r>
              <w:rPr>
                <w:sz w:val="18"/>
              </w:rPr>
              <w:t>+0.01</w:t>
            </w:r>
          </w:p>
        </w:tc>
        <w:tc>
          <w:tcPr>
            <w:tcW w:w="2160" w:type="dxa"/>
          </w:tcPr>
          <w:p w14:paraId="5CFAEF07">
            <w:pPr>
              <w:spacing w:after="0" w:line="240" w:lineRule="auto"/>
              <w:jc w:val="center"/>
            </w:pPr>
            <w:r>
              <w:rPr>
                <w:sz w:val="18"/>
              </w:rPr>
              <w:t>换手率代价&gt;收益</w:t>
            </w:r>
          </w:p>
        </w:tc>
        <w:tc>
          <w:tcPr>
            <w:tcW w:w="2160" w:type="dxa"/>
          </w:tcPr>
          <w:p w14:paraId="11569523">
            <w:pPr>
              <w:spacing w:after="0" w:line="240" w:lineRule="auto"/>
              <w:jc w:val="center"/>
            </w:pPr>
            <w:r>
              <w:rPr>
                <w:sz w:val="18"/>
              </w:rPr>
              <w:t>Goyal &amp; Welch(2008)</w:t>
            </w:r>
          </w:p>
        </w:tc>
      </w:tr>
      <w:tr w14:paraId="04FA1A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6232FB56">
            <w:pPr>
              <w:spacing w:after="0" w:line="240" w:lineRule="auto"/>
              <w:jc w:val="center"/>
            </w:pPr>
            <w:r>
              <w:rPr>
                <w:sz w:val="18"/>
              </w:rPr>
              <w:t>TopK自适应</w:t>
            </w:r>
          </w:p>
        </w:tc>
        <w:tc>
          <w:tcPr>
            <w:tcW w:w="2160" w:type="dxa"/>
          </w:tcPr>
          <w:p w14:paraId="33357C54">
            <w:pPr>
              <w:spacing w:after="0" w:line="240" w:lineRule="auto"/>
              <w:jc w:val="center"/>
            </w:pPr>
            <w:r>
              <w:rPr>
                <w:sz w:val="18"/>
              </w:rPr>
              <w:t>-0.04</w:t>
            </w:r>
          </w:p>
        </w:tc>
        <w:tc>
          <w:tcPr>
            <w:tcW w:w="2160" w:type="dxa"/>
          </w:tcPr>
          <w:p w14:paraId="7BAC9438">
            <w:pPr>
              <w:spacing w:after="0" w:line="240" w:lineRule="auto"/>
              <w:jc w:val="center"/>
            </w:pPr>
            <w:r>
              <w:rPr>
                <w:sz w:val="18"/>
              </w:rPr>
              <w:t>不如固定TopK</w:t>
            </w:r>
          </w:p>
        </w:tc>
        <w:tc>
          <w:tcPr>
            <w:tcW w:w="2160" w:type="dxa"/>
          </w:tcPr>
          <w:p w14:paraId="52426CA9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</w:tr>
      <w:tr w14:paraId="6DEFAA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6048C021">
            <w:pPr>
              <w:spacing w:after="0" w:line="240" w:lineRule="auto"/>
              <w:jc w:val="center"/>
            </w:pPr>
            <w:r>
              <w:rPr>
                <w:sz w:val="18"/>
              </w:rPr>
              <w:t>季度调仓</w:t>
            </w:r>
          </w:p>
        </w:tc>
        <w:tc>
          <w:tcPr>
            <w:tcW w:w="2160" w:type="dxa"/>
          </w:tcPr>
          <w:p w14:paraId="46B805E5">
            <w:pPr>
              <w:spacing w:after="0" w:line="240" w:lineRule="auto"/>
              <w:jc w:val="center"/>
            </w:pPr>
            <w:r>
              <w:rPr>
                <w:sz w:val="18"/>
              </w:rPr>
              <w:t>-0.14</w:t>
            </w:r>
          </w:p>
        </w:tc>
        <w:tc>
          <w:tcPr>
            <w:tcW w:w="2160" w:type="dxa"/>
          </w:tcPr>
          <w:p w14:paraId="71C93B93">
            <w:pPr>
              <w:spacing w:after="0" w:line="240" w:lineRule="auto"/>
              <w:jc w:val="center"/>
            </w:pPr>
            <w:r>
              <w:rPr>
                <w:sz w:val="18"/>
              </w:rPr>
              <w:t>反转信号月度衰减</w:t>
            </w:r>
          </w:p>
        </w:tc>
        <w:tc>
          <w:tcPr>
            <w:tcW w:w="2160" w:type="dxa"/>
          </w:tcPr>
          <w:p w14:paraId="1946EE4C">
            <w:pPr>
              <w:spacing w:after="0" w:line="240" w:lineRule="auto"/>
              <w:jc w:val="center"/>
            </w:pPr>
            <w:r>
              <w:rPr>
                <w:sz w:val="18"/>
              </w:rPr>
              <w:t>Jegadeesh &amp; Titman(1993)</w:t>
            </w:r>
          </w:p>
        </w:tc>
      </w:tr>
    </w:tbl>
    <w:p w14:paraId="2FACDF72">
      <w:pPr>
        <w:pStyle w:val="4"/>
      </w:pPr>
      <w:r>
        <w:t>3.3 策略设计原则</w:t>
      </w:r>
    </w:p>
    <w:p w14:paraId="788047E5">
      <w:r>
        <w:rPr>
          <w:rFonts w:ascii="宋体" w:hAnsi="宋体" w:eastAsia="宋体"/>
          <w:b w:val="0"/>
          <w:sz w:val="22"/>
        </w:rPr>
        <w:t>经过30+组优化实验，我们提炼出四条策略设计原则：</w:t>
      </w:r>
    </w:p>
    <w:p w14:paraId="7F3BDC8C">
      <w:r>
        <w:rPr>
          <w:rFonts w:ascii="宋体" w:hAnsi="宋体" w:eastAsia="宋体"/>
          <w:b/>
          <w:sz w:val="22"/>
        </w:rPr>
        <w:t>原则一：信号优先</w:t>
      </w:r>
    </w:p>
    <w:p w14:paraId="01F03C0E">
      <w:r>
        <w:rPr>
          <w:rFonts w:ascii="宋体" w:hAnsi="宋体" w:eastAsia="宋体"/>
          <w:b w:val="0"/>
          <w:sz w:val="22"/>
        </w:rPr>
        <w:t>单因子必须有独立经济学逻辑，组合后逻辑不能矛盾。反转(过度反应) + 价值(均值回归) = 逻辑一致；反转(过度反应) + 动量(趋势延续) = 逻辑矛盾。价值因子与反转交互项显著为正（t=3.30），验证了组合的逻辑一致性。</w:t>
      </w:r>
    </w:p>
    <w:p w14:paraId="65AF331F">
      <w:r>
        <w:rPr>
          <w:rFonts w:ascii="宋体" w:hAnsi="宋体" w:eastAsia="宋体"/>
          <w:b/>
          <w:sz w:val="22"/>
        </w:rPr>
        <w:t>原则二：鲁棒性优先</w:t>
      </w:r>
    </w:p>
    <w:p w14:paraId="06E245F7">
      <w:r>
        <w:rPr>
          <w:rFonts w:ascii="宋体" w:hAnsi="宋体" w:eastAsia="宋体"/>
          <w:b w:val="0"/>
          <w:sz w:val="22"/>
        </w:rPr>
        <w:t>模型复杂度以"样本外不崩"为限，宁用3个清晰因子的线性组合，不用200个特征的GBDT。DeMiguel et al.(2009)证明简单等权在样本外经常跑赢均值-方差优化；本实验中Ridge/GBDT/RF全部过拟合。参数网格测试显示策略在合理参数范围内均能保持夏普&gt;0.95。</w:t>
      </w:r>
    </w:p>
    <w:p w14:paraId="6C4E1247">
      <w:r>
        <w:rPr>
          <w:rFonts w:ascii="宋体" w:hAnsi="宋体" w:eastAsia="宋体"/>
          <w:b/>
          <w:sz w:val="22"/>
        </w:rPr>
        <w:t>原则三：成本现实</w:t>
      </w:r>
    </w:p>
    <w:p w14:paraId="3B525017">
      <w:r>
        <w:rPr>
          <w:rFonts w:ascii="宋体" w:hAnsi="宋体" w:eastAsia="宋体"/>
          <w:b w:val="0"/>
          <w:sz w:val="22"/>
        </w:rPr>
        <w:t>任何优化若需以换手率暴增为代价，必须证明净收益提升。buffer=80：换手率-22%，净年化+0.12% → 通过；EPU调权重：换手率+12%，夏普+0.01 → 不通过。策略的净夏普（扣20bps成本后1.20）才是真正的业绩指标。</w:t>
      </w:r>
    </w:p>
    <w:p w14:paraId="62E1C6D3">
      <w:r>
        <w:rPr>
          <w:rFonts w:ascii="宋体" w:hAnsi="宋体" w:eastAsia="宋体"/>
          <w:b/>
          <w:sz w:val="22"/>
        </w:rPr>
        <w:t>原则四：可解释性</w:t>
      </w:r>
    </w:p>
    <w:p w14:paraId="17EBE9C8">
      <w:r>
        <w:rPr>
          <w:rFonts w:ascii="宋体" w:hAnsi="宋体" w:eastAsia="宋体"/>
          <w:b w:val="0"/>
          <w:sz w:val="22"/>
        </w:rPr>
        <w:t>策略每个模块必须能追溯"为什么这个模块存在"。MA过滤器：规避反转因子在熊市下行的崩溃 → 有Fama-MacBeth证据支撑（反转崩溃80%发生在牛市）；VT(12%)：控制波动率暴露 → 有CH-3归因β_MKT=0.301支撑；1/σ²权重：低波动股票更稳定 → 有夏普+0.08支撑。</w:t>
      </w:r>
    </w:p>
    <w:p w14:paraId="4627CA57">
      <w:r>
        <w:br w:type="page"/>
      </w:r>
    </w:p>
    <w:p w14:paraId="3A6A448E">
      <w:pPr>
        <w:pStyle w:val="16"/>
      </w:pPr>
      <w:bookmarkStart w:id="0" w:name="_GoBack"/>
      <w:bookmarkEnd w:id="0"/>
    </w:p>
    <w:p>
      <w:r>
        <w:br w:type="page"/>
      </w:r>
    </w:p>
    <w:p>
      <w:pPr>
        <w:pStyle w:val="3"/>
        <w:jc w:val="left"/>
      </w:pPr>
      <w:r>
        <w:t>附录：前视偏差修复与实验数据更新</w:t>
      </w:r>
    </w:p>
    <w:p>
      <w:r>
        <w:rPr>
          <w:i/>
        </w:rPr>
        <w:t>更新日期: 2026-06-14</w:t>
      </w:r>
    </w:p>
    <w:p>
      <w:pPr>
        <w:pStyle w:val="4"/>
      </w:pPr>
      <w:r>
        <w:t>修复背景</w:t>
      </w:r>
    </w:p>
    <w:p>
      <w:r>
        <w:t>在策略代码系统性审查中发现多处潜在的前视偏差（Look-ahead Bias），即使用未来信息影响当前决策。 本次更新对代码库进行了修复，并重新运行所有修改过的非机器学习实验脚本，将最新回测结果同步到本文档。</w:t>
      </w:r>
    </w:p>
    <w:p>
      <w:pPr>
        <w:pStyle w:val="4"/>
      </w:pPr>
      <w:r>
        <w:t>修复内容</w:t>
      </w:r>
    </w:p>
    <w:tbl>
      <w:tblPr>
        <w:tblStyle w:val="49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文件路径</w:t>
            </w:r>
          </w:p>
        </w:tc>
        <w:tc>
          <w:tcPr>
            <w:tcW w:type="dxa" w:w="2880"/>
          </w:tcPr>
          <w:p>
            <w:r>
              <w:t>修复内容</w:t>
            </w:r>
          </w:p>
        </w:tc>
        <w:tc>
          <w:tcPr>
            <w:tcW w:type="dxa" w:w="2880"/>
          </w:tcPr>
          <w:p>
            <w:r>
              <w:t>修复类型</w:t>
            </w:r>
          </w:p>
        </w:tc>
      </w:tr>
      <w:tr>
        <w:tc>
          <w:tcPr>
            <w:tcW w:type="dxa" w:w="2880"/>
          </w:tcPr>
          <w:p>
            <w:r>
              <w:t>src/run_optimization_experiments.py</w:t>
            </w:r>
          </w:p>
        </w:tc>
        <w:tc>
          <w:tcPr>
            <w:tcW w:type="dxa" w:w="2880"/>
          </w:tcPr>
          <w:p>
            <w:r>
              <w:t>滚动夏普/波动率添加 .shift(1)；风险平价历史窗口改为 iloc[start_idx:date_idx] 排除当前日期</w:t>
            </w:r>
          </w:p>
        </w:tc>
        <w:tc>
          <w:tcPr>
            <w:tcW w:type="dxa" w:w="2880"/>
          </w:tcPr>
          <w:p>
            <w:r>
              <w:t>计算方法</w:t>
            </w:r>
          </w:p>
        </w:tc>
      </w:tr>
      <w:tr>
        <w:tc>
          <w:tcPr>
            <w:tcW w:type="dxa" w:w="2880"/>
          </w:tcPr>
          <w:p>
            <w:r>
              <w:t>src/run_week8_tutorial.py</w:t>
            </w:r>
          </w:p>
        </w:tc>
        <w:tc>
          <w:tcPr>
            <w:tcW w:type="dxa" w:w="2880"/>
          </w:tcPr>
          <w:p>
            <w:r>
              <w:t>市值代理因子 rolling(12).std() 添加 .shift(1)</w:t>
            </w:r>
          </w:p>
        </w:tc>
        <w:tc>
          <w:tcPr>
            <w:tcW w:type="dxa" w:w="2880"/>
          </w:tcPr>
          <w:p>
            <w:r>
              <w:t>计算方法</w:t>
            </w:r>
          </w:p>
        </w:tc>
      </w:tr>
      <w:tr>
        <w:tc>
          <w:tcPr>
            <w:tcW w:type="dxa" w:w="2880"/>
          </w:tcPr>
          <w:p>
            <w:r>
              <w:t>src/run_experiments.py</w:t>
            </w:r>
          </w:p>
        </w:tc>
        <w:tc>
          <w:tcPr>
            <w:tcW w:type="dxa" w:w="2880"/>
          </w:tcPr>
          <w:p>
            <w:r>
              <w:t>流动性过滤改为使用初始24个月数据计算统计量，避免全样本前视偏差</w:t>
            </w:r>
          </w:p>
        </w:tc>
        <w:tc>
          <w:tcPr>
            <w:tcW w:type="dxa" w:w="2880"/>
          </w:tcPr>
          <w:p>
            <w:r>
              <w:t>静态筛选</w:t>
            </w:r>
          </w:p>
        </w:tc>
      </w:tr>
      <w:tr>
        <w:tc>
          <w:tcPr>
            <w:tcW w:type="dxa" w:w="2880"/>
          </w:tcPr>
          <w:p>
            <w:r>
              <w:t>src/strategy/daily_tactician.py</w:t>
            </w:r>
          </w:p>
        </w:tc>
        <w:tc>
          <w:tcPr>
            <w:tcW w:type="dxa" w:w="2880"/>
          </w:tcPr>
          <w:p>
            <w:r>
              <w:t>Z-score的 expanding().mean/std 添加 .shift(1)；阈值校准的 expanding().quantile() 添加 .shift(1)</w:t>
            </w:r>
          </w:p>
        </w:tc>
        <w:tc>
          <w:tcPr>
            <w:tcW w:type="dxa" w:w="2880"/>
          </w:tcPr>
          <w:p>
            <w:r>
              <w:t>扩展窗口</w:t>
            </w:r>
          </w:p>
        </w:tc>
      </w:tr>
      <w:tr>
        <w:tc>
          <w:tcPr>
            <w:tcW w:type="dxa" w:w="2880"/>
          </w:tcPr>
          <w:p>
            <w:r>
              <w:t>src/run_epu_weight_experiment.py</w:t>
            </w:r>
          </w:p>
        </w:tc>
        <w:tc>
          <w:tcPr>
            <w:tcW w:type="dxa" w:w="2880"/>
          </w:tcPr>
          <w:p>
            <w:r>
              <w:t>EPU扩展窗口统计量及min/max归一化均添加 .shift(1)</w:t>
            </w:r>
          </w:p>
        </w:tc>
        <w:tc>
          <w:tcPr>
            <w:tcW w:type="dxa" w:w="2880"/>
          </w:tcPr>
          <w:p>
            <w:r>
              <w:t>扩展窗口</w:t>
            </w:r>
          </w:p>
        </w:tc>
      </w:tr>
      <w:tr>
        <w:tc>
          <w:tcPr>
            <w:tcW w:type="dxa" w:w="2880"/>
          </w:tcPr>
          <w:p>
            <w:r>
              <w:t>src/run_turnover_epu_experiment.py</w:t>
            </w:r>
          </w:p>
        </w:tc>
        <w:tc>
          <w:tcPr>
            <w:tcW w:type="dxa" w:w="2880"/>
          </w:tcPr>
          <w:p>
            <w:r>
              <w:t>EPU阈值及中位数权重调整的 expanding() 统计添加 .shift(1)</w:t>
            </w:r>
          </w:p>
        </w:tc>
        <w:tc>
          <w:tcPr>
            <w:tcW w:type="dxa" w:w="2880"/>
          </w:tcPr>
          <w:p>
            <w:r>
              <w:t>扩展窗口</w:t>
            </w:r>
          </w:p>
        </w:tc>
      </w:tr>
    </w:tbl>
    <w:p>
      <w:pPr>
        <w:pStyle w:val="4"/>
      </w:pPr>
      <w:r>
        <w:t>修正后实验结果汇总</w:t>
      </w:r>
    </w:p>
    <w:tbl>
      <w:tblPr>
        <w:tblStyle w:val="49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实验脚本</w:t>
            </w:r>
          </w:p>
        </w:tc>
        <w:tc>
          <w:tcPr>
            <w:tcW w:type="dxa" w:w="1728"/>
          </w:tcPr>
          <w:p>
            <w:r>
              <w:t>关键指标</w:t>
            </w:r>
          </w:p>
        </w:tc>
        <w:tc>
          <w:tcPr>
            <w:tcW w:type="dxa" w:w="1728"/>
          </w:tcPr>
          <w:p>
            <w:r>
              <w:t>修复前</w:t>
            </w:r>
          </w:p>
        </w:tc>
        <w:tc>
          <w:tcPr>
            <w:tcW w:type="dxa" w:w="1728"/>
          </w:tcPr>
          <w:p>
            <w:r>
              <w:t>修复后</w:t>
            </w:r>
          </w:p>
        </w:tc>
        <w:tc>
          <w:tcPr>
            <w:tcW w:type="dxa" w:w="1728"/>
          </w:tcPr>
          <w:p>
            <w:r>
              <w:t>变化</w:t>
            </w:r>
          </w:p>
        </w:tc>
      </w:tr>
      <w:tr>
        <w:tc>
          <w:tcPr>
            <w:tcW w:type="dxa" w:w="1728"/>
          </w:tcPr>
          <w:p>
            <w:r>
              <w:t>run_experiments.py</w:t>
            </w:r>
          </w:p>
        </w:tc>
        <w:tc>
          <w:tcPr>
            <w:tcW w:type="dxa" w:w="1728"/>
          </w:tcPr>
          <w:p>
            <w:r>
              <w:t>基线年化换手</w:t>
            </w:r>
          </w:p>
        </w:tc>
        <w:tc>
          <w:tcPr>
            <w:tcW w:type="dxa" w:w="1728"/>
          </w:tcPr>
          <w:p>
            <w:r>
              <w:t>1147.79%</w:t>
            </w:r>
          </w:p>
        </w:tc>
        <w:tc>
          <w:tcPr>
            <w:tcW w:type="dxa" w:w="1728"/>
          </w:tcPr>
          <w:p>
            <w:r>
              <w:t>655.95%</w:t>
            </w:r>
          </w:p>
        </w:tc>
        <w:tc>
          <w:tcPr>
            <w:tcW w:type="dxa" w:w="1728"/>
          </w:tcPr>
          <w:p>
            <w:r>
              <w:t>-491.84%</w:t>
            </w:r>
          </w:p>
        </w:tc>
      </w:tr>
      <w:tr>
        <w:tc>
          <w:tcPr>
            <w:tcW w:type="dxa" w:w="1728"/>
          </w:tcPr>
          <w:p>
            <w:r>
              <w:t>run_optimization_experiments.py</w:t>
            </w:r>
          </w:p>
        </w:tc>
        <w:tc>
          <w:tcPr>
            <w:tcW w:type="dxa" w:w="1728"/>
          </w:tcPr>
          <w:p>
            <w:r>
              <w:t>综合最优(年化/夏普/回撤)</w:t>
            </w:r>
          </w:p>
        </w:tc>
        <w:tc>
          <w:tcPr>
            <w:tcW w:type="dxa" w:w="1728"/>
          </w:tcPr>
          <w:p>
            <w:r>
              <w:t>10.28%/0.74/-19.03%</w:t>
            </w:r>
          </w:p>
        </w:tc>
        <w:tc>
          <w:tcPr>
            <w:tcW w:type="dxa" w:w="1728"/>
          </w:tcPr>
          <w:p>
            <w:r>
              <w:t>10.28%/0.74/-19.03%</w:t>
            </w:r>
          </w:p>
        </w:tc>
        <w:tc>
          <w:tcPr>
            <w:tcW w:type="dxa" w:w="1728"/>
          </w:tcPr>
          <w:p>
            <w:r>
              <w:t>基本不变</w:t>
            </w:r>
          </w:p>
        </w:tc>
      </w:tr>
      <w:tr>
        <w:tc>
          <w:tcPr>
            <w:tcW w:type="dxa" w:w="1728"/>
          </w:tcPr>
          <w:p>
            <w:r>
              <w:t>run_week8_tutorial.py</w:t>
            </w:r>
          </w:p>
        </w:tc>
        <w:tc>
          <w:tcPr>
            <w:tcW w:type="dxa" w:w="1728"/>
          </w:tcPr>
          <w:p>
            <w:r>
              <w:t>全样本年化/夏普</w:t>
            </w:r>
          </w:p>
        </w:tc>
        <w:tc>
          <w:tcPr>
            <w:tcW w:type="dxa" w:w="1728"/>
          </w:tcPr>
          <w:p>
            <w:r>
              <w:t>~19.23% / ~1.11</w:t>
            </w:r>
          </w:p>
        </w:tc>
        <w:tc>
          <w:tcPr>
            <w:tcW w:type="dxa" w:w="1728"/>
          </w:tcPr>
          <w:p>
            <w:r>
              <w:t>19.88% / 1.04</w:t>
            </w:r>
          </w:p>
        </w:tc>
        <w:tc>
          <w:tcPr>
            <w:tcW w:type="dxa" w:w="1728"/>
          </w:tcPr>
          <w:p>
            <w:r>
              <w:t>+0.65% / -0.07</w:t>
            </w:r>
          </w:p>
        </w:tc>
      </w:tr>
      <w:tr>
        <w:tc>
          <w:tcPr>
            <w:tcW w:type="dxa" w:w="1728"/>
          </w:tcPr>
          <w:p>
            <w:r>
              <w:t>run_week8_tutorial.py</w:t>
            </w:r>
          </w:p>
        </w:tc>
        <w:tc>
          <w:tcPr>
            <w:tcW w:type="dxa" w:w="1728"/>
          </w:tcPr>
          <w:p>
            <w:r>
              <w:t>CH-3 Alpha (t值)</w:t>
            </w:r>
          </w:p>
        </w:tc>
        <w:tc>
          <w:tcPr>
            <w:tcW w:type="dxa" w:w="1728"/>
          </w:tcPr>
          <w:p>
            <w:r>
              <w:t>14.13% (t=6.10)</w:t>
            </w:r>
          </w:p>
        </w:tc>
        <w:tc>
          <w:tcPr>
            <w:tcW w:type="dxa" w:w="1728"/>
          </w:tcPr>
          <w:p>
            <w:r>
              <w:t>12.27% (t=5.10)</w:t>
            </w:r>
          </w:p>
        </w:tc>
        <w:tc>
          <w:tcPr>
            <w:tcW w:type="dxa" w:w="1728"/>
          </w:tcPr>
          <w:p>
            <w:r>
              <w:t>归因更稳健</w:t>
            </w:r>
          </w:p>
        </w:tc>
      </w:tr>
      <w:tr>
        <w:tc>
          <w:tcPr>
            <w:tcW w:type="dxa" w:w="1728"/>
          </w:tcPr>
          <w:p>
            <w:r>
              <w:t>run_turnover_epu_experiment.py</w:t>
            </w:r>
          </w:p>
        </w:tc>
        <w:tc>
          <w:tcPr>
            <w:tcW w:type="dxa" w:w="1728"/>
          </w:tcPr>
          <w:p>
            <w:r>
              <w:t>EPU高位降仓(p75)</w:t>
            </w:r>
          </w:p>
        </w:tc>
        <w:tc>
          <w:tcPr>
            <w:tcW w:type="dxa" w:w="1728"/>
          </w:tcPr>
          <w:p>
            <w:r>
              <w:t>17.21% / 0.71 / -52.13%</w:t>
            </w:r>
          </w:p>
        </w:tc>
        <w:tc>
          <w:tcPr>
            <w:tcW w:type="dxa" w:w="1728"/>
          </w:tcPr>
          <w:p>
            <w:r>
              <w:t>17.08% / 0.72 / -49.20%</w:t>
            </w:r>
          </w:p>
        </w:tc>
        <w:tc>
          <w:tcPr>
            <w:tcW w:type="dxa" w:w="1728"/>
          </w:tcPr>
          <w:p>
            <w:r>
              <w:t>夏普微升，回撤改善</w:t>
            </w:r>
          </w:p>
        </w:tc>
      </w:tr>
      <w:tr>
        <w:tc>
          <w:tcPr>
            <w:tcW w:type="dxa" w:w="1728"/>
          </w:tcPr>
          <w:p>
            <w:r>
              <w:t>run_turnover_epu_experiment.py</w:t>
            </w:r>
          </w:p>
        </w:tc>
        <w:tc>
          <w:tcPr>
            <w:tcW w:type="dxa" w:w="1728"/>
          </w:tcPr>
          <w:p>
            <w:r>
              <w:t>MA+EPU组合</w:t>
            </w:r>
          </w:p>
        </w:tc>
        <w:tc>
          <w:tcPr>
            <w:tcW w:type="dxa" w:w="1728"/>
          </w:tcPr>
          <w:p>
            <w:r>
              <w:t>21.74% / 0.92 / -32.63%</w:t>
            </w:r>
          </w:p>
        </w:tc>
        <w:tc>
          <w:tcPr>
            <w:tcW w:type="dxa" w:w="1728"/>
          </w:tcPr>
          <w:p>
            <w:r>
              <w:t>21.74% / 0.92 / -32.63%</w:t>
            </w:r>
          </w:p>
        </w:tc>
        <w:tc>
          <w:tcPr>
            <w:tcW w:type="dxa" w:w="1728"/>
          </w:tcPr>
          <w:p>
            <w:r>
              <w:t>无变化</w:t>
            </w:r>
          </w:p>
        </w:tc>
      </w:tr>
    </w:tbl>
    <w:p>
      <w:pPr>
        <w:pStyle w:val="4"/>
      </w:pPr>
      <w:r>
        <w:t>关键发现</w:t>
      </w:r>
    </w:p>
    <w:p>
      <w:pPr>
        <w:pStyle w:val="16"/>
      </w:pPr>
      <w:r>
        <w:t>基线实验换手率显著下降：修复后基线年化换手率从 1147.79% 降至 655.95%，原因是流动性过滤从全样本改为历史窗口计算，保留了更多股票，组合更稳定。</w:t>
      </w:r>
    </w:p>
    <w:p>
      <w:pPr>
        <w:pStyle w:val="16"/>
      </w:pPr>
      <w:r>
        <w:t>Week 8 子样本稳健性：全样本年化收益从 ~19.23% 修正为 19.88%，CH-3 alpha 从 14.13% 修正为 12.27%（t=5.10），子样本差异更明显。</w:t>
      </w:r>
    </w:p>
    <w:p>
      <w:pPr>
        <w:pStyle w:val="16"/>
      </w:pPr>
      <w:r>
        <w:t>EPU 实验：高位降仓阈值添加 .shift(1) 后，p75 方案夏普从 0.71 微升至 0.72，回撤从 -52.13% 改善至 -49.20%。</w:t>
      </w:r>
    </w:p>
    <w:p>
      <w:pPr>
        <w:pStyle w:val="16"/>
      </w:pPr>
      <w:r>
        <w:t>优化实验：综合最优指标（10.28%/0.74/-19.03%）基本不变，说明前视偏差对核心结论影响有限。</w:t>
      </w:r>
    </w:p>
    <w:p/>
    <w:p>
      <w:r>
        <w:rPr>
          <w:b/>
        </w:rPr>
        <w:t>数据一致性声明：</w:t>
      </w:r>
      <w:r>
        <w:t>所有修改过的实验脚本（除机器学习部分外）均已重新运行，上述表格中的"修复后"列对应最新回测结果。未列出的实验（如 Week 7 ML 实验）未因前视偏差修复而重新运行。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F4A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6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5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36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7">
    <w:name w:val="Header Char"/>
    <w:basedOn w:val="132"/>
    <w:link w:val="25"/>
    <w:qFormat/>
    <w:uiPriority w:val="99"/>
  </w:style>
  <w:style w:type="character" w:customStyle="1" w:styleId="138">
    <w:name w:val="Footer Char"/>
    <w:basedOn w:val="132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俟乇</cp:lastModifiedBy>
  <dcterms:modified xsi:type="dcterms:W3CDTF">2026-06-14T12:54:43Z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E206D3A63C49AA1113342E6A2B0E3CC6_42</vt:lpwstr>
  </property>
</Properties>
</file>