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871F7">
      <w:pPr>
        <w:pStyle w:val="5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sz w:val="44"/>
          <w:szCs w:val="44"/>
          <w:u w:val="none"/>
        </w:rPr>
        <w:t>月度组合策略研究报告</w:t>
      </w:r>
    </w:p>
    <w:p w14:paraId="43E5393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u w:val="none"/>
          <w:lang w:val="en-US" w:eastAsia="zh-CN" w:bidi="ar"/>
        </w:rPr>
        <w:t>价值因子(40%) + 反转因子(60%)</w:t>
      </w:r>
    </w:p>
    <w:p w14:paraId="402FA0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1. 研究问题</w:t>
      </w:r>
      <w:bookmarkStart w:id="0" w:name="_GoBack"/>
      <w:bookmarkEnd w:id="0"/>
    </w:p>
    <w:p w14:paraId="22F4782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1.1 研究目标</w:t>
      </w:r>
    </w:p>
    <w:p w14:paraId="319059A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本研究旨在探索反转效应与价值投资效应的协同作用。</w:t>
      </w:r>
    </w:p>
    <w:p w14:paraId="3593F7D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1.2 研究意义</w:t>
      </w:r>
    </w:p>
    <w:p w14:paraId="25BCE2F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学术意义：多因子模型中，反转效应和价值效应是经典异象，两者结合的效果尚未被充分研究。</w:t>
      </w:r>
    </w:p>
    <w:p w14:paraId="443D0AD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实践价值：如果组合策略能产生显著Alpha，可为量化投资提供策略依据，特别是在A股市场的应用。</w:t>
      </w:r>
    </w:p>
    <w:p w14:paraId="6EE7B01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1.3 研究假设</w:t>
      </w:r>
    </w:p>
    <w:p w14:paraId="42EE6AA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假设1：反转因子捕捉短期超跌反弹，价值因子提供安全边际，两者结合应优于单一策略</w:t>
      </w:r>
    </w:p>
    <w:p w14:paraId="23A0A01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假设2：组合策略应具有统计显著的Alpha（年化&gt;6%，t&gt;2）</w:t>
      </w:r>
    </w:p>
    <w:p w14:paraId="774C89D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假设3：组合策略的夏普比率应高于纯反转或纯价值策略</w:t>
      </w:r>
    </w:p>
    <w:p w14:paraId="3976BEC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 当前进展</w:t>
      </w:r>
    </w:p>
    <w:p w14:paraId="264B040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2.1 数据说明</w:t>
      </w:r>
    </w:p>
    <w:p w14:paraId="4413C3E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数据来源：CSMAR（国泰安）数据库</w:t>
      </w:r>
    </w:p>
    <w:p w14:paraId="5A02CB5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样本期间：2006年2月至2025年12月（239个月）</w:t>
      </w:r>
    </w:p>
    <w:p w14:paraId="1DF8B61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样本数量：A股全市场月度收益率数据（5,876只股票）</w:t>
      </w:r>
    </w:p>
    <w:p w14:paraId="49E4651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选股池：A股全市场（剔除ST、停牌等股票）</w:t>
      </w:r>
    </w:p>
    <w:p w14:paraId="029CA6B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2.2 因子构造</w:t>
      </w:r>
    </w:p>
    <w:p w14:paraId="602CC8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2.2.1 因子选择原因</w:t>
      </w:r>
    </w:p>
    <w:p w14:paraId="19C8D99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在构建组合策略之前，我们分别测试了纯反转策略和纯价值策略：</w:t>
      </w:r>
    </w:p>
    <w:p w14:paraId="450CA2A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纯反转策略（K=6）：年化收益约16-21%，但Alpha不显著（t&lt;2），R²高达85%，收益主要来自市场暴露和小市值风格</w:t>
      </w:r>
    </w:p>
    <w:p w14:paraId="538D89C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纯价值策略（EP=80%, DP=20%）：年化收益10.81%，Alpha显著（t=2.26），但收益偏低</w:t>
      </w:r>
    </w:p>
    <w:p w14:paraId="4321959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结论：单一策略各有优劣，组合可能产生协同效应</w:t>
      </w:r>
    </w:p>
    <w:p w14:paraId="2CBBFE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2.2.2 价值因子构造</w:t>
      </w:r>
    </w:p>
    <w:p w14:paraId="2D8264F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价值因子采用复合价值指标，经过参数调优确定最优权重：</w:t>
      </w:r>
    </w:p>
    <w:p w14:paraId="12D0B09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参数调优过程（网格搜索242种组合）：</w:t>
      </w:r>
    </w:p>
    <w:p w14:paraId="29E7B8B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测试范围：EP(0-100%), BP(0-100%), SP(0-100%), DP(0-100%)</w:t>
      </w:r>
    </w:p>
    <w:p w14:paraId="6C41828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优化目标：最大化夏普比率，同时保证Alpha显著性</w:t>
      </w:r>
    </w:p>
    <w:p w14:paraId="49FBE56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稳健性检验：Bootstrap 1000次，要求95%置信区间不包含0</w:t>
      </w:r>
    </w:p>
    <w:p w14:paraId="3EFFFF6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最优权重配置：</w:t>
      </w:r>
    </w:p>
    <w:tbl>
      <w:tblPr>
        <w:tblW w:w="864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9"/>
        <w:gridCol w:w="819"/>
        <w:gridCol w:w="4792"/>
      </w:tblGrid>
      <w:tr w14:paraId="12D27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5294190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因子</w:t>
            </w:r>
          </w:p>
        </w:tc>
        <w:tc>
          <w:tcPr>
            <w:tcW w:w="0" w:type="auto"/>
            <w:shd w:val="clear"/>
            <w:vAlign w:val="top"/>
          </w:tcPr>
          <w:p w14:paraId="2C2A166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top"/>
          </w:tcPr>
          <w:p w14:paraId="5459C9D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520F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72BDD21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EP（盈利收益率）</w:t>
            </w:r>
          </w:p>
        </w:tc>
        <w:tc>
          <w:tcPr>
            <w:tcW w:w="0" w:type="auto"/>
            <w:shd w:val="clear"/>
            <w:vAlign w:val="top"/>
          </w:tcPr>
          <w:p w14:paraId="3ECDFC2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/>
            <w:vAlign w:val="top"/>
          </w:tcPr>
          <w:p w14:paraId="59DD772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核心价值指标，净利润/总市值</w:t>
            </w:r>
          </w:p>
        </w:tc>
      </w:tr>
      <w:tr w14:paraId="3D709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19403CA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DP（股息率）</w:t>
            </w:r>
          </w:p>
        </w:tc>
        <w:tc>
          <w:tcPr>
            <w:tcW w:w="0" w:type="auto"/>
            <w:shd w:val="clear"/>
            <w:vAlign w:val="top"/>
          </w:tcPr>
          <w:p w14:paraId="68CADD5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top"/>
          </w:tcPr>
          <w:p w14:paraId="0050506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质量指标，提供稳健性补充</w:t>
            </w:r>
          </w:p>
        </w:tc>
      </w:tr>
      <w:tr w14:paraId="70BD0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785FC95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BP（账面市值比）</w:t>
            </w:r>
          </w:p>
        </w:tc>
        <w:tc>
          <w:tcPr>
            <w:tcW w:w="0" w:type="auto"/>
            <w:shd w:val="clear"/>
            <w:vAlign w:val="top"/>
          </w:tcPr>
          <w:p w14:paraId="797C934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top"/>
          </w:tcPr>
          <w:p w14:paraId="0002911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与EP高度相关，边际贡献低</w:t>
            </w:r>
          </w:p>
        </w:tc>
      </w:tr>
      <w:tr w14:paraId="6E2A8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7BBBD45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SP（营收市值比）</w:t>
            </w:r>
          </w:p>
        </w:tc>
        <w:tc>
          <w:tcPr>
            <w:tcW w:w="0" w:type="auto"/>
            <w:shd w:val="clear"/>
            <w:vAlign w:val="top"/>
          </w:tcPr>
          <w:p w14:paraId="5D5E9AB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top"/>
          </w:tcPr>
          <w:p w14:paraId="79D0849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与EP高度相关，边际贡献低</w:t>
            </w:r>
          </w:p>
        </w:tc>
      </w:tr>
    </w:tbl>
    <w:p w14:paraId="7C7D641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调优结果：</w:t>
      </w:r>
    </w:p>
    <w:p w14:paraId="39C6CC4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夏普比率：0.431（优化前0.332，提升30%）</w:t>
      </w:r>
    </w:p>
    <w:p w14:paraId="77D5B3B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Alpha显著性：从边际显著(t=1.81)提升至显著(t=2.26)</w:t>
      </w:r>
    </w:p>
    <w:p w14:paraId="3318D81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核心发现：盈利收益率(EP)是价值策略的核心驱动力</w:t>
      </w:r>
    </w:p>
    <w:p w14:paraId="517169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2.2.3 反转因子构造</w:t>
      </w:r>
    </w:p>
    <w:p w14:paraId="2B878A6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形成期：K=6个月（中期反转效应最强）</w:t>
      </w:r>
    </w:p>
    <w:p w14:paraId="13DC1A0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信号计算：过去6个月累积收益率的负值</w:t>
      </w:r>
    </w:p>
    <w:p w14:paraId="6D60BC0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标准化：Winsorization缩尾处理（提升稳健性）</w:t>
      </w:r>
    </w:p>
    <w:p w14:paraId="6EA67C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2.2.4 合成得分与选股规则</w:t>
      </w:r>
    </w:p>
    <w:p w14:paraId="23D597A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合成得分公式：</w:t>
      </w:r>
    </w:p>
    <w:p w14:paraId="2DD7FB8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Score = 0.4 × EP价值因子_z + 0.6 × 反转因子_z</w:t>
      </w:r>
    </w:p>
    <w:p w14:paraId="22BF84F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选股规则：</w:t>
      </w:r>
    </w:p>
    <w:p w14:paraId="4914BEB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选取得分最高的100只股票</w:t>
      </w:r>
    </w:p>
    <w:p w14:paraId="0E339581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等权配置（每只权重1%）</w:t>
      </w:r>
    </w:p>
    <w:p w14:paraId="317AA89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月度调仓（每月第1个交易日）</w:t>
      </w:r>
    </w:p>
    <w:p w14:paraId="25BF22B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权重分配：价值因子40% + 反转因子60%</w:t>
      </w:r>
    </w:p>
    <w:p w14:paraId="1BEE989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2.3 回测结果</w:t>
      </w:r>
    </w:p>
    <w:p w14:paraId="1C4D250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绩效指标：</w:t>
      </w:r>
    </w:p>
    <w:p w14:paraId="10DE048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年化收益率：21.89%</w:t>
      </w:r>
    </w:p>
    <w:p w14:paraId="5C644CC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年化波动率：37.74%</w:t>
      </w:r>
    </w:p>
    <w:p w14:paraId="42593E3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夏普比率：0.580</w:t>
      </w:r>
    </w:p>
    <w:p w14:paraId="3F36BD7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最大回撤：-68.20%</w:t>
      </w:r>
    </w:p>
    <w:p w14:paraId="7BC6F8D1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卡玛比率：0.321</w:t>
      </w:r>
    </w:p>
    <w:p w14:paraId="6F1EF88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年度收益表现：</w:t>
      </w:r>
    </w:p>
    <w:p w14:paraId="5A6DD2C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表现最好的年份：2007年(+112.49%)、2009年(+97.80%)、2015年(+63.69%)</w:t>
      </w:r>
    </w:p>
    <w:p w14:paraId="76AEE07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表现较差的年份：2008年(-31.10%)、2011年(-9.28%)、2018年(-16.96%)</w:t>
      </w:r>
    </w:p>
    <w:p w14:paraId="259541E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2.4 FF3因子归因分析</w:t>
      </w:r>
    </w:p>
    <w:p w14:paraId="6EBF7E1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回归模型：Rp - Rf = α + β_MKT·MKT + β_SMB·SMB + β_HML·HML + ε</w:t>
      </w:r>
    </w:p>
    <w:p w14:paraId="0E2A010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归因结果：</w:t>
      </w:r>
    </w:p>
    <w:p w14:paraId="5083E9C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Alpha：1.08%/月（t=3.853，高度显著***）</w:t>
      </w:r>
    </w:p>
    <w:p w14:paraId="0FC0662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MKT Beta：1.037（t=21.411，高度显著***）</w:t>
      </w:r>
    </w:p>
    <w:p w14:paraId="1A01C0C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SMB Beta：0.845（t=9.925，高度显著***）</w:t>
      </w:r>
    </w:p>
    <w:p w14:paraId="693D261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HML Beta：-0.447（t=-1.814，边际显著*）</w:t>
      </w:r>
    </w:p>
    <w:p w14:paraId="2729E0D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R²：85.70%（调整后85.52%）</w:t>
      </w:r>
    </w:p>
    <w:p w14:paraId="09B85DB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F统计量：214.00（p&lt;0.0001）</w:t>
      </w:r>
    </w:p>
    <w:p w14:paraId="6E910A6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结论：策略具有高度显著的增量Alpha能力，年化Alpha约12.96%（1.08%×12）。</w:t>
      </w:r>
    </w:p>
    <w:p w14:paraId="27A0738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2.5 CH3因子归因分析</w:t>
      </w:r>
    </w:p>
    <w:p w14:paraId="5FBB76A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使用中国三因子模型（MKT、SMB、VMG），结果与FF3一致：</w:t>
      </w:r>
    </w:p>
    <w:p w14:paraId="3916CD9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Alpha：1.08%/月（t=3.853，高度显著***）</w:t>
      </w:r>
    </w:p>
    <w:p w14:paraId="58B9A9E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VMG Beta：-0.447（与HML等价）</w:t>
      </w:r>
    </w:p>
    <w:p w14:paraId="73CC8C6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R²：85.70%</w:t>
      </w:r>
    </w:p>
    <w:p w14:paraId="7B9B2B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3. 遇到的问题</w:t>
      </w:r>
    </w:p>
    <w:p w14:paraId="03CBB255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3.1 方法问题</w:t>
      </w:r>
    </w:p>
    <w:p w14:paraId="5E6749E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权重选择主观：EP=40%、反转=60%的权重是基于经验设定，尚未进行系统性优化</w:t>
      </w:r>
    </w:p>
    <w:p w14:paraId="3C7CFDB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选股数量固定：TopK=100是否最优？未进行敏感性分析</w:t>
      </w:r>
    </w:p>
    <w:p w14:paraId="7DBC098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行业暴露未知：策略是否过度集中某行业？尚未做行业归因分析</w:t>
      </w:r>
    </w:p>
    <w:p w14:paraId="0E1CC55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3.2 结果问题</w:t>
      </w:r>
    </w:p>
    <w:p w14:paraId="05BDF07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R²高达85.70%：大部分收益被系统性因子解释，非纯Alpha来源</w:t>
      </w:r>
    </w:p>
    <w:p w14:paraId="0E5BA9D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SMB Beta=0.53：策略偏好小市值，在小盘股牛市表现好，大盘股牛市表现可能不佳</w:t>
      </w:r>
    </w:p>
    <w:p w14:paraId="12557E9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• 最大回撤-68.20%：2008年和2024年初有较大回撤，风险控制需加强</w:t>
      </w:r>
    </w:p>
    <w:p w14:paraId="034008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 下一步计划</w:t>
      </w:r>
    </w:p>
    <w:p w14:paraId="5AE6013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4.1 短期计划（Week 7-9）</w:t>
      </w:r>
    </w:p>
    <w:p w14:paraId="62C5263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因子优化：系统测试不同权重组合（EP vs 反转：10/90, 20/80, 30/70, 40/60, 50/50, 60/40），找到最优权重配置</w:t>
      </w:r>
    </w:p>
    <w:p w14:paraId="05813FA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TopK敏感性：测试Top50, Top100, Top150, Top200，找到最优选股数量</w:t>
      </w:r>
    </w:p>
    <w:p w14:paraId="1EAE31D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行业归因：分析策略的行业暴露，添加行业中性化约束，控制行业风险</w:t>
      </w:r>
    </w:p>
    <w:p w14:paraId="0500519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CH3归因深化：使用中国三因子（加入盈利因子），进行更精确的因子解释</w:t>
      </w:r>
    </w:p>
    <w:p w14:paraId="69FE67D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4.2 长期计划（Week 10-14）</w:t>
      </w:r>
    </w:p>
    <w:p w14:paraId="15D25E4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风险模型：引入Barra或自有风险模型，控制组合Beta暴露，构建更稳健的策略</w:t>
      </w:r>
    </w:p>
    <w:p w14:paraId="465D457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交易成本：加入佣金、印花税、滑点，测试成本敏感性，得到更真实的收益估计</w:t>
      </w:r>
    </w:p>
    <w:p w14:paraId="0ECE2B0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样本外测试：使用最近3年数据进行样本外验证，避免过拟合</w:t>
      </w:r>
    </w:p>
    <w:p w14:paraId="0EB5BE1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最终报告：撰写完整研究报告，包含稳健性检验，完成毕设/研究报告</w:t>
      </w:r>
    </w:p>
    <w:p w14:paraId="5A7D31C5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4.3 正在探索的方向</w:t>
      </w:r>
    </w:p>
    <w:p w14:paraId="7FAB527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情绪指标可行性研究：</w:t>
      </w:r>
    </w:p>
    <w:p w14:paraId="53A7F1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4.3.1 情绪数据采集与处理</w:t>
      </w:r>
    </w:p>
    <w:p w14:paraId="2D4757B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数据来源：Truth Social RSS抓取 + VADER情绪分析</w:t>
      </w:r>
    </w:p>
    <w:p w14:paraId="5ACCDF2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采集模块：src/data_collection/truth_social_</w:t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"http://fetcher.py/" \t "/Users/xinyutan/Documents\\x/_blank" </w:instrText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8"/>
          <w:i w:val="0"/>
          <w:iCs w:val="0"/>
          <w:caps w:val="0"/>
          <w:spacing w:val="0"/>
          <w:u w:val="none"/>
        </w:rPr>
        <w:t>fetcher.py</w:t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（RSS抓取逻辑）</w:t>
      </w:r>
    </w:p>
    <w:p w14:paraId="72049F5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分析模块：src/data_collection/sentiment_</w:t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"http://analyzer.py/" \t "/Users/xinyutan/Documents\\x/_blank" </w:instrText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8"/>
          <w:i w:val="0"/>
          <w:iCs w:val="0"/>
          <w:caps w:val="0"/>
          <w:spacing w:val="0"/>
          <w:u w:val="none"/>
        </w:rPr>
        <w:t>analyzer.py</w:t>
      </w:r>
      <w:r>
        <w:rPr>
          <w:rFonts w:asciiTheme="minorHAnsi" w:hAnsiTheme="minorHAnsi" w:eastAsiaTheme="minorEastAsia" w:cstheme="minorBidi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（VADER情绪分析 + 点赞加权）</w:t>
      </w:r>
    </w:p>
    <w:p w14:paraId="22A6194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配置管理：config/policy_keywords.yaml（政策关键词配置）</w:t>
      </w:r>
    </w:p>
    <w:p w14:paraId="341EE4A1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输出数据：data/processed/daily_sentiment_index.csv（日度情绪指数）</w:t>
      </w:r>
    </w:p>
    <w:p w14:paraId="76ADB1A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数据期间：2022-02-01 至 2026-04-11（1,531天）</w:t>
      </w:r>
    </w:p>
    <w:p w14:paraId="103A0F8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情绪指数构造方法：</w:t>
      </w:r>
    </w:p>
    <w:p w14:paraId="29501C4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使用VADER情绪分析器对每条帖子进行情绪评分</w:t>
      </w:r>
    </w:p>
    <w:p w14:paraId="1DBCBC7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点赞数加权：高点赞帖子权重更高</w:t>
      </w:r>
    </w:p>
    <w:p w14:paraId="6D38675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自定义政策关键词词典，识别政策相关帖子</w:t>
      </w:r>
    </w:p>
    <w:p w14:paraId="0D0B1FD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计算每日情绪得分、帖子数量、平均点赞数、VIX代理指标、冲击信号</w:t>
      </w:r>
    </w:p>
    <w:p w14:paraId="7E8313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4.3.2 情绪阈值优化工作</w:t>
      </w:r>
    </w:p>
    <w:p w14:paraId="7153159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优化前问题：</w:t>
      </w:r>
    </w:p>
    <w:p w14:paraId="08DD2C1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使用理论阈值（-2, -1, 1.5）导致极端状态几乎不触发</w:t>
      </w:r>
    </w:p>
    <w:p w14:paraId="62F8030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恐慌状态触发34%，其他状态触发频率不均衡</w:t>
      </w:r>
    </w:p>
    <w:p w14:paraId="6543084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情绪信号无法有效指导仓位调整</w:t>
      </w:r>
    </w:p>
    <w:p w14:paraId="3D4D902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优化方法：基于实际数据分布的动态阈值校准</w:t>
      </w:r>
    </w:p>
    <w:p w14:paraId="7CB5324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使用百分位数方法（P5, P20, P40, P60, P80, P95）</w:t>
      </w:r>
    </w:p>
    <w:p w14:paraId="7B553F6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自动适应数据分布特征</w:t>
      </w:r>
    </w:p>
    <w:p w14:paraId="30320D41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确保各状态触发频率可控（4.83%~20.97%）</w:t>
      </w:r>
    </w:p>
    <w:p w14:paraId="68A9B0E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优化后阈值配置：</w:t>
      </w:r>
    </w:p>
    <w:tbl>
      <w:tblPr>
        <w:tblW w:w="864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2932"/>
        <w:gridCol w:w="2608"/>
        <w:gridCol w:w="1550"/>
      </w:tblGrid>
      <w:tr w14:paraId="2FCDC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2118ACC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情绪状态</w:t>
            </w:r>
          </w:p>
        </w:tc>
        <w:tc>
          <w:tcPr>
            <w:tcW w:w="0" w:type="auto"/>
            <w:shd w:val="clear"/>
            <w:vAlign w:val="top"/>
          </w:tcPr>
          <w:p w14:paraId="4427281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阈值范围</w:t>
            </w:r>
          </w:p>
        </w:tc>
        <w:tc>
          <w:tcPr>
            <w:tcW w:w="0" w:type="auto"/>
            <w:shd w:val="clear"/>
            <w:vAlign w:val="top"/>
          </w:tcPr>
          <w:p w14:paraId="734FC2D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触发天数</w:t>
            </w:r>
          </w:p>
        </w:tc>
        <w:tc>
          <w:tcPr>
            <w:tcW w:w="0" w:type="auto"/>
            <w:shd w:val="clear"/>
            <w:vAlign w:val="top"/>
          </w:tcPr>
          <w:p w14:paraId="52D7155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仓位系数</w:t>
            </w:r>
          </w:p>
        </w:tc>
      </w:tr>
      <w:tr w14:paraId="3D3B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7F71DD3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极度恐慌</w:t>
            </w:r>
          </w:p>
        </w:tc>
        <w:tc>
          <w:tcPr>
            <w:tcW w:w="0" w:type="auto"/>
            <w:shd w:val="clear"/>
            <w:vAlign w:val="top"/>
          </w:tcPr>
          <w:p w14:paraId="2B6AA66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z &lt; -1.35 (P5)</w:t>
            </w:r>
          </w:p>
        </w:tc>
        <w:tc>
          <w:tcPr>
            <w:tcW w:w="0" w:type="auto"/>
            <w:shd w:val="clear"/>
            <w:vAlign w:val="top"/>
          </w:tcPr>
          <w:p w14:paraId="468AD2E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74天(4.83%)</w:t>
            </w:r>
          </w:p>
        </w:tc>
        <w:tc>
          <w:tcPr>
            <w:tcW w:w="0" w:type="auto"/>
            <w:shd w:val="clear"/>
            <w:vAlign w:val="top"/>
          </w:tcPr>
          <w:p w14:paraId="399E007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1.5(超配)</w:t>
            </w:r>
          </w:p>
        </w:tc>
      </w:tr>
      <w:tr w14:paraId="4E744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03B817B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恐慌</w:t>
            </w:r>
          </w:p>
        </w:tc>
        <w:tc>
          <w:tcPr>
            <w:tcW w:w="0" w:type="auto"/>
            <w:shd w:val="clear"/>
            <w:vAlign w:val="top"/>
          </w:tcPr>
          <w:p w14:paraId="0A4345D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-1.35~-1.28 (P20)</w:t>
            </w:r>
          </w:p>
        </w:tc>
        <w:tc>
          <w:tcPr>
            <w:tcW w:w="0" w:type="auto"/>
            <w:shd w:val="clear"/>
            <w:vAlign w:val="top"/>
          </w:tcPr>
          <w:p w14:paraId="1BDCA61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321天(20.97%)</w:t>
            </w:r>
          </w:p>
        </w:tc>
        <w:tc>
          <w:tcPr>
            <w:tcW w:w="0" w:type="auto"/>
            <w:shd w:val="clear"/>
            <w:vAlign w:val="top"/>
          </w:tcPr>
          <w:p w14:paraId="15E9756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1.2(超配)</w:t>
            </w:r>
          </w:p>
        </w:tc>
      </w:tr>
      <w:tr w14:paraId="41697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60A9602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轻度担忧</w:t>
            </w:r>
          </w:p>
        </w:tc>
        <w:tc>
          <w:tcPr>
            <w:tcW w:w="0" w:type="auto"/>
            <w:shd w:val="clear"/>
            <w:vAlign w:val="top"/>
          </w:tcPr>
          <w:p w14:paraId="39DB19E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-1.28~-0.30 (P40)</w:t>
            </w:r>
          </w:p>
        </w:tc>
        <w:tc>
          <w:tcPr>
            <w:tcW w:w="0" w:type="auto"/>
            <w:shd w:val="clear"/>
            <w:vAlign w:val="top"/>
          </w:tcPr>
          <w:p w14:paraId="7FC7F56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312天(20.38%)</w:t>
            </w:r>
          </w:p>
        </w:tc>
        <w:tc>
          <w:tcPr>
            <w:tcW w:w="0" w:type="auto"/>
            <w:shd w:val="clear"/>
            <w:vAlign w:val="top"/>
          </w:tcPr>
          <w:p w14:paraId="696BEC9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0.8(低配)</w:t>
            </w:r>
          </w:p>
        </w:tc>
      </w:tr>
      <w:tr w14:paraId="76F06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2809AA9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中性</w:t>
            </w:r>
          </w:p>
        </w:tc>
        <w:tc>
          <w:tcPr>
            <w:tcW w:w="0" w:type="auto"/>
            <w:shd w:val="clear"/>
            <w:vAlign w:val="top"/>
          </w:tcPr>
          <w:p w14:paraId="188FA75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-0.30~0.66 (P60)</w:t>
            </w:r>
          </w:p>
        </w:tc>
        <w:tc>
          <w:tcPr>
            <w:tcW w:w="0" w:type="auto"/>
            <w:shd w:val="clear"/>
            <w:vAlign w:val="top"/>
          </w:tcPr>
          <w:p w14:paraId="260405F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312天(20.38%)</w:t>
            </w:r>
          </w:p>
        </w:tc>
        <w:tc>
          <w:tcPr>
            <w:tcW w:w="0" w:type="auto"/>
            <w:shd w:val="clear"/>
            <w:vAlign w:val="top"/>
          </w:tcPr>
          <w:p w14:paraId="386CBEE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1.0(标配)</w:t>
            </w:r>
          </w:p>
        </w:tc>
      </w:tr>
      <w:tr w14:paraId="5588F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57EBA2E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轻度乐观</w:t>
            </w:r>
          </w:p>
        </w:tc>
        <w:tc>
          <w:tcPr>
            <w:tcW w:w="0" w:type="auto"/>
            <w:shd w:val="clear"/>
            <w:vAlign w:val="top"/>
          </w:tcPr>
          <w:p w14:paraId="1222F05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0.66~1.02 (P80)</w:t>
            </w:r>
          </w:p>
        </w:tc>
        <w:tc>
          <w:tcPr>
            <w:tcW w:w="0" w:type="auto"/>
            <w:shd w:val="clear"/>
            <w:vAlign w:val="top"/>
          </w:tcPr>
          <w:p w14:paraId="29BF8B1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312天(20.38%)</w:t>
            </w:r>
          </w:p>
        </w:tc>
        <w:tc>
          <w:tcPr>
            <w:tcW w:w="0" w:type="auto"/>
            <w:shd w:val="clear"/>
            <w:vAlign w:val="top"/>
          </w:tcPr>
          <w:p w14:paraId="66D8B8F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1.0(标配)</w:t>
            </w:r>
          </w:p>
        </w:tc>
      </w:tr>
      <w:tr w14:paraId="384BF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top"/>
          </w:tcPr>
          <w:p w14:paraId="5D78B1F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极度乐观</w:t>
            </w:r>
          </w:p>
        </w:tc>
        <w:tc>
          <w:tcPr>
            <w:tcW w:w="0" w:type="auto"/>
            <w:shd w:val="clear"/>
            <w:vAlign w:val="top"/>
          </w:tcPr>
          <w:p w14:paraId="4F754E5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z &gt; 1.12 (P95)</w:t>
            </w:r>
          </w:p>
        </w:tc>
        <w:tc>
          <w:tcPr>
            <w:tcW w:w="0" w:type="auto"/>
            <w:shd w:val="clear"/>
            <w:vAlign w:val="top"/>
          </w:tcPr>
          <w:p w14:paraId="431AD8A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74天(4.83%)</w:t>
            </w:r>
          </w:p>
        </w:tc>
        <w:tc>
          <w:tcPr>
            <w:tcW w:w="0" w:type="auto"/>
            <w:shd w:val="clear"/>
            <w:vAlign w:val="top"/>
          </w:tcPr>
          <w:p w14:paraId="5AD7154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0.5(减仓)</w:t>
            </w:r>
          </w:p>
        </w:tc>
      </w:tr>
    </w:tbl>
    <w:p w14:paraId="3EF1F7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4.3.3 情绪策略回测结果</w:t>
      </w:r>
    </w:p>
    <w:p w14:paraId="458541B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全样本期表现（2022-2026）：</w:t>
      </w:r>
    </w:p>
    <w:p w14:paraId="6B94EA2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不择股：持有市场等权组合</w:t>
      </w:r>
    </w:p>
    <w:p w14:paraId="5118DCF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日度调仓：基于情绪指数调整仓位系数</w:t>
      </w:r>
    </w:p>
    <w:p w14:paraId="4F759ED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年化收益：11.50%，夏普比率：0.459</w:t>
      </w:r>
    </w:p>
    <w:p w14:paraId="74FE30D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最大回撤：-33.09%，平均仓位系数：0.93</w:t>
      </w:r>
    </w:p>
    <w:p w14:paraId="4A745E5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2025年优秀表现：</w:t>
      </w:r>
    </w:p>
    <w:p w14:paraId="40E52F5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年化收益：52.43%，夏普比率：2.572</w:t>
      </w:r>
    </w:p>
    <w:p w14:paraId="2BF325B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最大回撤：仅-12.82%，胜率：83.3%（12个月中10个月正收益）</w:t>
      </w:r>
    </w:p>
    <w:p w14:paraId="2711362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Alpha：2.68%/月（t=4.009，高度显著）</w:t>
      </w:r>
    </w:p>
    <w:p w14:paraId="1AB379A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市场Beta：仅0.28，与市场相关性低</w:t>
      </w:r>
    </w:p>
    <w:p w14:paraId="6A72835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SMB Beta：1.17，显著小市值倾向</w:t>
      </w:r>
    </w:p>
    <w:p w14:paraId="760A151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R²：76.07%，策略具有显著的增量alpha能力</w:t>
      </w:r>
    </w:p>
    <w:p w14:paraId="7F4842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4.3.4 关键发现与研究价值</w:t>
      </w:r>
    </w:p>
    <w:p w14:paraId="29E3045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2025年表现突出原因：市场情绪波动较大，情绪调仓策略有效捕捉拐点</w:t>
      </w:r>
    </w:p>
    <w:p w14:paraId="663893E2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纯情绪调仓优于混合策略：不择股纯情绪策略年化11.50%，优于EP+反转+情绪混合策略（3.49%）</w:t>
      </w:r>
    </w:p>
    <w:p w14:paraId="108F3E47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情绪指标提供独立Alpha来源：与价值/反转因子互补，市场Beta仅0.28</w:t>
      </w:r>
    </w:p>
    <w:p w14:paraId="6886BDD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数据驱动优于理论假设：基于实际分布的阈值校准显著提升策略效果</w:t>
      </w:r>
    </w:p>
    <w:p w14:paraId="5A8DC6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4.3.5 下一步研究方向</w:t>
      </w:r>
    </w:p>
    <w:p w14:paraId="6F65580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将情绪指标纳入组合策略：测试三因子（价值+反转+情绪）效果</w:t>
      </w:r>
    </w:p>
    <w:p w14:paraId="2E1095E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引入滚动窗口动态调整阈值：适应市场变化</w:t>
      </w:r>
    </w:p>
    <w:p w14:paraId="6AFFF3D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结合市场波动率（VIX）调整敏感度</w:t>
      </w:r>
    </w:p>
    <w:p w14:paraId="6A6B52C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测试不同仓位系数（1.5, 1.2, 0.8, 0.5）的最优组合</w:t>
      </w:r>
    </w:p>
    <w:p w14:paraId="026632C5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探索情绪指标与宏观经济指标的交互效应</w:t>
      </w:r>
    </w:p>
    <w:p w14:paraId="5A1B84D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4.4 需要的帮助</w:t>
      </w:r>
    </w:p>
    <w:p w14:paraId="590D756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因子构造建议：是否有更优的价值因子组合方式？（如PE、PB、PS多因子等权？）情绪因子怎样放入原有策略？通过月度选股，日度调仓的混频模式？</w:t>
      </w:r>
    </w:p>
    <w:p w14:paraId="508EDA9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风险模型指导：如何构建简化的本土风险模型？</w:t>
      </w:r>
    </w:p>
    <w:p w14:paraId="6249CFF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权重优化方法：是否应该使用机器学习（如Lasso、随机森林）进行因子权重优化？</w:t>
      </w:r>
    </w:p>
    <w:p w14:paraId="52BDE0F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• 归因分析深化：如何分解Alpha来源（选股Alpha vs 时机Alpha）？</w:t>
      </w:r>
    </w:p>
    <w:p w14:paraId="57D4EE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5. 核心结论</w:t>
      </w:r>
    </w:p>
    <w:p w14:paraId="49AD9D7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t>月度组合策略（价值40%+反转60%）在2005-2025年期间实现了年化21.89%收益、夏普比率0.580、高度显著Alpha(t=3.33)，证明了反转与价值因子的协同效应具有真实的超额收益能力。价值因子经过参数调优（EP=80%, DP=20%）后Alpha显著性提升。</w:t>
      </w:r>
    </w:p>
    <w:p w14:paraId="0A34B9A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Theme="minorHAnsi" w:hAnsiTheme="minorHAnsi" w:eastAsiaTheme="minorEastAsia" w:cstheme="minorBid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情绪指标研究方面，通过Truth Social RSS抓取+VADER情绪分析构建了日度情绪指数，经过基于百分位数的阈值优化后，2025年纯情绪调仓策略表现优异：年化收益52.43%、夏普2.572、Alpha高度显著(t=4.009)，为策略进一步优化提供了新方向。</w:t>
      </w:r>
    </w:p>
    <w:p w14:paraId="7E7268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7F70B2"/>
    <w:rsid w:val="DD7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2026-04-13T17:18:00Z</dcterms:created>
  <dc:creator>俟乇</dc:creator>
  <cp:lastModifiedBy>俟乇</cp:lastModifiedBy>
  <dcterms:modified xsi:type="dcterms:W3CDTF">2026-04-13T17:19:11Z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21DAB8025A88F9C6F5B4DC691818329D_41</vt:lpwstr>
  </property>
</Properties>
</file>