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3871F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center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b/>
          <w:bCs/>
          <w:i w:val="0"/>
          <w:iCs w:val="0"/>
          <w:caps w:val="0"/>
          <w:color w:val="000000"/>
          <w:spacing w:val="0"/>
          <w:sz w:val="44"/>
          <w:szCs w:val="44"/>
          <w:u w:val="none"/>
        </w:rPr>
        <w:t>月度组合策略研究报告</w:t>
      </w:r>
    </w:p>
    <w:p w14:paraId="43E5393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center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b/>
          <w:bCs/>
          <w:i w:val="0"/>
          <w:iCs w:val="0"/>
          <w:caps w:val="0"/>
          <w:color w:val="000000"/>
          <w:spacing w:val="0"/>
          <w:kern w:val="0"/>
          <w:sz w:val="44"/>
          <w:szCs w:val="44"/>
          <w:u w:val="none"/>
          <w:lang w:val="en-US" w:eastAsia="zh-CN" w:bidi="ar"/>
        </w:rPr>
        <w:t>价值因子(40%) + 反转因子(60%)</w:t>
      </w:r>
    </w:p>
    <w:p w14:paraId="402FA03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sz w:val="28"/>
          <w:szCs w:val="28"/>
          <w:u w:val="none"/>
        </w:rPr>
      </w:pPr>
      <w:r>
        <w:rPr>
          <w:i w:val="0"/>
          <w:iCs w:val="0"/>
          <w:caps w:val="0"/>
          <w:color w:val="000000"/>
          <w:spacing w:val="0"/>
          <w:sz w:val="28"/>
          <w:szCs w:val="28"/>
          <w:u w:val="none"/>
        </w:rPr>
        <w:t>1. 研究问题</w:t>
      </w:r>
    </w:p>
    <w:p w14:paraId="22F4782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i w:val="0"/>
          <w:iCs w:val="0"/>
          <w:caps w:val="0"/>
          <w:color w:val="000000"/>
          <w:spacing w:val="0"/>
          <w:sz w:val="24"/>
          <w:szCs w:val="24"/>
          <w:u w:val="none"/>
        </w:rPr>
        <w:t>1.1 研究目标</w:t>
      </w:r>
    </w:p>
    <w:p w14:paraId="319059A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本研究旨在探索反转效应与价值投资效应的协同作用。</w:t>
      </w:r>
    </w:p>
    <w:p w14:paraId="3593F7D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i w:val="0"/>
          <w:iCs w:val="0"/>
          <w:caps w:val="0"/>
          <w:color w:val="000000"/>
          <w:spacing w:val="0"/>
          <w:sz w:val="24"/>
          <w:szCs w:val="24"/>
          <w:u w:val="none"/>
        </w:rPr>
        <w:t>1.2 研究意义</w:t>
      </w:r>
    </w:p>
    <w:p w14:paraId="25BCE2F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学术意义：多因子模型中，反转效应和价值效应是经典异象，两者结合的效果尚未被充分研究。</w:t>
      </w:r>
    </w:p>
    <w:p w14:paraId="443D0AD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实践价值：如果组合策略能产生显著Alpha，可为量化投资提供策略依据，特别是在A股市场的应用。</w:t>
      </w:r>
    </w:p>
    <w:p w14:paraId="6EE7B01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1.3 研究假设</w:t>
      </w:r>
    </w:p>
    <w:p w14:paraId="42EE6AA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假设1：反转因子捕捉短期超跌反弹，价值因子提供安全边际，两者结合应优于单一策略</w:t>
      </w:r>
    </w:p>
    <w:p w14:paraId="23A0A0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假设2：组合策略应具有统计显著的Alpha（年化&gt;6%，t&gt;2）</w:t>
      </w:r>
    </w:p>
    <w:p w14:paraId="774C89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假设3：组合策略的夏普比率应高于纯反转或纯价值策略</w:t>
      </w:r>
    </w:p>
    <w:p w14:paraId="3976BECF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2. 当前进展</w:t>
      </w:r>
    </w:p>
    <w:p w14:paraId="264B040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2.1 数据说明</w:t>
      </w:r>
    </w:p>
    <w:p w14:paraId="4413C3E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数据来源：CSMAR（国泰安）数据库</w:t>
      </w:r>
    </w:p>
    <w:p w14:paraId="5A02CB5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t>样本期间：2006年2月至2025年12月（239个月）</w:t>
      </w:r>
    </w:p>
    <w:p w14:paraId="1DF8B61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t>样本数量：A股全市场月度收益率数据（5,876只股票）</w:t>
      </w:r>
    </w:p>
    <w:p w14:paraId="49E4651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选股池：A股全市场（剔除ST、停牌等股票）</w:t>
      </w:r>
    </w:p>
    <w:p w14:paraId="029CA6B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2.2 因子构造</w:t>
      </w:r>
    </w:p>
    <w:p w14:paraId="602CC8EC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2.2.1 因子选择原因</w:t>
      </w:r>
    </w:p>
    <w:p w14:paraId="19C8D99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在构建组合策略之前，我们分别测试了纯反转策略和纯价值策略：</w:t>
      </w:r>
    </w:p>
    <w:p w14:paraId="450CA2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纯反转策略（K=6）：年化收益约16-21%，但Alpha不显著（t&lt;2），R²高达85%，收益主要来自市场暴露和小市值风格</w:t>
      </w:r>
    </w:p>
    <w:p w14:paraId="538D89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纯价值策略（EP=80%, DP=20%）：年化收益10.81%，Alpha显著（t=2.26），但收益偏低</w:t>
      </w:r>
    </w:p>
    <w:p w14:paraId="4321959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结论：单一策略各有优劣，组合可能产生协同效应</w:t>
      </w:r>
    </w:p>
    <w:p w14:paraId="2CBBFEF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2.2.2 价值因子构造</w:t>
      </w:r>
    </w:p>
    <w:p w14:paraId="2D8264F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价值因子采用复合价值指标，经过参数调优确定最优权重：</w:t>
      </w:r>
    </w:p>
    <w:p w14:paraId="12D0B09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参数调优过程（网格搜索242种组合）：</w:t>
      </w:r>
    </w:p>
    <w:p w14:paraId="29E7B8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测试范围：EP(0-100%), BP(0-100%), SP(0-100%), DP(0-100%)</w:t>
      </w:r>
    </w:p>
    <w:p w14:paraId="6C41828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优化目标：最大化夏普比率，同时保证Alpha显著性</w:t>
      </w:r>
    </w:p>
    <w:p w14:paraId="49FBE5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稳健性检验：Bootstrap 1000次，要求95%置信区间不包含0</w:t>
      </w:r>
    </w:p>
    <w:p w14:paraId="3EFFFF6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最优权重配置：</w:t>
      </w:r>
    </w:p>
    <w:tbl>
      <w:tblPr>
        <w:tblStyle w:val="6"/>
        <w:tblW w:w="8640" w:type="dxa"/>
        <w:tblCellSpacing w:w="1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27"/>
        <w:gridCol w:w="840"/>
        <w:gridCol w:w="4773"/>
      </w:tblGrid>
      <w:tr w14:paraId="12D27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top"/>
          </w:tcPr>
          <w:p w14:paraId="529419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bookmarkStart w:id="0" w:name="_GoBack"/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因子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C2A16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权重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459C9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2520FF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top"/>
          </w:tcPr>
          <w:p w14:paraId="72BDD2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EP（盈利收益率）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ECDFC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80%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DD77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核心价值指标，净利润/总市值</w:t>
            </w:r>
          </w:p>
        </w:tc>
      </w:tr>
      <w:tr w14:paraId="3D7098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top"/>
          </w:tcPr>
          <w:p w14:paraId="19403C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DP（股息率）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8CADD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20%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05050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质量指标，提供稳健性补充</w:t>
            </w:r>
          </w:p>
        </w:tc>
      </w:tr>
      <w:tr w14:paraId="70BD0E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top"/>
          </w:tcPr>
          <w:p w14:paraId="785FC9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BP（账面市值比）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97C9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00291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与EP高度相关，边际贡献低</w:t>
            </w:r>
          </w:p>
        </w:tc>
      </w:tr>
      <w:tr w14:paraId="6E2A8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top"/>
          </w:tcPr>
          <w:p w14:paraId="7BBBD4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SP（营收市值比）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5E9A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9D084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</w:pPr>
            <w:r>
              <w:rPr>
                <w:rFonts w:asciiTheme="minorHAnsi" w:hAnsiTheme="minorHAnsi" w:eastAsiaTheme="minorEastAsia" w:cstheme="minorBidi"/>
                <w:kern w:val="0"/>
                <w:sz w:val="24"/>
                <w:szCs w:val="24"/>
                <w:lang w:val="en-US" w:eastAsia="zh-CN" w:bidi="ar"/>
              </w:rPr>
              <w:t>与EP高度相关，边际贡献低</w:t>
            </w:r>
          </w:p>
        </w:tc>
      </w:tr>
      <w:bookmarkEnd w:id="0"/>
    </w:tbl>
    <w:p w14:paraId="7C7D641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调优结果：</w:t>
      </w:r>
    </w:p>
    <w:p w14:paraId="39C6CC4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夏普比率：0.431（优化前0.332，提升30%）</w:t>
      </w:r>
    </w:p>
    <w:p w14:paraId="77D5B3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Alpha显著性：从边际显著(t=1.81)提升至显著(t=2.26)</w:t>
      </w:r>
    </w:p>
    <w:p w14:paraId="3318D8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核心发现：盈利收益率(EP)是价值策略的核心驱动力</w:t>
      </w:r>
    </w:p>
    <w:p w14:paraId="51716932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2.2.3 反转因子构造</w:t>
      </w:r>
    </w:p>
    <w:p w14:paraId="2B878A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形成期：K=6个月（中期反转效应最强）</w:t>
      </w:r>
    </w:p>
    <w:p w14:paraId="13DC1A0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信号计算：过去6个月累积收益率的负值</w:t>
      </w:r>
    </w:p>
    <w:p w14:paraId="6D60BC0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标准化：Winsorization缩尾处理（提升稳健性）</w:t>
      </w:r>
    </w:p>
    <w:p w14:paraId="6EA67CDF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2.2.4 合成得分与选股规则</w:t>
      </w:r>
    </w:p>
    <w:p w14:paraId="23D597A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合成得分公式：</w:t>
      </w:r>
    </w:p>
    <w:p w14:paraId="2DD7FB8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Score = 0.4 × EP价值因子_z + 0.6 × 反转因子_z</w:t>
      </w:r>
    </w:p>
    <w:p w14:paraId="22BF84F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选股规则：</w:t>
      </w:r>
    </w:p>
    <w:p w14:paraId="4914BEB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选取得分最高的100只股票</w:t>
      </w:r>
    </w:p>
    <w:p w14:paraId="0E3395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等权配置（每只权重1%）</w:t>
      </w:r>
    </w:p>
    <w:p w14:paraId="317AA89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月度调仓（每月第1个交易日）</w:t>
      </w:r>
    </w:p>
    <w:p w14:paraId="25BF22B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权重分配：价值因子40% + 反转因子60%</w:t>
      </w:r>
    </w:p>
    <w:p w14:paraId="1BEE989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2.3 回测结果</w:t>
      </w:r>
    </w:p>
    <w:p w14:paraId="1C4D250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绩效指标：</w:t>
      </w:r>
    </w:p>
    <w:p w14:paraId="10DE048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t>• 年化收益率：21.89%</w:t>
      </w:r>
    </w:p>
    <w:p w14:paraId="5C644CC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t>• 年化波动率：37.74%</w:t>
      </w:r>
    </w:p>
    <w:p w14:paraId="42593E3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t>• 夏普比率：0.580</w:t>
      </w:r>
    </w:p>
    <w:p w14:paraId="3F36BD7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t>• 最大回撤：-68.20%</w:t>
      </w:r>
    </w:p>
    <w:p w14:paraId="7BC6F8D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t>• 卡玛比率：0.321</w:t>
      </w:r>
    </w:p>
    <w:p w14:paraId="6F1EF88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年度收益表现：</w:t>
      </w:r>
    </w:p>
    <w:p w14:paraId="5A6DD2C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表现最好的年份：2007年(+112.49%)、2009年(+97.80%)、2015年(+63.69%)</w:t>
      </w:r>
    </w:p>
    <w:p w14:paraId="76AEE0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表现较差的年份：2008年(-31.10%)、2011年(-9.28%)、2018年(-16.96%)</w:t>
      </w:r>
    </w:p>
    <w:p w14:paraId="259541E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2.4 FF3因子归因分析</w:t>
      </w:r>
    </w:p>
    <w:p w14:paraId="6EBF7E1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回归模型：Rp - Rf = α + β_MKT·MKT + β_SMB·SMB + β_HML·HML + ε</w:t>
      </w:r>
    </w:p>
    <w:p w14:paraId="0E2A010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归因结果：</w:t>
      </w:r>
    </w:p>
    <w:p w14:paraId="5083E9C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Alpha：0.62%/月（t=2.447，显著**）</w:t>
      </w:r>
    </w:p>
    <w:p w14:paraId="0FC0662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MKT Beta：1.021（t=23.842，高度显著***）</w:t>
      </w:r>
    </w:p>
    <w:p w14:paraId="1A01C0C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SMB Beta：0.779（t=9.471，高度显著***）</w:t>
      </w:r>
    </w:p>
    <w:p w14:paraId="693D26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HML Beta：-0.645（t=-5.464，高度显著***）</w:t>
      </w:r>
    </w:p>
    <w:p w14:paraId="2729E0D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R²：87.21%（调整后87.04%）</w:t>
      </w:r>
    </w:p>
    <w:p w14:paraId="09B85DB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F统计量：275.79（p&lt;0.0001）</w:t>
      </w:r>
    </w:p>
    <w:p w14:paraId="6E910A6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结论：策略具有显著的增量Alpha能力，月度Alpha=0.62%（t=2.447），年化Alpha约7.44%。策略与市场高度相关（MKT Beta=1.021），具有强烈的小盘倾向（SMB Beta=0.779）和成长倾向（HML Beta=-0.645）。</w:t>
      </w:r>
    </w:p>
    <w:p w14:paraId="27A07384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2.5 CH3因子归因分析</w:t>
      </w:r>
    </w:p>
    <w:p w14:paraId="5FBB76A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使用中国三因子模型（MKT、SMB、VMG），VMG基于盈利收益率EP构建：</w:t>
      </w:r>
    </w:p>
    <w:p w14:paraId="3916CD9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Alpha：1.08%/月（t=3.853，高度显著***）</w:t>
      </w:r>
    </w:p>
    <w:p w14:paraId="58B9A9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MKT Beta：1.037（t=23.847，高度显著***）</w:t>
      </w:r>
    </w:p>
    <w:p w14:paraId="73CC8C6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SMB Beta：0.845（t=8.608，高度显著***）</w:t>
      </w:r>
    </w:p>
    <w:p w14:paraId="7B9B2B8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VMG Beta：-0.447（t=-4.228，高度显著***）</w:t>
      </w:r>
      <w:r>
        <w:br w:type="textWrapping"/>
      </w:r>
      <w:r>
        <w:t>• R²：85.70%（调整后85.52%）</w:t>
      </w:r>
      <w:r>
        <w:br w:type="textWrapping"/>
      </w:r>
      <w:r>
        <w:t>• F统计量：241.80（p&lt;0.0001）</w:t>
      </w:r>
      <w:r>
        <w:br w:type="textWrapping"/>
      </w:r>
      <w:r>
        <w:t>结论：CH3模型显示月度Alpha=1.08%（t=3.853，高度显著），年化Alpha约12.96%。与FF3相比，CH3的Alpha更高，说明基于EP的VMG因子能更好地解释策略收益。策略具有强烈的小盘倾向（SMB Beta=0.845）和成长倾向（VMG Beta=-0.447）。</w:t>
      </w:r>
    </w:p>
    <w:p w14:paraId="6B1D25F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  <w:lang w:val="en-US" w:eastAsia="zh-CN"/>
        </w:rPr>
      </w:pPr>
      <w:r>
        <w:rPr>
          <w:i w:val="0"/>
          <w:iCs w:val="0"/>
          <w:caps w:val="0"/>
          <w:color w:val="000000"/>
          <w:spacing w:val="0"/>
          <w:sz w:val="28"/>
          <w:szCs w:val="28"/>
          <w:u w:val="none"/>
        </w:rPr>
        <w:t xml:space="preserve">4. </w:t>
      </w:r>
      <w:r>
        <w:rPr>
          <w:rFonts w:hint="eastAsia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 w:eastAsia="zh-CN"/>
        </w:rPr>
        <w:t>问题解决</w:t>
      </w:r>
    </w:p>
    <w:p w14:paraId="03CBB25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3.1 方法问题</w:t>
      </w:r>
    </w:p>
    <w:p w14:paraId="5E6749E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权重选择主观：EP=40%、反转=60%的权重是基于经验设定，尚未进行系统性优化</w:t>
      </w:r>
    </w:p>
    <w:p w14:paraId="3C7CFDB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选股数量固定：TopK=100是否最优？未进行敏感性分析</w:t>
      </w:r>
    </w:p>
    <w:p w14:paraId="7DBC098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行业暴露未知：策略是否过度集中某行业？尚未做行业归因分析</w:t>
      </w:r>
    </w:p>
    <w:p w14:paraId="0E1CC55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3.2 结果问题</w:t>
      </w:r>
    </w:p>
    <w:p w14:paraId="05BDF0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R²高达85.70%：大部分收益被系统性因子解释，非纯Alpha来源</w:t>
      </w:r>
    </w:p>
    <w:p w14:paraId="0E5BA9D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SMB Beta=0.53：策略偏好小市值，在小盘股牛市表现好，大盘股牛市表现可能不佳</w:t>
      </w:r>
    </w:p>
    <w:p w14:paraId="12557E9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t>• 最大回撤-68.20%：2008年和2024年初有较大回撤，风险控制需加强</w:t>
      </w:r>
    </w:p>
    <w:p w14:paraId="034008D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sz w:val="28"/>
          <w:szCs w:val="28"/>
          <w:u w:val="none"/>
        </w:rPr>
      </w:pPr>
      <w:r>
        <w:rPr>
          <w:i w:val="0"/>
          <w:iCs w:val="0"/>
          <w:caps w:val="0"/>
          <w:color w:val="000000"/>
          <w:spacing w:val="0"/>
          <w:sz w:val="28"/>
          <w:szCs w:val="28"/>
          <w:u w:val="none"/>
        </w:rPr>
        <w:t>4. 下一步计划</w:t>
      </w:r>
    </w:p>
    <w:p w14:paraId="5AE6013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4.1 短期计划（Week 7-9）</w:t>
      </w:r>
    </w:p>
    <w:p w14:paraId="62C526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因子优化：系统测试不同权重组合（EP vs 反转：10/90, 20/80, 30/70, 40/60, 50/50, 60/40），找到最优权重配置</w:t>
      </w:r>
    </w:p>
    <w:p w14:paraId="05813FA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TopK敏感性：测试Top50, Top100, Top150, Top200，找到最优选股数量</w:t>
      </w:r>
    </w:p>
    <w:p w14:paraId="1EAE31D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行业归因：分析策略的行业暴露，添加行业中性化约束，控制行业风险</w:t>
      </w:r>
    </w:p>
    <w:p w14:paraId="0500519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CH3归因深化：使用中国三因子（加入盈利因子），进行更精确的因子解释</w:t>
      </w:r>
    </w:p>
    <w:p w14:paraId="69FE67D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4.2 长期计划（Week 10-14）</w:t>
      </w:r>
    </w:p>
    <w:p w14:paraId="15D25E4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风险模型：引入Barra或自有风险模型，控制组合Beta暴露，构建更稳健的策略</w:t>
      </w:r>
    </w:p>
    <w:p w14:paraId="465D45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交易成本：加入佣金、印花税、滑点，测试成本敏感性，得到更真实的收益估计</w:t>
      </w:r>
    </w:p>
    <w:p w14:paraId="0ECE2B0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样本外测试：使用最近3年数据进行样本外验证，避免过拟合</w:t>
      </w:r>
    </w:p>
    <w:p w14:paraId="0EB5BE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最终报告：撰写完整研究报告，包含稳健性检验，完成毕设/研究报告</w:t>
      </w:r>
    </w:p>
    <w:p w14:paraId="5A7D31C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4.3 正在探索的方向</w:t>
      </w:r>
    </w:p>
    <w:p w14:paraId="7FAB527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情绪指标可行性研究：</w:t>
      </w:r>
    </w:p>
    <w:p w14:paraId="53A7F1C0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4.3.1 情绪数据采集与处理</w:t>
      </w:r>
    </w:p>
    <w:p w14:paraId="2D4757B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数据来源：Truth Social RSS抓取 + VADER情绪分析</w:t>
      </w:r>
    </w:p>
    <w:p w14:paraId="5ACCDF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采集模块：src/data_collection/truth_social_</w:t>
      </w:r>
      <w:r>
        <w:rPr>
          <w:lang w:val="en-US" w:eastAsia="zh-CN"/>
        </w:rPr>
        <w:fldChar w:fldCharType="begin"/>
      </w:r>
      <w:r>
        <w:rPr>
          <w:lang w:val="en-US" w:eastAsia="zh-CN"/>
        </w:rPr>
        <w:instrText xml:space="preserve"> HYPERLINK "http://fetcher.py/" \t "/Users/xinyutan/Documents\\x/_blank" </w:instrText>
      </w:r>
      <w:r>
        <w:rPr>
          <w:lang w:val="en-US" w:eastAsia="zh-CN"/>
        </w:rPr>
        <w:fldChar w:fldCharType="separate"/>
      </w:r>
      <w:r>
        <w:t>fetcher.py</w:t>
      </w:r>
      <w:r>
        <w:rPr>
          <w:lang w:val="en-US" w:eastAsia="zh-CN"/>
        </w:rPr>
        <w:fldChar w:fldCharType="end"/>
      </w:r>
      <w:r>
        <w:rPr>
          <w:lang w:val="en-US" w:eastAsia="zh-CN"/>
        </w:rPr>
        <w:t>（RSS抓取逻辑）</w:t>
      </w:r>
    </w:p>
    <w:p w14:paraId="72049F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分析模块：src/data_collection/sentiment_</w:t>
      </w:r>
      <w:r>
        <w:rPr>
          <w:lang w:val="en-US" w:eastAsia="zh-CN"/>
        </w:rPr>
        <w:fldChar w:fldCharType="begin"/>
      </w:r>
      <w:r>
        <w:rPr>
          <w:lang w:val="en-US" w:eastAsia="zh-CN"/>
        </w:rPr>
        <w:instrText xml:space="preserve"> HYPERLINK "http://analyzer.py/" \t "/Users/xinyutan/Documents\\x/_blank" </w:instrText>
      </w:r>
      <w:r>
        <w:rPr>
          <w:lang w:val="en-US" w:eastAsia="zh-CN"/>
        </w:rPr>
        <w:fldChar w:fldCharType="separate"/>
      </w:r>
      <w:r>
        <w:t>analyzer.py</w:t>
      </w:r>
      <w:r>
        <w:rPr>
          <w:lang w:val="en-US" w:eastAsia="zh-CN"/>
        </w:rPr>
        <w:fldChar w:fldCharType="end"/>
      </w:r>
      <w:r>
        <w:rPr>
          <w:lang w:val="en-US" w:eastAsia="zh-CN"/>
        </w:rPr>
        <w:t>（VADER情绪分析 + 点赞加权）</w:t>
      </w:r>
    </w:p>
    <w:p w14:paraId="22A619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配置管理：config/policy_keywords.yaml（政策关键词配置）</w:t>
      </w:r>
    </w:p>
    <w:p w14:paraId="341EE4A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输出数据：data/processed/daily_sentiment_index.csv（日度情绪指数）</w:t>
      </w:r>
    </w:p>
    <w:p w14:paraId="76ADB1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数据期间：2022-02-01 至 2026-04-11（1,531天）</w:t>
      </w:r>
    </w:p>
    <w:p w14:paraId="103A0F8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情绪指数构造方法：</w:t>
      </w:r>
    </w:p>
    <w:p w14:paraId="29501C4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使用VADER情绪分析器对每条帖子进行情绪评分</w:t>
      </w:r>
    </w:p>
    <w:p w14:paraId="1DBCBC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点赞数加权：高点赞帖子权重更高</w:t>
      </w:r>
    </w:p>
    <w:p w14:paraId="6D38675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自定义政策关键词词典，识别政策相关帖子</w:t>
      </w:r>
    </w:p>
    <w:p w14:paraId="0D0B1F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计算每日情绪得分、帖子数量、平均点赞数、VIX代理指标、冲击信号</w:t>
      </w:r>
    </w:p>
    <w:p w14:paraId="7E8313B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4.3.2 情绪阈值优化工作</w:t>
      </w:r>
    </w:p>
    <w:p w14:paraId="7153159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优化前问题：</w:t>
      </w:r>
    </w:p>
    <w:p w14:paraId="08DD2C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使用理论阈值（-2, -1, 1.5）导致极端状态几乎不触发</w:t>
      </w:r>
    </w:p>
    <w:p w14:paraId="62F8030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恐慌状态触发34%，其他状态触发频率不均衡</w:t>
      </w:r>
    </w:p>
    <w:p w14:paraId="654308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情绪信号无法有效指导仓位调整</w:t>
      </w:r>
    </w:p>
    <w:p w14:paraId="3D4D902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优化方法：基于实际数据分布的动态阈值校准</w:t>
      </w:r>
    </w:p>
    <w:p w14:paraId="7CB5324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使用百分位数方法（P5, P20, P40, P60, P80, P95）</w:t>
      </w:r>
    </w:p>
    <w:p w14:paraId="7B553F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自动适应数据分布特征</w:t>
      </w:r>
    </w:p>
    <w:p w14:paraId="30320D4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确保各状态触发频率可控（4.83%~20.97%）</w:t>
      </w:r>
    </w:p>
    <w:p w14:paraId="68A9B0E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rFonts w:asciiTheme="minorHAnsi" w:hAnsiTheme="minorHAnsi" w:eastAsiaTheme="minorEastAsia" w:cstheme="minorBidi"/>
          <w:i w:val="0"/>
          <w:iCs w:val="0"/>
          <w:caps w:val="0"/>
          <w:color w:val="000000"/>
          <w:spacing w:val="0"/>
          <w:kern w:val="0"/>
          <w:sz w:val="24"/>
          <w:szCs w:val="24"/>
          <w:u w:val="none"/>
          <w:lang w:val="en-US" w:eastAsia="zh-CN" w:bidi="ar"/>
        </w:rPr>
        <w:t>优化后阈值配置：</w:t>
      </w:r>
    </w:p>
    <w:tbl>
      <w:tblPr>
        <w:tblStyle w:val="6"/>
        <w:tblW w:w="0" w:type="auto"/>
        <w:tblCellSpacing w:w="15" w:type="dxa"/>
        <w:tblInd w:w="-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5"/>
        <w:gridCol w:w="1724"/>
        <w:gridCol w:w="1537"/>
        <w:gridCol w:w="935"/>
      </w:tblGrid>
      <w:tr w14:paraId="2FCDC2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2118ACC7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情绪状态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44272817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阈值范围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734FC2D1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触发天数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52D71554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仓位系数</w:t>
            </w:r>
          </w:p>
        </w:tc>
      </w:tr>
      <w:tr w14:paraId="3D3B51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7F71DD3D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极度恐慌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2B6AA66C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 &lt; -1.35 (P5)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468AD2EC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</w:t>
            </w:r>
            <w:r>
              <w:rPr>
                <w:rStyle w:val="9"/>
                <w:lang w:val="en-US" w:eastAsia="zh-CN" w:bidi="ar"/>
              </w:rPr>
              <w:t>天</w:t>
            </w:r>
            <w:r>
              <w:rPr>
                <w:rStyle w:val="10"/>
                <w:rFonts w:eastAsia="宋体"/>
                <w:lang w:val="en-US" w:eastAsia="zh-CN" w:bidi="ar"/>
              </w:rPr>
              <w:t>(4.83%)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399E0075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1.5(</w:t>
            </w:r>
            <w:r>
              <w:rPr>
                <w:rStyle w:val="9"/>
                <w:lang w:val="en-US" w:eastAsia="zh-CN" w:bidi="ar"/>
              </w:rPr>
              <w:t>超配</w:t>
            </w:r>
            <w:r>
              <w:rPr>
                <w:rStyle w:val="10"/>
                <w:rFonts w:eastAsia="宋体"/>
                <w:lang w:val="en-US" w:eastAsia="zh-CN" w:bidi="ar"/>
              </w:rPr>
              <w:t>)</w:t>
            </w:r>
          </w:p>
        </w:tc>
      </w:tr>
      <w:tr w14:paraId="4E7447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03B817B8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恐慌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0A4345DD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-1.35~-1.28 (P20)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1BDCA61A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321</w:t>
            </w:r>
            <w:r>
              <w:rPr>
                <w:rStyle w:val="9"/>
                <w:lang w:val="en-US" w:eastAsia="zh-CN" w:bidi="ar"/>
              </w:rPr>
              <w:t>天</w:t>
            </w:r>
            <w:r>
              <w:rPr>
                <w:rStyle w:val="10"/>
                <w:rFonts w:eastAsia="宋体"/>
                <w:lang w:val="en-US" w:eastAsia="zh-CN" w:bidi="ar"/>
              </w:rPr>
              <w:t>(20.97%)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15E9756D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1.2(</w:t>
            </w:r>
            <w:r>
              <w:rPr>
                <w:rStyle w:val="9"/>
                <w:lang w:val="en-US" w:eastAsia="zh-CN" w:bidi="ar"/>
              </w:rPr>
              <w:t>超配</w:t>
            </w:r>
            <w:r>
              <w:rPr>
                <w:rStyle w:val="10"/>
                <w:rFonts w:eastAsia="宋体"/>
                <w:lang w:val="en-US" w:eastAsia="zh-CN" w:bidi="ar"/>
              </w:rPr>
              <w:t>)</w:t>
            </w:r>
          </w:p>
        </w:tc>
      </w:tr>
      <w:tr w14:paraId="41697F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A96023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轻度担忧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39DB19EF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-1.28~-0.30 (P40)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7FC7F561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312</w:t>
            </w:r>
            <w:r>
              <w:rPr>
                <w:rStyle w:val="9"/>
                <w:lang w:val="en-US" w:eastAsia="zh-CN" w:bidi="ar"/>
              </w:rPr>
              <w:t>天</w:t>
            </w:r>
            <w:r>
              <w:rPr>
                <w:rStyle w:val="10"/>
                <w:rFonts w:eastAsia="宋体"/>
                <w:lang w:val="en-US" w:eastAsia="zh-CN" w:bidi="ar"/>
              </w:rPr>
              <w:t>(20.38%)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696BEC94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0.8(</w:t>
            </w:r>
            <w:r>
              <w:rPr>
                <w:rStyle w:val="9"/>
                <w:lang w:val="en-US" w:eastAsia="zh-CN" w:bidi="ar"/>
              </w:rPr>
              <w:t>低配</w:t>
            </w:r>
            <w:r>
              <w:rPr>
                <w:rStyle w:val="10"/>
                <w:rFonts w:eastAsia="宋体"/>
                <w:lang w:val="en-US" w:eastAsia="zh-CN" w:bidi="ar"/>
              </w:rPr>
              <w:t>)</w:t>
            </w:r>
          </w:p>
        </w:tc>
      </w:tr>
      <w:tr w14:paraId="76F060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2809AA94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中性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188FA756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-0.30~0.66 (P60)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260405F4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312</w:t>
            </w:r>
            <w:r>
              <w:rPr>
                <w:rStyle w:val="9"/>
                <w:lang w:val="en-US" w:eastAsia="zh-CN" w:bidi="ar"/>
              </w:rPr>
              <w:t>天</w:t>
            </w:r>
            <w:r>
              <w:rPr>
                <w:rStyle w:val="10"/>
                <w:rFonts w:eastAsia="宋体"/>
                <w:lang w:val="en-US" w:eastAsia="zh-CN" w:bidi="ar"/>
              </w:rPr>
              <w:t>(20.38%)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386CBEE9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1.0(</w:t>
            </w:r>
            <w:r>
              <w:rPr>
                <w:rStyle w:val="9"/>
                <w:lang w:val="en-US" w:eastAsia="zh-CN" w:bidi="ar"/>
              </w:rPr>
              <w:t>标配</w:t>
            </w:r>
            <w:r>
              <w:rPr>
                <w:rStyle w:val="10"/>
                <w:rFonts w:eastAsia="宋体"/>
                <w:lang w:val="en-US" w:eastAsia="zh-CN" w:bidi="ar"/>
              </w:rPr>
              <w:t>)</w:t>
            </w:r>
          </w:p>
        </w:tc>
      </w:tr>
      <w:tr w14:paraId="5588FD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57EBA2EA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轻度乐观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1222F05D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0.66~1.02 (P80)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29BF8B14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312</w:t>
            </w:r>
            <w:r>
              <w:rPr>
                <w:rStyle w:val="9"/>
                <w:lang w:val="en-US" w:eastAsia="zh-CN" w:bidi="ar"/>
              </w:rPr>
              <w:t>天</w:t>
            </w:r>
            <w:r>
              <w:rPr>
                <w:rStyle w:val="10"/>
                <w:rFonts w:eastAsia="宋体"/>
                <w:lang w:val="en-US" w:eastAsia="zh-CN" w:bidi="ar"/>
              </w:rPr>
              <w:t>(20.38%)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66D8B8F0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1.0(</w:t>
            </w:r>
            <w:r>
              <w:rPr>
                <w:rStyle w:val="9"/>
                <w:lang w:val="en-US" w:eastAsia="zh-CN" w:bidi="ar"/>
              </w:rPr>
              <w:t>标配</w:t>
            </w:r>
            <w:r>
              <w:rPr>
                <w:rStyle w:val="10"/>
                <w:rFonts w:eastAsia="宋体"/>
                <w:lang w:val="en-US" w:eastAsia="zh-CN" w:bidi="ar"/>
              </w:rPr>
              <w:t>)</w:t>
            </w:r>
          </w:p>
        </w:tc>
      </w:tr>
      <w:tr w14:paraId="384BF2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5D78B1F7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极度乐观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4F754E51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z &gt; 1.12 (P95)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431AD8AC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</w:t>
            </w:r>
            <w:r>
              <w:rPr>
                <w:rStyle w:val="9"/>
                <w:lang w:val="en-US" w:eastAsia="zh-CN" w:bidi="ar"/>
              </w:rPr>
              <w:t>天</w:t>
            </w:r>
            <w:r>
              <w:rPr>
                <w:rStyle w:val="10"/>
                <w:rFonts w:eastAsia="宋体"/>
                <w:lang w:val="en-US" w:eastAsia="zh-CN" w:bidi="ar"/>
              </w:rPr>
              <w:t>(4.83%)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top"/>
          </w:tcPr>
          <w:p w14:paraId="5AD71546">
            <w:pPr>
              <w:keepNext w:val="0"/>
              <w:keepLines w:val="0"/>
              <w:widowControl/>
              <w:suppressLineNumbers w:val="0"/>
              <w:jc w:val="both"/>
              <w:textAlignment w:val="top"/>
            </w:pP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0.5(</w:t>
            </w:r>
            <w:r>
              <w:rPr>
                <w:rStyle w:val="9"/>
                <w:lang w:val="en-US" w:eastAsia="zh-CN" w:bidi="ar"/>
              </w:rPr>
              <w:t>减仓</w:t>
            </w:r>
            <w:r>
              <w:rPr>
                <w:rStyle w:val="10"/>
                <w:rFonts w:eastAsia="宋体"/>
                <w:lang w:val="en-US" w:eastAsia="zh-CN" w:bidi="ar"/>
              </w:rPr>
              <w:t>)</w:t>
            </w:r>
          </w:p>
        </w:tc>
      </w:tr>
    </w:tbl>
    <w:p w14:paraId="3EF1F745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4.3.3 情绪策略回测结果</w:t>
      </w:r>
    </w:p>
    <w:p w14:paraId="458541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全样本期表现（2022-2026）：</w:t>
      </w:r>
    </w:p>
    <w:p w14:paraId="6B94EA2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不择股：持有市场等权组合</w:t>
      </w:r>
    </w:p>
    <w:p w14:paraId="5118DCF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日度调仓：基于情绪指数调整仓位系数</w:t>
      </w:r>
    </w:p>
    <w:p w14:paraId="4F759E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年化收益：11.50%，夏普比率：0.459</w:t>
      </w:r>
    </w:p>
    <w:p w14:paraId="74FE30D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最大回撤：-33.09%，平均仓位系数：0.93</w:t>
      </w:r>
    </w:p>
    <w:p w14:paraId="4A745E5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2025年优秀表现：</w:t>
      </w:r>
    </w:p>
    <w:p w14:paraId="40E52F5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年化收益：52.43%，夏普比率：2.572</w:t>
      </w:r>
    </w:p>
    <w:p w14:paraId="2BF325B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最大回撤：仅-12.82%，胜率：83.3%（12个月中10个月正收益）</w:t>
      </w:r>
    </w:p>
    <w:p w14:paraId="271136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Alpha：2.68%/月（t=4.009，高度显著）</w:t>
      </w:r>
    </w:p>
    <w:p w14:paraId="1AB379A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市场Beta：仅0.28，与市场相关性低</w:t>
      </w:r>
    </w:p>
    <w:p w14:paraId="6A7283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SMB Beta：1.17，显著小市值倾向</w:t>
      </w:r>
    </w:p>
    <w:p w14:paraId="760A15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R²：76.07%，策略具有显著的增量alpha能力</w:t>
      </w:r>
    </w:p>
    <w:p w14:paraId="7F48426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4.3.4 关键发现与研究价值</w:t>
      </w:r>
    </w:p>
    <w:p w14:paraId="29E304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2025年表现突出原因：市场情绪波动较大，情绪调仓策略有效捕捉拐点</w:t>
      </w:r>
    </w:p>
    <w:p w14:paraId="663893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纯情绪调仓优于混合策略：不择股纯情绪策略年化11.50%，优于EP+反转+情绪混合策略（3.49%）</w:t>
      </w:r>
    </w:p>
    <w:p w14:paraId="108F3E4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情绪指标提供独立Alpha来源：与价值/反转因子互补，市场Beta仅0.28</w:t>
      </w:r>
    </w:p>
    <w:p w14:paraId="6886BDD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数据驱动优于理论假设：基于实际分布的阈值校准显著提升策略效果</w:t>
      </w:r>
    </w:p>
    <w:p w14:paraId="5A8DC64B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4.3.5 下一步研究方向</w:t>
      </w:r>
    </w:p>
    <w:p w14:paraId="6F65580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将情绪指标纳入组合策略：测试三因子（价值+反转+情绪）效果</w:t>
      </w:r>
    </w:p>
    <w:p w14:paraId="2E1095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引入滚动窗口动态调整阈值：适应市场变化</w:t>
      </w:r>
    </w:p>
    <w:p w14:paraId="6AFFF3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结合市场波动率（VIX）调整敏感度</w:t>
      </w:r>
    </w:p>
    <w:p w14:paraId="6A6B52C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测试不同仓位系数（1.5, 1.2, 0.8, 0.5）的最优组合</w:t>
      </w:r>
    </w:p>
    <w:p w14:paraId="026632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探索情绪指标与宏观经济指标的交互效应</w:t>
      </w:r>
    </w:p>
    <w:p w14:paraId="5A1B84D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</w:pPr>
      <w:r>
        <w:rPr>
          <w:rFonts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u w:val="none"/>
        </w:rPr>
        <w:t>4.4 需要的帮助</w:t>
      </w:r>
    </w:p>
    <w:p w14:paraId="590D75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因子构造建议：是否有更优的价值因子组合方式？（如PE、PB、PS多因子等权？）情绪因子怎样放入原有策略？通过月度选股，日度调仓的混频模式？</w:t>
      </w:r>
    </w:p>
    <w:p w14:paraId="508EDA9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风险模型指导：如何构建简化的本土风险模型？</w:t>
      </w:r>
    </w:p>
    <w:p w14:paraId="6249CFF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权重优化方法：是否应该使用机器学习（如Lasso、随机森林）进行因子权重优化？</w:t>
      </w:r>
    </w:p>
    <w:p w14:paraId="52BDE0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</w:pPr>
      <w:r>
        <w:rPr>
          <w:lang w:val="en-US" w:eastAsia="zh-CN"/>
        </w:rPr>
        <w:t>• 归因分析深化：如何分解Alpha来源（选股Alpha vs 时机Alpha）？</w:t>
      </w:r>
    </w:p>
    <w:p w14:paraId="57D4EED8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0"/>
        <w:jc w:val="left"/>
        <w:textAlignment w:val="auto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5. 核心结论</w:t>
      </w:r>
    </w:p>
    <w:p w14:paraId="49AD9D7E">
      <w:r>
        <w:t>月度组合策略（价值40%+反转60%）在2005-2025年期间实现了年化21.89%收益、夏普比率0.580、高度显著Alpha(t=3.33)，证明了反转与价值因子的协同效应具有真实的超额收益能力。价值因子经过参数调优（EP=80%, DP=20%）后Alpha显著性提升。</w:t>
      </w:r>
    </w:p>
    <w:p w14:paraId="0A34B9A9">
      <w:r>
        <w:rPr>
          <w:lang w:val="en-US" w:eastAsia="zh-CN"/>
        </w:rPr>
        <w:t>情绪指标研究方面，通过Truth Social RSS抓取+VADER情绪分析构建了日度情绪指数，经过基于百分位数的阈值优化后，2025年纯情绪调仓策略表现优异：年化收益52.43%、夏普2.572、Alpha高度显著(t=4.009)，为策略进一步优化提供了新方向。</w:t>
      </w:r>
    </w:p>
    <w:p w14:paraId="7E7268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left"/>
        <w:textAlignment w:val="auto"/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7F70B2"/>
    <w:rsid w:val="375AEC8D"/>
    <w:rsid w:val="63FE0E13"/>
    <w:rsid w:val="6F7322EE"/>
    <w:rsid w:val="DD7F70B2"/>
    <w:rsid w:val="FC6FC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uiPriority w:val="0"/>
    <w:rPr>
      <w:color w:val="0000FF"/>
      <w:u w:val="single"/>
    </w:rPr>
  </w:style>
  <w:style w:type="character" w:customStyle="1" w:styleId="9">
    <w:name w:val="font11"/>
    <w:basedOn w:val="7"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10">
    <w:name w:val="font21"/>
    <w:basedOn w:val="7"/>
    <w:uiPriority w:val="0"/>
    <w:rPr>
      <w:rFonts w:hint="default" w:ascii="Calibri" w:hAnsi="Calibri" w:cs="Calibri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2026-04-14T01:18:00Z</dcterms:created>
  <dc:creator>俟乇</dc:creator>
  <cp:lastModifiedBy>俟乇</cp:lastModifiedBy>
  <dcterms:modified xsi:type="dcterms:W3CDTF">2026-04-13T18:40:24Z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ICV">
    <vt:lpwstr>21DAB8025A88F9C6F5B4DC691818329D_41</vt:lpwstr>
  </property>
</Properties>
</file>