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86498">
      <w:r>
        <w:rPr>
          <w:rFonts w:hint="default"/>
        </w:rPr>
        <w:t>【第1页：封面】</w:t>
      </w:r>
    </w:p>
    <w:p w14:paraId="6A616541">
      <w:r>
        <w:t>老师、同学</w:t>
      </w:r>
      <w:r>
        <w:rPr>
          <w:rFonts w:hint="eastAsia"/>
          <w:lang w:val="en-US" w:eastAsia="zh-CN"/>
        </w:rPr>
        <w:t>晚上</w:t>
      </w:r>
      <w:r>
        <w:t>好，我是谈心语。今天我们小组汇报的</w:t>
      </w:r>
      <w:r>
        <w:rPr>
          <w:rFonts w:hint="eastAsia"/>
          <w:lang w:val="en-US" w:eastAsia="zh-CN"/>
        </w:rPr>
        <w:t>策略，</w:t>
      </w:r>
      <w:r>
        <w:t>重点探讨价值效应与反转效应的协同作用，以及我们近期在情绪指标方面的创新探索。</w:t>
      </w:r>
    </w:p>
    <w:p w14:paraId="52EFB9FC">
      <w:r>
        <w:pict>
          <v:rect id="_x0000_i1025" o:spt="1" style="height:1.5pt;width:432pt;" fillcolor="#A0A0A0" filled="t" stroked="f" coordsize="21600,21600" o:hr="t" o:hrstd="t" o:hralign="center">
            <v:path/>
            <v:fill on="t" focussize="0,0"/>
            <v:stroke on="f"/>
            <v:imagedata o:title=""/>
            <o:lock v:ext="edit"/>
            <w10:wrap type="none"/>
            <w10:anchorlock/>
          </v:rect>
        </w:pict>
      </w:r>
    </w:p>
    <w:p w14:paraId="2D2BA322">
      <w:pPr>
        <w:rPr>
          <w:rFonts w:hint="default"/>
        </w:rPr>
      </w:pPr>
      <w:r>
        <w:rPr>
          <w:rFonts w:hint="default"/>
        </w:rPr>
        <w:t>【第2页：研究问题】</w:t>
      </w:r>
    </w:p>
    <w:p w14:paraId="72A15AAB">
      <w:r>
        <w:rPr>
          <w:rFonts w:hint="default"/>
        </w:rPr>
        <w:t>首先，</w:t>
      </w:r>
      <w:r>
        <w:rPr>
          <w:rFonts w:hint="eastAsia"/>
          <w:lang w:val="en-US" w:eastAsia="zh-CN"/>
        </w:rPr>
        <w:t>为什么我们选择将</w:t>
      </w:r>
      <w:r>
        <w:rPr>
          <w:rFonts w:hint="default"/>
        </w:rPr>
        <w:t>价值效应和反转效应结合</w:t>
      </w:r>
      <w:r>
        <w:rPr>
          <w:rFonts w:hint="eastAsia"/>
          <w:lang w:eastAsia="zh-CN"/>
        </w:rPr>
        <w:t>。</w:t>
      </w:r>
      <w:r>
        <w:rPr>
          <w:rFonts w:hint="eastAsia"/>
          <w:lang w:val="en-US" w:eastAsia="zh-CN"/>
        </w:rPr>
        <w:t>在我们构建的</w:t>
      </w:r>
      <w:r>
        <w:rPr>
          <w:rFonts w:hint="default"/>
        </w:rPr>
        <w:t>纯价值策略</w:t>
      </w:r>
      <w:r>
        <w:rPr>
          <w:rFonts w:hint="eastAsia"/>
          <w:lang w:val="en-US" w:eastAsia="zh-CN"/>
        </w:rPr>
        <w:t>中</w:t>
      </w:r>
      <w:r>
        <w:rPr>
          <w:rFonts w:hint="default"/>
        </w:rPr>
        <w:t>——比如我们构建的EP+DP复合价值因子——虽然Alpha显著，但年化收益只有10.8%左右，收益偏低。而纯反转策略，比如持有过去6个月跌幅最大的股票，年化收益能做到16-21%，但它的Alpha不显著，收益主要来自市场和小市值风格的暴露，也就是“含金量”不足。</w:t>
      </w:r>
    </w:p>
    <w:p w14:paraId="6108EFFD">
      <w:pPr>
        <w:rPr>
          <w:rFonts w:hint="default"/>
          <w:lang w:val="en-US"/>
        </w:rPr>
      </w:pPr>
      <w:r>
        <w:rPr>
          <w:rFonts w:hint="default"/>
        </w:rPr>
        <w:t>所以我们提出研究假设：</w:t>
      </w:r>
    </w:p>
    <w:p w14:paraId="05DAA1C6">
      <w:pPr>
        <w:rPr>
          <w:rFonts w:hint="default"/>
        </w:rPr>
      </w:pPr>
      <w:r>
        <w:rPr>
          <w:rFonts w:hint="default"/>
        </w:rPr>
        <w:t>反转因子捕捉短期超跌反弹，价值因子提供安全边际，两者结合应优于单一策略；</w:t>
      </w:r>
    </w:p>
    <w:p w14:paraId="0B3A02DA">
      <w:pPr>
        <w:rPr>
          <w:rFonts w:hint="default"/>
          <w:lang w:val="en-US"/>
        </w:rPr>
      </w:pPr>
      <w:r>
        <w:rPr>
          <w:rFonts w:hint="eastAsia"/>
          <w:lang w:val="en-US" w:eastAsia="zh-CN"/>
        </w:rPr>
        <w:t>在这个假设下，</w:t>
      </w:r>
      <w:r>
        <w:rPr>
          <w:rFonts w:hint="default"/>
        </w:rPr>
        <w:t>组合策略应具有统计显著的Alpha，年化大于6%，t值大于2；策略的夏普比率应高于纯反转或纯价值策略。</w:t>
      </w:r>
    </w:p>
    <w:p w14:paraId="1086C207">
      <w:r>
        <w:pict>
          <v:rect id="_x0000_i1026" o:spt="1" style="height:1.5pt;width:432pt;" fillcolor="#A0A0A0" filled="t" stroked="f" coordsize="21600,21600" o:hr="t" o:hrstd="t" o:hralign="center">
            <v:path/>
            <v:fill on="t" focussize="0,0"/>
            <v:stroke on="f"/>
            <v:imagedata o:title=""/>
            <o:lock v:ext="edit"/>
            <w10:wrap type="none"/>
            <w10:anchorlock/>
          </v:rect>
        </w:pict>
      </w:r>
    </w:p>
    <w:p w14:paraId="42D3E2F9">
      <w:pPr>
        <w:rPr>
          <w:rFonts w:hint="default"/>
        </w:rPr>
      </w:pPr>
      <w:r>
        <w:rPr>
          <w:rFonts w:hint="default"/>
        </w:rPr>
        <w:t>【第3页：策略构建】</w:t>
      </w:r>
    </w:p>
    <w:p w14:paraId="46C53A3D">
      <w:r>
        <w:rPr>
          <w:rFonts w:hint="eastAsia"/>
          <w:lang w:val="en-US" w:eastAsia="zh-CN"/>
        </w:rPr>
        <w:t>在</w:t>
      </w:r>
      <w:r>
        <w:rPr>
          <w:rFonts w:hint="default"/>
        </w:rPr>
        <w:t>策略构建</w:t>
      </w:r>
      <w:r>
        <w:rPr>
          <w:rFonts w:hint="eastAsia"/>
          <w:lang w:val="en-US" w:eastAsia="zh-CN"/>
        </w:rPr>
        <w:t>部分</w:t>
      </w:r>
      <w:r>
        <w:rPr>
          <w:rFonts w:hint="default"/>
        </w:rPr>
        <w:t>，我们分</w:t>
      </w:r>
      <w:r>
        <w:rPr>
          <w:rFonts w:hint="eastAsia"/>
          <w:lang w:val="en-US" w:eastAsia="zh-CN"/>
        </w:rPr>
        <w:t>为</w:t>
      </w:r>
      <w:r>
        <w:rPr>
          <w:rFonts w:hint="default"/>
        </w:rPr>
        <w:t>三块。</w:t>
      </w:r>
    </w:p>
    <w:p w14:paraId="6525278A">
      <w:pPr>
        <w:numPr>
          <w:ilvl w:val="0"/>
          <w:numId w:val="1"/>
        </w:numPr>
        <w:rPr>
          <w:rFonts w:hint="default"/>
        </w:rPr>
      </w:pPr>
      <w:r>
        <w:rPr>
          <w:rFonts w:hint="default"/>
        </w:rPr>
        <w:t>价值因子</w:t>
      </w:r>
      <w:r>
        <w:rPr>
          <w:rFonts w:hint="default"/>
        </w:rPr>
        <w:t>。单一指标易失效，</w:t>
      </w:r>
      <w:r>
        <w:rPr>
          <w:rFonts w:hint="eastAsia"/>
          <w:lang w:val="en-US" w:eastAsia="zh-CN"/>
        </w:rPr>
        <w:t>我们</w:t>
      </w:r>
      <w:r>
        <w:rPr>
          <w:rFonts w:hint="default"/>
        </w:rPr>
        <w:t>采用复合价值指标，包括EP、BP、SP、DP四个因子。</w:t>
      </w:r>
      <w:r>
        <w:rPr>
          <w:rFonts w:hint="eastAsia"/>
          <w:lang w:val="en-US" w:eastAsia="zh-CN"/>
        </w:rPr>
        <w:t>并</w:t>
      </w:r>
      <w:r>
        <w:rPr>
          <w:rFonts w:hint="default"/>
        </w:rPr>
        <w:t>通过网格搜索242种权重组合，以最大化夏普比率为目标，我们找到的最优权重是：</w:t>
      </w:r>
      <w:r>
        <w:rPr>
          <w:rFonts w:hint="default"/>
        </w:rPr>
        <w:t>EP盈利收益率占80%，DP股息率占20%</w:t>
      </w:r>
      <w:r>
        <w:rPr>
          <w:rFonts w:hint="default"/>
        </w:rPr>
        <w:t>，BP和SP的边际贡献低，权重设为0。</w:t>
      </w:r>
      <w:r>
        <w:rPr>
          <w:rFonts w:hint="eastAsia"/>
          <w:lang w:val="en-US" w:eastAsia="zh-CN"/>
        </w:rPr>
        <w:t>对数据进行行业中性化处理以消除行业偏差提升稳健性后形成价值策略。</w:t>
      </w:r>
    </w:p>
    <w:p w14:paraId="66DAA2C2">
      <w:pPr>
        <w:numPr>
          <w:numId w:val="0"/>
        </w:numPr>
      </w:pPr>
      <w:r>
        <w:rPr>
          <w:rFonts w:hint="default"/>
        </w:rPr>
        <w:t>第二，反转</w:t>
      </w:r>
      <w:r>
        <w:rPr>
          <w:rFonts w:hint="eastAsia"/>
          <w:lang w:val="en-US" w:eastAsia="zh-CN"/>
        </w:rPr>
        <w:t>策略</w:t>
      </w:r>
      <w:r>
        <w:rPr>
          <w:rFonts w:hint="default"/>
        </w:rPr>
        <w:t>我们</w:t>
      </w:r>
      <w:r>
        <w:rPr>
          <w:rFonts w:hint="eastAsia"/>
          <w:lang w:val="en-US" w:eastAsia="zh-CN"/>
        </w:rPr>
        <w:t>延用了上次个人作业</w:t>
      </w:r>
      <w:r>
        <w:rPr>
          <w:rFonts w:hint="default"/>
        </w:rPr>
        <w:t>6个月形成期的反转信号。</w:t>
      </w:r>
    </w:p>
    <w:p w14:paraId="37B9D96D">
      <w:r>
        <w:pict>
          <v:rect id="_x0000_i1032" o:spt="1" style="height:1.5pt;width:432pt;" fillcolor="#A0A0A0" filled="t" stroked="f" coordsize="21600,21600" o:hr="t" o:hrstd="t" o:hralign="center">
            <v:path/>
            <v:fill on="t" focussize="0,0"/>
            <v:stroke on="f"/>
            <v:imagedata o:title=""/>
            <o:lock v:ext="edit"/>
            <w10:wrap type="none"/>
            <w10:anchorlock/>
          </v:rect>
        </w:pict>
      </w:r>
    </w:p>
    <w:p w14:paraId="76418A5F">
      <w:r>
        <w:rPr>
          <w:rFonts w:hint="default"/>
        </w:rPr>
        <w:t>第三，组合策略</w:t>
      </w:r>
      <w:r>
        <w:rPr>
          <w:rFonts w:hint="default"/>
        </w:rPr>
        <w:t>。我们把价值因子和反转因子按</w:t>
      </w:r>
      <w:r>
        <w:rPr>
          <w:rFonts w:hint="default"/>
        </w:rPr>
        <w:t>40%和60%的权重</w:t>
      </w:r>
      <w:r>
        <w:rPr>
          <w:rFonts w:hint="default"/>
        </w:rPr>
        <w:t>合成最终得分，选取得分最高的100只股票，等权配置，每月第一个交易日调仓。这就是我们</w:t>
      </w:r>
      <w:r>
        <w:rPr>
          <w:rFonts w:hint="eastAsia"/>
          <w:lang w:val="en-US" w:eastAsia="zh-CN"/>
        </w:rPr>
        <w:t>目前的</w:t>
      </w:r>
      <w:r>
        <w:rPr>
          <w:rFonts w:hint="default"/>
        </w:rPr>
        <w:t>月度组合策略。</w:t>
      </w:r>
    </w:p>
    <w:p w14:paraId="2737D470">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6D32C4">
      <w:pPr>
        <w:rPr>
          <w:rFonts w:hint="default"/>
        </w:rPr>
      </w:pPr>
      <w:r>
        <w:rPr>
          <w:rFonts w:hint="default"/>
        </w:rPr>
        <w:t>【第4页：回测结果】</w:t>
      </w:r>
    </w:p>
    <w:p w14:paraId="4E10AC40">
      <w:pPr>
        <w:rPr>
          <w:rFonts w:hint="eastAsia"/>
          <w:lang w:val="en-US" w:eastAsia="zh-CN"/>
        </w:rPr>
      </w:pPr>
      <w:r>
        <w:rPr>
          <w:rFonts w:hint="eastAsia"/>
          <w:lang w:val="en-US" w:eastAsia="zh-CN"/>
        </w:rPr>
        <w:t>这是</w:t>
      </w:r>
      <w:r>
        <w:rPr>
          <w:rFonts w:hint="default"/>
        </w:rPr>
        <w:t>我们</w:t>
      </w:r>
      <w:r>
        <w:rPr>
          <w:rFonts w:hint="eastAsia"/>
          <w:lang w:val="en-US" w:eastAsia="zh-CN"/>
        </w:rPr>
        <w:t>06至25年</w:t>
      </w:r>
      <w:r>
        <w:rPr>
          <w:rFonts w:hint="default"/>
        </w:rPr>
        <w:t>、全市场股票</w:t>
      </w:r>
      <w:r>
        <w:rPr>
          <w:rFonts w:hint="eastAsia"/>
          <w:lang w:val="en-US" w:eastAsia="zh-CN"/>
        </w:rPr>
        <w:t>数据</w:t>
      </w:r>
      <w:r>
        <w:rPr>
          <w:rFonts w:hint="default"/>
        </w:rPr>
        <w:t>回测结果</w:t>
      </w:r>
      <w:r>
        <w:rPr>
          <w:rFonts w:hint="eastAsia"/>
          <w:lang w:eastAsia="zh-CN"/>
        </w:rPr>
        <w:t>。</w:t>
      </w:r>
      <w:r>
        <w:rPr>
          <w:rFonts w:hint="eastAsia"/>
          <w:lang w:val="en-US" w:eastAsia="zh-CN"/>
        </w:rPr>
        <w:t>重点要说的是</w:t>
      </w:r>
      <w:r>
        <w:rPr>
          <w:rFonts w:hint="default"/>
        </w:rPr>
        <w:t>最大回撤</w:t>
      </w:r>
      <w:r>
        <w:rPr>
          <w:rFonts w:hint="eastAsia"/>
          <w:lang w:val="en-US" w:eastAsia="zh-CN"/>
        </w:rPr>
        <w:t>数据，</w:t>
      </w:r>
      <w:r>
        <w:rPr>
          <w:rFonts w:hint="default"/>
        </w:rPr>
        <w:t>-68.20%</w:t>
      </w:r>
      <w:r>
        <w:rPr>
          <w:rFonts w:hint="eastAsia"/>
          <w:lang w:eastAsia="zh-CN"/>
        </w:rPr>
        <w:t>，</w:t>
      </w:r>
      <w:r>
        <w:rPr>
          <w:rFonts w:hint="default"/>
        </w:rPr>
        <w:t>主要发生在2008年和2015年股灾</w:t>
      </w:r>
      <w:r>
        <w:rPr>
          <w:rFonts w:hint="eastAsia"/>
          <w:lang w:eastAsia="zh-CN"/>
        </w:rPr>
        <w:t>，</w:t>
      </w:r>
      <w:r>
        <w:rPr>
          <w:rFonts w:hint="eastAsia"/>
          <w:lang w:val="en-US" w:eastAsia="zh-CN"/>
        </w:rPr>
        <w:t>策略的抗风险能力还需要提升。</w:t>
      </w:r>
    </w:p>
    <w:p w14:paraId="3F7A8C66">
      <w:pPr>
        <w:rPr>
          <w:rFonts w:hint="default"/>
          <w:lang w:val="en-US"/>
        </w:rPr>
      </w:pPr>
      <w:r>
        <w:rPr>
          <w:rFonts w:hint="eastAsia"/>
          <w:lang w:val="en-US" w:eastAsia="zh-CN"/>
        </w:rPr>
        <w:t>在</w:t>
      </w:r>
      <w:r>
        <w:rPr>
          <w:rFonts w:hint="default"/>
        </w:rPr>
        <w:t>因子归因</w:t>
      </w:r>
      <w:r>
        <w:rPr>
          <w:rFonts w:hint="default"/>
        </w:rPr>
        <w:t>方面，我们用了标准FF3模型和CH3中国三因子模型。</w:t>
      </w:r>
    </w:p>
    <w:p w14:paraId="0DE81C4C">
      <w:pPr>
        <w:rPr>
          <w:rFonts w:hint="default"/>
        </w:rPr>
      </w:pPr>
      <w:r>
        <w:rPr>
          <w:rFonts w:hint="default"/>
        </w:rPr>
        <w:t>标准FF3显示：月度Alpha </w:t>
      </w:r>
      <w:r>
        <w:rPr>
          <w:rFonts w:hint="default"/>
        </w:rPr>
        <w:t>0.62%</w:t>
      </w:r>
      <w:r>
        <w:rPr>
          <w:rFonts w:hint="default"/>
        </w:rPr>
        <w:t>，t=2.447，显著；市场Beta 1.02，SMB Beta 0.78，HML Beta -0.645——说明策略高度暴露于市场和小市值，而且偏向成长股。</w:t>
      </w:r>
    </w:p>
    <w:p w14:paraId="5F83D0A0">
      <w:pPr>
        <w:rPr>
          <w:rFonts w:hint="default"/>
          <w:lang w:val="en-US"/>
        </w:rPr>
      </w:pPr>
      <w:r>
        <w:rPr>
          <w:rFonts w:hint="default"/>
        </w:rPr>
        <w:t>CH3模型显示：月度Alpha </w:t>
      </w:r>
      <w:r>
        <w:rPr>
          <w:rFonts w:hint="default"/>
        </w:rPr>
        <w:t>1.08%</w:t>
      </w:r>
      <w:r>
        <w:rPr>
          <w:rFonts w:hint="default"/>
        </w:rPr>
        <w:t>，t=3.853，高度显著；</w:t>
      </w:r>
    </w:p>
    <w:p w14:paraId="5306541F">
      <w:pPr>
        <w:rPr>
          <w:rFonts w:hint="default"/>
        </w:rPr>
      </w:pPr>
      <w:r>
        <w:rPr>
          <w:rFonts w:hint="default"/>
        </w:rPr>
        <w:t>两个模型的R²都超过85%，说明大部分收益可以被风格因子解释，但</w:t>
      </w:r>
      <w:r>
        <w:rPr>
          <w:rFonts w:hint="default"/>
        </w:rPr>
        <w:t>CH3的Alpha更高、更显著</w:t>
      </w:r>
      <w:r>
        <w:rPr>
          <w:rFonts w:hint="default"/>
        </w:rPr>
        <w:t>，说明我们的策略确实存在无法被因子完全解释的超额收益能力。</w:t>
      </w:r>
    </w:p>
    <w:p w14:paraId="37DDAA2E">
      <w:r>
        <w:rPr>
          <w:rFonts w:hint="eastAsia"/>
          <w:lang w:val="en-US" w:eastAsia="zh-CN"/>
        </w:rPr>
        <w:t>我们进行了样本外验证，训练集 : 2006-2018 (13年) 参数优化，验证集2019-2022 (4年) - 模型选择，测试集 : 2023-2025 (3年) 样本外评估，样本外夏普比率不仅没有衰减，反而显著提升，无过拟合现象，测试集表现好可能是因为这段时期是小市值股票表现较好的时期。</w:t>
      </w: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50D26E0">
      <w:pPr>
        <w:rPr>
          <w:rFonts w:hint="default"/>
        </w:rPr>
      </w:pPr>
      <w:r>
        <w:rPr>
          <w:rFonts w:hint="default"/>
        </w:rPr>
        <w:t>【第5页：策略优化与挑战】</w:t>
      </w:r>
    </w:p>
    <w:p w14:paraId="5D63EC4C">
      <w:r>
        <w:rPr>
          <w:rFonts w:hint="default"/>
        </w:rPr>
        <w:t>当然，我们也发现了不少问题。</w:t>
      </w:r>
    </w:p>
    <w:p w14:paraId="574C3513">
      <w:r>
        <w:rPr>
          <w:rFonts w:hint="default"/>
        </w:rPr>
        <w:t>方法上</w:t>
      </w:r>
      <w:r>
        <w:rPr>
          <w:rFonts w:hint="default"/>
        </w:rPr>
        <w:t>：40/60的权重是经验设定，没有系统优化；选股数量固定100只，没有做敏感性分析；行业暴露未知，可能集中某行业。</w:t>
      </w:r>
    </w:p>
    <w:p w14:paraId="2649A7DD">
      <w:r>
        <w:rPr>
          <w:rFonts w:hint="default"/>
        </w:rPr>
        <w:t>结果上</w:t>
      </w:r>
      <w:r>
        <w:rPr>
          <w:rFonts w:hint="default"/>
        </w:rPr>
        <w:t>：最大回撤高达-68%，风险很高；SMB Beta接近0.8，过度依赖小市值风格；R²太高，说明真正的Alpha其实不多。</w:t>
      </w:r>
    </w:p>
    <w:p w14:paraId="30561A09">
      <w:pPr>
        <w:rPr>
          <w:rFonts w:hint="default"/>
          <w:lang w:val="en-US"/>
        </w:rPr>
      </w:pPr>
      <w:r>
        <w:rPr>
          <w:rFonts w:hint="default"/>
        </w:rPr>
        <w:t>所以</w:t>
      </w:r>
      <w:r>
        <w:rPr>
          <w:rFonts w:hint="eastAsia"/>
          <w:lang w:val="en-US" w:eastAsia="zh-CN"/>
        </w:rPr>
        <w:t>我们的</w:t>
      </w:r>
      <w:r>
        <w:rPr>
          <w:rFonts w:hint="default"/>
        </w:rPr>
        <w:t>优化计划</w:t>
      </w:r>
      <w:r>
        <w:rPr>
          <w:rFonts w:hint="eastAsia"/>
          <w:lang w:val="en-US" w:eastAsia="zh-CN"/>
        </w:rPr>
        <w:t>是</w:t>
      </w:r>
      <w:r>
        <w:rPr>
          <w:rFonts w:hint="default"/>
        </w:rPr>
        <w:t>：</w:t>
      </w:r>
    </w:p>
    <w:p w14:paraId="58275508">
      <w:pPr>
        <w:rPr>
          <w:rFonts w:hint="default"/>
        </w:rPr>
      </w:pPr>
      <w:r>
        <w:rPr>
          <w:rFonts w:hint="default"/>
        </w:rPr>
        <w:t>短期</w:t>
      </w:r>
      <w:r>
        <w:rPr>
          <w:rFonts w:hint="default"/>
        </w:rPr>
        <w:t>：扫描不同权重组合、测试Top50到Top200、加入行业中性化约束。</w:t>
      </w:r>
    </w:p>
    <w:p w14:paraId="347EDE27">
      <w:pPr>
        <w:rPr>
          <w:rFonts w:hint="default"/>
          <w:lang w:val="en-US"/>
        </w:rPr>
      </w:pPr>
      <w:r>
        <w:rPr>
          <w:rFonts w:hint="default"/>
        </w:rPr>
        <w:t>长期</w:t>
      </w:r>
      <w:r>
        <w:rPr>
          <w:rFonts w:hint="default"/>
        </w:rPr>
        <w:t>：引入Barra风险模型、加入交易成本、做样本外测试。</w:t>
      </w:r>
    </w:p>
    <w:p w14:paraId="2608685D">
      <w:r>
        <w:rPr>
          <w:rFonts w:hint="default"/>
        </w:rPr>
        <w:t>另外，我们还</w:t>
      </w:r>
      <w:r>
        <w:rPr>
          <w:rFonts w:hint="eastAsia"/>
          <w:lang w:val="en-US" w:eastAsia="zh-CN"/>
        </w:rPr>
        <w:t>将</w:t>
      </w:r>
      <w:r>
        <w:rPr>
          <w:rFonts w:hint="default"/>
        </w:rPr>
        <w:t>尝试用</w:t>
      </w:r>
      <w:r>
        <w:rPr>
          <w:rFonts w:hint="default"/>
        </w:rPr>
        <w:t>机器学习</w:t>
      </w:r>
      <w:r>
        <w:rPr>
          <w:rFonts w:hint="default"/>
        </w:rPr>
        <w:t>做权重优化，以及用</w:t>
      </w:r>
      <w:r>
        <w:rPr>
          <w:rFonts w:hint="default"/>
        </w:rPr>
        <w:t>混频模式</w:t>
      </w:r>
      <w:r>
        <w:rPr>
          <w:rFonts w:hint="default"/>
        </w:rPr>
        <w:t>——月度选股加日度调仓——来融合情绪指标。</w:t>
      </w:r>
    </w:p>
    <w:p w14:paraId="3754008A">
      <w:r>
        <w:pict>
          <v:rect id="_x0000_i1029" o:spt="1" style="height:1.5pt;width:432pt;" fillcolor="#A0A0A0" filled="t" stroked="f" coordsize="21600,21600" o:hr="t" o:hrstd="t" o:hralign="center">
            <v:path/>
            <v:fill on="t" focussize="0,0"/>
            <v:stroke on="f"/>
            <v:imagedata o:title=""/>
            <o:lock v:ext="edit"/>
            <w10:wrap type="none"/>
            <w10:anchorlock/>
          </v:rect>
        </w:pict>
      </w:r>
    </w:p>
    <w:p w14:paraId="4EE398D8">
      <w:pPr>
        <w:rPr>
          <w:rFonts w:hint="default"/>
        </w:rPr>
      </w:pPr>
      <w:r>
        <w:rPr>
          <w:rFonts w:hint="default"/>
        </w:rPr>
        <w:t>【第6页：创新探索——情绪指标】</w:t>
      </w:r>
    </w:p>
    <w:p w14:paraId="2C727C80">
      <w:r>
        <w:rPr>
          <w:rFonts w:hint="default"/>
        </w:rPr>
        <w:t>情绪指标</w:t>
      </w:r>
      <w:r>
        <w:rPr>
          <w:rFonts w:hint="default"/>
        </w:rPr>
        <w:t>是我们正在探索的一个很有潜力的方向。</w:t>
      </w:r>
    </w:p>
    <w:p w14:paraId="1A10AB2B">
      <w:r>
        <w:rPr>
          <w:rFonts w:hint="default"/>
        </w:rPr>
        <w:t>我们</w:t>
      </w:r>
      <w:r>
        <w:rPr>
          <w:rFonts w:hint="eastAsia"/>
          <w:lang w:val="en-US" w:eastAsia="zh-CN"/>
        </w:rPr>
        <w:t>找到</w:t>
      </w:r>
      <w:r>
        <w:rPr>
          <w:rFonts w:hint="default"/>
        </w:rPr>
        <w:t>了</w:t>
      </w:r>
      <w:r>
        <w:rPr>
          <w:rFonts w:hint="eastAsia"/>
          <w:lang w:val="en-US" w:eastAsia="zh-CN"/>
        </w:rPr>
        <w:t>一个类似taco的因子，这个</w:t>
      </w:r>
      <w:r>
        <w:rPr>
          <w:rFonts w:hint="default"/>
        </w:rPr>
        <w:t>日度情绪指数数据从2022年2月到2026年4月，共1531天。</w:t>
      </w:r>
    </w:p>
    <w:p w14:paraId="5BDD648C">
      <w:r>
        <w:rPr>
          <w:rFonts w:hint="default"/>
        </w:rPr>
        <w:t>我们基于实际数据分布的</w:t>
      </w:r>
      <w:r>
        <w:rPr>
          <w:rFonts w:hint="default"/>
        </w:rPr>
        <w:t>百分位数</w:t>
      </w:r>
      <w:r>
        <w:rPr>
          <w:rFonts w:hint="default"/>
        </w:rPr>
        <w:t>来动态校准阈值。比如，极度恐慌对应P5分位数，仓位系数1.5倍；极度乐观对应P95，仓位系数降到0.5倍。这样各情绪状态的触发频率就均衡了，从4.8%到21%不等。</w:t>
      </w:r>
    </w:p>
    <w:p w14:paraId="74A6FC73">
      <w:pPr>
        <w:rPr>
          <w:rFonts w:hint="default"/>
          <w:lang w:val="en-US"/>
        </w:rPr>
      </w:pPr>
      <w:r>
        <w:rPr>
          <w:rFonts w:hint="default"/>
        </w:rPr>
        <w:t>我们用这个情绪指数做了一个</w:t>
      </w:r>
      <w:r>
        <w:rPr>
          <w:rFonts w:hint="default"/>
        </w:rPr>
        <w:t>纯日度调仓策略</w:t>
      </w:r>
      <w:r>
        <w:rPr>
          <w:rFonts w:hint="default"/>
        </w:rPr>
        <w:t>——不择股，只根据情绪调整市场等权组合的仓位。</w:t>
      </w:r>
    </w:p>
    <w:p w14:paraId="24582AB2">
      <w:pPr>
        <w:rPr>
          <w:rFonts w:hint="default"/>
        </w:rPr>
      </w:pPr>
      <w:r>
        <w:rPr>
          <w:rFonts w:hint="default"/>
        </w:rPr>
        <w:t>全样本期（2022-2026）年化收益11.50%，夏普0.459，最大回撤-33.09%。</w:t>
      </w:r>
    </w:p>
    <w:p w14:paraId="7C202638">
      <w:pPr>
        <w:rPr>
          <w:rFonts w:hint="default"/>
        </w:rPr>
      </w:pPr>
      <w:r>
        <w:rPr>
          <w:rFonts w:hint="eastAsia"/>
          <w:lang w:val="en-US" w:eastAsia="zh-CN"/>
        </w:rPr>
        <w:t>自特朗普任期</w:t>
      </w:r>
      <w:r>
        <w:rPr>
          <w:rFonts w:hint="default"/>
        </w:rPr>
        <w:t>2025年单独看</w:t>
      </w:r>
      <w:r>
        <w:rPr>
          <w:rFonts w:hint="default"/>
        </w:rPr>
        <w:t>：年化收益高达</w:t>
      </w:r>
      <w:r>
        <w:rPr>
          <w:rFonts w:hint="default"/>
        </w:rPr>
        <w:t>52.43%</w:t>
      </w:r>
      <w:r>
        <w:rPr>
          <w:rFonts w:hint="default"/>
        </w:rPr>
        <w:t>，夏普</w:t>
      </w:r>
      <w:r>
        <w:rPr>
          <w:rFonts w:hint="default"/>
        </w:rPr>
        <w:t>2.572</w:t>
      </w:r>
      <w:r>
        <w:rPr>
          <w:rFonts w:hint="default"/>
        </w:rPr>
        <w:t>，最大回撤仅-12.82%，12个月中10个月正收益，胜率83.3%。</w:t>
      </w:r>
    </w:p>
    <w:p w14:paraId="382232D4">
      <w:pPr>
        <w:rPr>
          <w:rFonts w:hint="default"/>
          <w:lang w:val="en-US"/>
        </w:rPr>
      </w:pPr>
      <w:r>
        <w:rPr>
          <w:rFonts w:hint="eastAsia"/>
          <w:lang w:val="en-US" w:eastAsia="zh-CN"/>
        </w:rPr>
        <w:t>中国三因子</w:t>
      </w:r>
      <w:r>
        <w:rPr>
          <w:rFonts w:hint="default"/>
        </w:rPr>
        <w:t>归因显示：2025年月度Alpha </w:t>
      </w:r>
      <w:r>
        <w:rPr>
          <w:rFonts w:hint="default"/>
        </w:rPr>
        <w:t>2.68%</w:t>
      </w:r>
      <w:r>
        <w:rPr>
          <w:rFonts w:hint="default"/>
        </w:rPr>
        <w:t>，t=4.009，高度显著；市场Beta只有0.28，与市场低相关；SMB Beta 1.17，小市值倾向明显。</w:t>
      </w:r>
    </w:p>
    <w:p w14:paraId="27A3743B">
      <w:r>
        <w:pict>
          <v:rect id="_x0000_i1030" o:spt="1" style="height:1.5pt;width:432pt;" fillcolor="#A0A0A0" filled="t" stroked="f" coordsize="21600,21600" o:hr="t" o:hrstd="t" o:hralign="center">
            <v:path/>
            <v:fill on="t" focussize="0,0"/>
            <v:stroke on="f"/>
            <v:imagedata o:title=""/>
            <o:lock v:ext="edit"/>
            <w10:wrap type="none"/>
            <w10:anchorlock/>
          </v:rect>
        </w:pict>
      </w:r>
    </w:p>
    <w:p w14:paraId="44FDC4C5">
      <w:pPr>
        <w:rPr>
          <w:rFonts w:hint="default"/>
        </w:rPr>
      </w:pPr>
      <w:r>
        <w:rPr>
          <w:rFonts w:hint="default"/>
        </w:rPr>
        <w:t>【第7页：结论与展望】—— 1分钟</w:t>
      </w:r>
    </w:p>
    <w:p w14:paraId="5A672C20">
      <w:pPr>
        <w:rPr>
          <w:rFonts w:hint="default"/>
          <w:lang w:val="en-US"/>
        </w:rPr>
      </w:pPr>
      <w:r>
        <w:rPr>
          <w:rFonts w:hint="default"/>
        </w:rPr>
        <w:t>总结一下我们的核心结论：</w:t>
      </w:r>
    </w:p>
    <w:p w14:paraId="2D83CD19">
      <w:pPr>
        <w:rPr>
          <w:rFonts w:hint="default"/>
        </w:rPr>
      </w:pPr>
      <w:r>
        <w:rPr>
          <w:rFonts w:hint="default"/>
        </w:rPr>
        <w:t>价值+反转组合策略有效</w:t>
      </w:r>
      <w:r>
        <w:rPr>
          <w:rFonts w:hint="default"/>
        </w:rPr>
        <w:t>：年化收益21.89%，夏普0.58，CH3模型下月度Alpha 1.08%（t=3.85），证明了两者协同能产生显著超额收益。</w:t>
      </w:r>
    </w:p>
    <w:p w14:paraId="5C011102">
      <w:pPr>
        <w:rPr>
          <w:rFonts w:hint="default"/>
        </w:rPr>
      </w:pPr>
      <w:r>
        <w:rPr>
          <w:rFonts w:hint="default"/>
        </w:rPr>
        <w:t>情绪指标潜力巨大</w:t>
      </w:r>
      <w:r>
        <w:rPr>
          <w:rFonts w:hint="default"/>
        </w:rPr>
        <w:t>：2025年纯情绪策略年化52.43%，夏普2.57，Alpha高度显著，且与市场低相关，是传统因子的有效补充。</w:t>
      </w:r>
    </w:p>
    <w:p w14:paraId="41F7F744">
      <w:pPr>
        <w:rPr>
          <w:rFonts w:hint="default"/>
          <w:lang w:val="en-US"/>
        </w:rPr>
      </w:pPr>
      <w:r>
        <w:rPr>
          <w:rFonts w:hint="default"/>
        </w:rPr>
        <w:t>仍需改进</w:t>
      </w:r>
      <w:r>
        <w:rPr>
          <w:rFonts w:hint="default"/>
        </w:rPr>
        <w:t>：组合策略回撤大、风格暴露集中，需要做行业中性化和样本外验证。</w:t>
      </w:r>
    </w:p>
    <w:p w14:paraId="0651C3A1">
      <w:pPr>
        <w:rPr>
          <w:rFonts w:hint="default"/>
          <w:lang w:val="en-US"/>
        </w:rPr>
      </w:pPr>
      <w:r>
        <w:rPr>
          <w:rFonts w:hint="default"/>
        </w:rPr>
        <w:t>下一步，我们</w:t>
      </w:r>
      <w:r>
        <w:rPr>
          <w:rFonts w:hint="eastAsia"/>
          <w:lang w:val="en-US" w:eastAsia="zh-CN"/>
        </w:rPr>
        <w:t>希望</w:t>
      </w:r>
      <w:bookmarkStart w:id="0" w:name="_GoBack"/>
      <w:bookmarkEnd w:id="0"/>
      <w:r>
        <w:rPr>
          <w:rFonts w:hint="default"/>
        </w:rPr>
        <w:t>情绪指标正式纳入组合策略，测试三因子（价值+反转+情绪）的混频模型；</w:t>
      </w:r>
      <w:r>
        <w:rPr>
          <w:rFonts w:hint="eastAsia"/>
          <w:lang w:val="en-US" w:eastAsia="zh-CN"/>
        </w:rPr>
        <w:t>尝试</w:t>
      </w:r>
      <w:r>
        <w:rPr>
          <w:rFonts w:hint="default"/>
        </w:rPr>
        <w:t>引入风险模型和交易成本，让策略更贴近实盘。</w:t>
      </w:r>
    </w:p>
    <w:p w14:paraId="24FF92CC">
      <w:pPr>
        <w:rPr>
          <w:rFonts w:hint="default"/>
          <w:lang w:val="en-US"/>
        </w:rPr>
      </w:pPr>
      <w:r>
        <w:rPr>
          <w:rFonts w:hint="default"/>
        </w:rPr>
        <w:t>最后，我们希望能得到老师的指导，特别是关于：因子构造是否有更优组合？情绪因子</w:t>
      </w:r>
      <w:r>
        <w:rPr>
          <w:rFonts w:hint="eastAsia"/>
          <w:lang w:val="en-US" w:eastAsia="zh-CN"/>
        </w:rPr>
        <w:t>是否可行，</w:t>
      </w:r>
      <w:r>
        <w:rPr>
          <w:rFonts w:hint="default"/>
        </w:rPr>
        <w:t>如何混频？以及如何分解选股Alpha和择时Alpha？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var(--dsw-font-markdown-h3)">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ar(--dsw-font-markdown-bas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8C96AC"/>
    <w:multiLevelType w:val="singleLevel"/>
    <w:tmpl w:val="4F8C96AC"/>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8B805"/>
    <w:rsid w:val="1F74302A"/>
    <w:rsid w:val="4C7FDEBD"/>
    <w:rsid w:val="7FE8B805"/>
    <w:rsid w:val="CEFFC077"/>
    <w:rsid w:val="FDDB9D7A"/>
    <w:rsid w:val="FFDFB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2026-04-13T20:38:00Z</dcterms:created>
  <dc:creator>俟乇</dc:creator>
  <cp:lastModifiedBy>俟乇</cp:lastModifiedBy>
  <dcterms:modified xsi:type="dcterms:W3CDTF">2026-04-14T00:11:08Z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EB7A4D3AB1EABB0FB6E3DC69E57D45AA_41</vt:lpwstr>
  </property>
</Properties>
</file>