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A2582">
      <w:pPr>
        <w:pStyle w:val="31"/>
        <w:jc w:val="center"/>
      </w:pPr>
      <w:bookmarkStart w:id="0" w:name="_GoBack"/>
      <w:r>
        <w:rPr>
          <w:rFonts w:ascii="黑体" w:hAnsi="黑体" w:eastAsia="黑体"/>
          <w:b/>
          <w:sz w:val="36"/>
        </w:rPr>
        <w:t>月度组合策略研究报告</w:t>
      </w:r>
    </w:p>
    <w:p w14:paraId="60B347AA">
      <w:pPr>
        <w:jc w:val="center"/>
      </w:pPr>
      <w:r>
        <w:rPr>
          <w:rFonts w:ascii="黑体" w:hAnsi="黑体" w:eastAsia="黑体"/>
          <w:b w:val="0"/>
          <w:sz w:val="28"/>
        </w:rPr>
        <w:t>价值因子(40%) + 反转因子(60%)</w:t>
      </w:r>
    </w:p>
    <w:p w14:paraId="6350845B"/>
    <w:p w14:paraId="3384F9B2">
      <w:pPr>
        <w:pStyle w:val="3"/>
      </w:pPr>
      <w:r>
        <w:rPr>
          <w:rFonts w:ascii="黑体" w:hAnsi="黑体" w:eastAsia="黑体"/>
          <w:b/>
          <w:sz w:val="32"/>
        </w:rPr>
        <w:t>1. 研究问题</w:t>
      </w:r>
    </w:p>
    <w:p w14:paraId="55C3E3DC">
      <w:pPr>
        <w:pStyle w:val="4"/>
      </w:pPr>
      <w:r>
        <w:rPr>
          <w:rFonts w:ascii="黑体" w:hAnsi="黑体" w:eastAsia="黑体"/>
          <w:b/>
          <w:sz w:val="28"/>
        </w:rPr>
        <w:t>1.1 研究目标</w:t>
      </w:r>
    </w:p>
    <w:p w14:paraId="7687CF87">
      <w:r>
        <w:rPr>
          <w:rFonts w:ascii="宋体" w:hAnsi="宋体" w:eastAsia="宋体"/>
          <w:b w:val="0"/>
          <w:sz w:val="24"/>
        </w:rPr>
        <w:t>本研究旨在探索反转效应与价值投资效应的协同作用。具体而言，我们将短期反转因子（K=6个月）与价值因子（EP，盈利收益率）相结合，构建月度组合策略，验证多因子融合是否能产生"1+1&gt;2"的超额收益。</w:t>
      </w:r>
    </w:p>
    <w:p w14:paraId="299642DA">
      <w:pPr>
        <w:pStyle w:val="4"/>
      </w:pPr>
      <w:r>
        <w:rPr>
          <w:rFonts w:ascii="黑体" w:hAnsi="黑体" w:eastAsia="黑体"/>
          <w:b/>
          <w:sz w:val="28"/>
        </w:rPr>
        <w:t>1.2 研究意义</w:t>
      </w:r>
    </w:p>
    <w:p w14:paraId="78A7E0CC">
      <w:r>
        <w:rPr>
          <w:rFonts w:ascii="宋体" w:hAnsi="宋体" w:eastAsia="宋体"/>
          <w:b w:val="0"/>
          <w:sz w:val="24"/>
        </w:rPr>
        <w:t>学术意义：传统金融学认为市场有效性，异象研究试图发现定价偏差。多因子模型中，反转效应和价值效应是经典异象，但两者结合的效果尚未被充分研究。</w:t>
      </w:r>
    </w:p>
    <w:p w14:paraId="4C41B280">
      <w:r>
        <w:rPr>
          <w:rFonts w:ascii="宋体" w:hAnsi="宋体" w:eastAsia="宋体"/>
          <w:b w:val="0"/>
          <w:sz w:val="24"/>
        </w:rPr>
        <w:t>实践价值：如果组合策略能产生显著Alpha，可为量化投资提供策略依据，特别是在A股市场的应用。</w:t>
      </w:r>
    </w:p>
    <w:p w14:paraId="67DFBB86">
      <w:pPr>
        <w:pStyle w:val="4"/>
      </w:pPr>
      <w:r>
        <w:rPr>
          <w:rFonts w:ascii="黑体" w:hAnsi="黑体" w:eastAsia="黑体"/>
          <w:b/>
          <w:sz w:val="28"/>
        </w:rPr>
        <w:t>1.3 研究假设</w:t>
      </w:r>
    </w:p>
    <w:p w14:paraId="2A42086C">
      <w:r>
        <w:rPr>
          <w:rFonts w:ascii="宋体" w:hAnsi="宋体" w:eastAsia="宋体"/>
          <w:b w:val="0"/>
          <w:sz w:val="24"/>
        </w:rPr>
        <w:t>假设1：反转因子捕捉短期超跌反弹，价值因子提供安全边际，两者结合应优于单一策略</w:t>
      </w:r>
    </w:p>
    <w:p w14:paraId="644673E5">
      <w:r>
        <w:rPr>
          <w:rFonts w:ascii="宋体" w:hAnsi="宋体" w:eastAsia="宋体"/>
          <w:b w:val="0"/>
          <w:sz w:val="24"/>
        </w:rPr>
        <w:t>假设2：组合策略应具有统计显著的Alpha（年化&gt;6%，t&gt;2）</w:t>
      </w:r>
    </w:p>
    <w:p w14:paraId="58040A0D">
      <w:r>
        <w:rPr>
          <w:rFonts w:ascii="宋体" w:hAnsi="宋体" w:eastAsia="宋体"/>
          <w:b w:val="0"/>
          <w:sz w:val="24"/>
        </w:rPr>
        <w:t>假设3：组合策略的夏普比率应高于纯反转或纯价值策略</w:t>
      </w:r>
    </w:p>
    <w:p w14:paraId="6543CF8D">
      <w:pPr>
        <w:pStyle w:val="3"/>
      </w:pPr>
      <w:r>
        <w:rPr>
          <w:rFonts w:ascii="黑体" w:hAnsi="黑体" w:eastAsia="黑体"/>
          <w:b/>
          <w:sz w:val="32"/>
        </w:rPr>
        <w:t>2. 当前进展</w:t>
      </w:r>
    </w:p>
    <w:p w14:paraId="7BB116D4">
      <w:pPr>
        <w:pStyle w:val="4"/>
      </w:pPr>
      <w:r>
        <w:rPr>
          <w:rFonts w:ascii="黑体" w:hAnsi="黑体" w:eastAsia="黑体"/>
          <w:b/>
          <w:sz w:val="28"/>
        </w:rPr>
        <w:t>2.1 数据说明</w:t>
      </w:r>
    </w:p>
    <w:p w14:paraId="1F1F52A2">
      <w:r>
        <w:rPr>
          <w:rFonts w:ascii="宋体" w:hAnsi="宋体" w:eastAsia="宋体"/>
          <w:b w:val="0"/>
          <w:sz w:val="24"/>
        </w:rPr>
        <w:t>数据来源：CSMAR（国泰安）数据库</w:t>
      </w:r>
    </w:p>
    <w:p w14:paraId="4E2C0DFA">
      <w:r>
        <w:t>样本期间：2006年2月至2025年12月（239个月）</w:t>
      </w:r>
    </w:p>
    <w:p w14:paraId="7CF3E76C">
      <w:r>
        <w:rPr>
          <w:rFonts w:ascii="宋体" w:hAnsi="宋体" w:eastAsia="宋体"/>
          <w:b w:val="0"/>
          <w:sz w:val="24"/>
        </w:rPr>
        <w:t>样本数量：A股全市场月度收益率数据</w:t>
      </w:r>
    </w:p>
    <w:p w14:paraId="54F8ED2A">
      <w:r>
        <w:rPr>
          <w:rFonts w:ascii="宋体" w:hAnsi="宋体" w:eastAsia="宋体"/>
          <w:b w:val="0"/>
          <w:sz w:val="24"/>
        </w:rPr>
        <w:t>选股池：A股全市场（剔除ST、停牌等股票）</w:t>
      </w:r>
    </w:p>
    <w:p w14:paraId="687C5339">
      <w:pPr>
        <w:pStyle w:val="4"/>
      </w:pPr>
      <w:r>
        <w:rPr>
          <w:rFonts w:ascii="黑体" w:hAnsi="黑体" w:eastAsia="黑体"/>
          <w:b/>
          <w:sz w:val="28"/>
        </w:rPr>
        <w:t>2.2 因子构造</w:t>
      </w:r>
    </w:p>
    <w:p w14:paraId="2F9553FC">
      <w:pPr>
        <w:pStyle w:val="5"/>
      </w:pPr>
      <w:r>
        <w:rPr>
          <w:rFonts w:ascii="黑体" w:hAnsi="黑体" w:eastAsia="黑体"/>
          <w:b/>
          <w:sz w:val="24"/>
        </w:rPr>
        <w:t>2.2.1 因子选择原因</w:t>
      </w:r>
    </w:p>
    <w:p w14:paraId="72C25381">
      <w:r>
        <w:rPr>
          <w:rFonts w:ascii="宋体" w:hAnsi="宋体" w:eastAsia="宋体"/>
          <w:b/>
          <w:sz w:val="24"/>
        </w:rPr>
        <w:t>在构建组合策略之前，我们分别测试了纯反转策略和纯价值策略：</w:t>
      </w:r>
    </w:p>
    <w:p w14:paraId="69B417CC">
      <w:r>
        <w:rPr>
          <w:rFonts w:ascii="宋体" w:hAnsi="宋体" w:eastAsia="宋体"/>
          <w:b w:val="0"/>
          <w:sz w:val="24"/>
        </w:rPr>
        <w:t>• 纯反转策略（K=6）：年化收益约16-21%，但Alpha不显著（t&lt;2），R²高达85%，收益主要来自市场暴露和小市值风格</w:t>
      </w:r>
    </w:p>
    <w:p w14:paraId="4D84FAB7">
      <w:r>
        <w:rPr>
          <w:rFonts w:ascii="宋体" w:hAnsi="宋体" w:eastAsia="宋体"/>
          <w:b w:val="0"/>
          <w:sz w:val="24"/>
        </w:rPr>
        <w:t>• 纯价值策略（EP=80%, DP=20%）：年化收益10.81%，Alpha显著（t=2.26），但收益偏低</w:t>
      </w:r>
    </w:p>
    <w:p w14:paraId="6E6B3304">
      <w:r>
        <w:rPr>
          <w:rFonts w:ascii="宋体" w:hAnsi="宋体" w:eastAsia="宋体"/>
          <w:b w:val="0"/>
          <w:sz w:val="24"/>
        </w:rPr>
        <w:t>• 结论：单一策略各有优劣，组合可能产生协同效应</w:t>
      </w:r>
    </w:p>
    <w:p w14:paraId="10F498C5">
      <w:pPr>
        <w:pStyle w:val="5"/>
      </w:pPr>
      <w:r>
        <w:rPr>
          <w:rFonts w:ascii="黑体" w:hAnsi="黑体" w:eastAsia="黑体"/>
          <w:b/>
          <w:sz w:val="24"/>
        </w:rPr>
        <w:t>2.2.2 价值因子构造</w:t>
      </w:r>
    </w:p>
    <w:p w14:paraId="79AE4485">
      <w:r>
        <w:rPr>
          <w:rFonts w:ascii="宋体" w:hAnsi="宋体" w:eastAsia="宋体"/>
          <w:b/>
          <w:sz w:val="24"/>
        </w:rPr>
        <w:t>价值因子采用复合价值指标，经过参数调优确定最优权重：</w:t>
      </w:r>
    </w:p>
    <w:p w14:paraId="70D4E792">
      <w:r>
        <w:rPr>
          <w:rFonts w:ascii="宋体" w:hAnsi="宋体" w:eastAsia="宋体"/>
          <w:b/>
          <w:sz w:val="24"/>
        </w:rPr>
        <w:t>参数调优过程（网格搜索242种组合）：</w:t>
      </w:r>
    </w:p>
    <w:p w14:paraId="513DBDDB">
      <w:r>
        <w:rPr>
          <w:rFonts w:ascii="宋体" w:hAnsi="宋体" w:eastAsia="宋体"/>
          <w:b w:val="0"/>
          <w:sz w:val="24"/>
        </w:rPr>
        <w:t>• 测试范围：EP(0-100%), BP(0-100%), SP(0-100%), DP(0-100%)</w:t>
      </w:r>
    </w:p>
    <w:p w14:paraId="233BD5D0">
      <w:r>
        <w:rPr>
          <w:rFonts w:ascii="宋体" w:hAnsi="宋体" w:eastAsia="宋体"/>
          <w:b w:val="0"/>
          <w:sz w:val="24"/>
        </w:rPr>
        <w:t>• 优化目标：最大化夏普比率，同时保证Alpha显著性</w:t>
      </w:r>
    </w:p>
    <w:p w14:paraId="7207AE43">
      <w:r>
        <w:rPr>
          <w:rFonts w:ascii="宋体" w:hAnsi="宋体" w:eastAsia="宋体"/>
          <w:b w:val="0"/>
          <w:sz w:val="24"/>
        </w:rPr>
        <w:t>• 稳健性检验：Bootstrap 1000次，要求95%置信区间不包含0</w:t>
      </w:r>
    </w:p>
    <w:p w14:paraId="1715C1C6">
      <w:r>
        <w:rPr>
          <w:rFonts w:ascii="宋体" w:hAnsi="宋体" w:eastAsia="宋体"/>
          <w:b/>
          <w:sz w:val="24"/>
        </w:rPr>
        <w:t>最优权重配置：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4E42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33931049">
            <w:pPr>
              <w:spacing w:after="0" w:line="240" w:lineRule="auto"/>
            </w:pPr>
            <w:r>
              <w:t>因子</w:t>
            </w:r>
          </w:p>
        </w:tc>
        <w:tc>
          <w:tcPr>
            <w:tcW w:w="2880" w:type="dxa"/>
          </w:tcPr>
          <w:p w14:paraId="384E991B">
            <w:pPr>
              <w:spacing w:after="0" w:line="240" w:lineRule="auto"/>
            </w:pPr>
            <w:r>
              <w:t>权重</w:t>
            </w:r>
          </w:p>
        </w:tc>
        <w:tc>
          <w:tcPr>
            <w:tcW w:w="2880" w:type="dxa"/>
          </w:tcPr>
          <w:p w14:paraId="02C71B88">
            <w:pPr>
              <w:spacing w:after="0" w:line="240" w:lineRule="auto"/>
            </w:pPr>
            <w:r>
              <w:t>说明</w:t>
            </w:r>
          </w:p>
        </w:tc>
      </w:tr>
      <w:tr w14:paraId="078DEC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370AFFB2">
            <w:pPr>
              <w:spacing w:after="0" w:line="240" w:lineRule="auto"/>
            </w:pPr>
            <w:r>
              <w:t>EP（盈利收益率）</w:t>
            </w:r>
          </w:p>
        </w:tc>
        <w:tc>
          <w:tcPr>
            <w:tcW w:w="2880" w:type="dxa"/>
          </w:tcPr>
          <w:p w14:paraId="59A4C92B">
            <w:pPr>
              <w:spacing w:after="0" w:line="240" w:lineRule="auto"/>
            </w:pPr>
            <w:r>
              <w:t>80%</w:t>
            </w:r>
          </w:p>
        </w:tc>
        <w:tc>
          <w:tcPr>
            <w:tcW w:w="2880" w:type="dxa"/>
          </w:tcPr>
          <w:p w14:paraId="69A11698">
            <w:pPr>
              <w:spacing w:after="0" w:line="240" w:lineRule="auto"/>
            </w:pPr>
            <w:r>
              <w:t>核心价值指标，净利润/总市值</w:t>
            </w:r>
          </w:p>
        </w:tc>
      </w:tr>
      <w:tr w14:paraId="76C4AE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7D379DBC">
            <w:pPr>
              <w:spacing w:after="0" w:line="240" w:lineRule="auto"/>
            </w:pPr>
            <w:r>
              <w:t>DP（股息率）</w:t>
            </w:r>
          </w:p>
        </w:tc>
        <w:tc>
          <w:tcPr>
            <w:tcW w:w="2880" w:type="dxa"/>
          </w:tcPr>
          <w:p w14:paraId="1AC10B2D">
            <w:pPr>
              <w:spacing w:after="0" w:line="240" w:lineRule="auto"/>
            </w:pPr>
            <w:r>
              <w:t>20%</w:t>
            </w:r>
          </w:p>
        </w:tc>
        <w:tc>
          <w:tcPr>
            <w:tcW w:w="2880" w:type="dxa"/>
          </w:tcPr>
          <w:p w14:paraId="10228730">
            <w:pPr>
              <w:spacing w:after="0" w:line="240" w:lineRule="auto"/>
            </w:pPr>
            <w:r>
              <w:t>质量指标，提供稳健性补充</w:t>
            </w:r>
          </w:p>
        </w:tc>
      </w:tr>
      <w:tr w14:paraId="27E4B9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F47044F">
            <w:pPr>
              <w:spacing w:after="0" w:line="240" w:lineRule="auto"/>
            </w:pPr>
            <w:r>
              <w:t>BP（账面市值比）</w:t>
            </w:r>
          </w:p>
        </w:tc>
        <w:tc>
          <w:tcPr>
            <w:tcW w:w="2880" w:type="dxa"/>
          </w:tcPr>
          <w:p w14:paraId="7D6A9558">
            <w:pPr>
              <w:spacing w:after="0" w:line="240" w:lineRule="auto"/>
            </w:pPr>
            <w:r>
              <w:t>0%</w:t>
            </w:r>
          </w:p>
        </w:tc>
        <w:tc>
          <w:tcPr>
            <w:tcW w:w="2880" w:type="dxa"/>
          </w:tcPr>
          <w:p w14:paraId="75352E85">
            <w:pPr>
              <w:spacing w:after="0" w:line="240" w:lineRule="auto"/>
            </w:pPr>
            <w:r>
              <w:t>与EP高度相关，边际贡献低</w:t>
            </w:r>
          </w:p>
        </w:tc>
      </w:tr>
      <w:tr w14:paraId="4B3B25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55738B7B">
            <w:pPr>
              <w:spacing w:after="0" w:line="240" w:lineRule="auto"/>
            </w:pPr>
            <w:r>
              <w:t>SP（营收市值比）</w:t>
            </w:r>
          </w:p>
        </w:tc>
        <w:tc>
          <w:tcPr>
            <w:tcW w:w="2880" w:type="dxa"/>
          </w:tcPr>
          <w:p w14:paraId="7057EA39">
            <w:pPr>
              <w:spacing w:after="0" w:line="240" w:lineRule="auto"/>
            </w:pPr>
            <w:r>
              <w:t>0%</w:t>
            </w:r>
          </w:p>
        </w:tc>
        <w:tc>
          <w:tcPr>
            <w:tcW w:w="2880" w:type="dxa"/>
          </w:tcPr>
          <w:p w14:paraId="52ECF339">
            <w:pPr>
              <w:spacing w:after="0" w:line="240" w:lineRule="auto"/>
            </w:pPr>
            <w:r>
              <w:t>与EP高度相关，边际贡献低</w:t>
            </w:r>
          </w:p>
        </w:tc>
      </w:tr>
    </w:tbl>
    <w:p w14:paraId="220E19BA">
      <w:r>
        <w:rPr>
          <w:rFonts w:ascii="宋体" w:hAnsi="宋体" w:eastAsia="宋体"/>
          <w:b/>
          <w:sz w:val="24"/>
        </w:rPr>
        <w:t>调优结果：</w:t>
      </w:r>
    </w:p>
    <w:p w14:paraId="5E837393">
      <w:r>
        <w:rPr>
          <w:rFonts w:ascii="宋体" w:hAnsi="宋体" w:eastAsia="宋体"/>
          <w:b w:val="0"/>
          <w:sz w:val="24"/>
        </w:rPr>
        <w:t>• 夏普比率：0.431（优化前0.332，提升30%）</w:t>
      </w:r>
    </w:p>
    <w:p w14:paraId="712C756F">
      <w:r>
        <w:rPr>
          <w:rFonts w:ascii="宋体" w:hAnsi="宋体" w:eastAsia="宋体"/>
          <w:b w:val="0"/>
          <w:sz w:val="24"/>
        </w:rPr>
        <w:t>• Alpha显著性：从边际显著(t=1.81)提升至显著(t=2.26)</w:t>
      </w:r>
    </w:p>
    <w:p w14:paraId="53EE0AE5">
      <w:r>
        <w:rPr>
          <w:rFonts w:ascii="宋体" w:hAnsi="宋体" w:eastAsia="宋体"/>
          <w:b w:val="0"/>
          <w:sz w:val="24"/>
        </w:rPr>
        <w:t>• 核心发现：盈利收益率(EP)是价值策略的核心驱动力</w:t>
      </w:r>
    </w:p>
    <w:p w14:paraId="72936C36">
      <w:pPr>
        <w:pStyle w:val="5"/>
      </w:pPr>
      <w:r>
        <w:rPr>
          <w:rFonts w:ascii="黑体" w:hAnsi="黑体" w:eastAsia="黑体"/>
          <w:b/>
          <w:sz w:val="24"/>
        </w:rPr>
        <w:t>2.2.3 反转因子构造</w:t>
      </w:r>
    </w:p>
    <w:p w14:paraId="2D38512B">
      <w:r>
        <w:rPr>
          <w:rFonts w:ascii="宋体" w:hAnsi="宋体" w:eastAsia="宋体"/>
          <w:b w:val="0"/>
          <w:sz w:val="24"/>
        </w:rPr>
        <w:t>• 形成期：K=6个月（中期反转效应最强）</w:t>
      </w:r>
    </w:p>
    <w:p w14:paraId="40D8E4D0">
      <w:r>
        <w:rPr>
          <w:rFonts w:ascii="宋体" w:hAnsi="宋体" w:eastAsia="宋体"/>
          <w:b w:val="0"/>
          <w:sz w:val="24"/>
        </w:rPr>
        <w:t>• 信号计算：过去6个月累积收益率的负值</w:t>
      </w:r>
    </w:p>
    <w:p w14:paraId="356C3E3F">
      <w:r>
        <w:rPr>
          <w:rFonts w:ascii="宋体" w:hAnsi="宋体" w:eastAsia="宋体"/>
          <w:b w:val="0"/>
          <w:sz w:val="24"/>
        </w:rPr>
        <w:t>• 标准化：Winsorization缩尾处理（提升稳健性）</w:t>
      </w:r>
    </w:p>
    <w:p w14:paraId="3BA7E646">
      <w:pPr>
        <w:pStyle w:val="5"/>
      </w:pPr>
      <w:r>
        <w:rPr>
          <w:rFonts w:ascii="黑体" w:hAnsi="黑体" w:eastAsia="黑体"/>
          <w:b/>
          <w:sz w:val="24"/>
        </w:rPr>
        <w:t>2.2.4 合成得分与选股规则</w:t>
      </w:r>
    </w:p>
    <w:p w14:paraId="4523F272">
      <w:r>
        <w:rPr>
          <w:rFonts w:ascii="宋体" w:hAnsi="宋体" w:eastAsia="宋体"/>
          <w:b/>
          <w:sz w:val="24"/>
        </w:rPr>
        <w:t>合成得分公式：</w:t>
      </w:r>
    </w:p>
    <w:p w14:paraId="54C60FA7">
      <w:r>
        <w:rPr>
          <w:rFonts w:ascii="宋体" w:hAnsi="宋体" w:eastAsia="宋体"/>
          <w:b/>
          <w:color w:val="0000FF"/>
          <w:sz w:val="24"/>
        </w:rPr>
        <w:t>Score = 0.4 × EP价值因子_z + 0.6 × 反转因子_z</w:t>
      </w:r>
    </w:p>
    <w:p w14:paraId="03B34786">
      <w:r>
        <w:rPr>
          <w:rFonts w:ascii="宋体" w:hAnsi="宋体" w:eastAsia="宋体"/>
          <w:b/>
          <w:sz w:val="24"/>
        </w:rPr>
        <w:t>选股规则：</w:t>
      </w:r>
    </w:p>
    <w:p w14:paraId="288594C4">
      <w:r>
        <w:rPr>
          <w:rFonts w:ascii="宋体" w:hAnsi="宋体" w:eastAsia="宋体"/>
          <w:b w:val="0"/>
          <w:sz w:val="24"/>
        </w:rPr>
        <w:t>• 选取得分最高的100只股票</w:t>
      </w:r>
    </w:p>
    <w:p w14:paraId="12E91BEA">
      <w:r>
        <w:rPr>
          <w:rFonts w:ascii="宋体" w:hAnsi="宋体" w:eastAsia="宋体"/>
          <w:b w:val="0"/>
          <w:sz w:val="24"/>
        </w:rPr>
        <w:t>• 等权配置（每只权重1%）</w:t>
      </w:r>
    </w:p>
    <w:p w14:paraId="57DF6B2C">
      <w:r>
        <w:rPr>
          <w:rFonts w:ascii="宋体" w:hAnsi="宋体" w:eastAsia="宋体"/>
          <w:b w:val="0"/>
          <w:sz w:val="24"/>
        </w:rPr>
        <w:t>• 月度调仓（每月第1个交易日）</w:t>
      </w:r>
    </w:p>
    <w:p w14:paraId="285A75AA">
      <w:r>
        <w:rPr>
          <w:rFonts w:ascii="宋体" w:hAnsi="宋体" w:eastAsia="宋体"/>
          <w:b w:val="0"/>
          <w:sz w:val="24"/>
        </w:rPr>
        <w:t>• 权重分配：价值因子40% + 反转因子60%</w:t>
      </w:r>
    </w:p>
    <w:p w14:paraId="0D4725E0">
      <w:pPr>
        <w:pStyle w:val="4"/>
      </w:pPr>
      <w:r>
        <w:rPr>
          <w:rFonts w:ascii="黑体" w:hAnsi="黑体" w:eastAsia="黑体"/>
          <w:b/>
          <w:sz w:val="28"/>
        </w:rPr>
        <w:t>2.3 回测结果</w:t>
      </w:r>
    </w:p>
    <w:p w14:paraId="33CC761C">
      <w:r>
        <w:rPr>
          <w:rFonts w:ascii="宋体" w:hAnsi="宋体" w:eastAsia="宋体"/>
          <w:b/>
          <w:sz w:val="24"/>
        </w:rPr>
        <w:t>绩效指标：</w:t>
      </w:r>
    </w:p>
    <w:p w14:paraId="0FA3D5DC">
      <w:r>
        <w:t>• 年化收益率：21.89%</w:t>
      </w:r>
    </w:p>
    <w:p w14:paraId="0B6A23AE">
      <w:r>
        <w:t>• 年化波动率：37.74%</w:t>
      </w:r>
    </w:p>
    <w:p w14:paraId="552469F3">
      <w:r>
        <w:t>• 夏普比率：0.580</w:t>
      </w:r>
    </w:p>
    <w:p w14:paraId="5C9A9AE2">
      <w:r>
        <w:t>• 最大回撤：-68.20%</w:t>
      </w:r>
    </w:p>
    <w:p w14:paraId="674265D0">
      <w:r>
        <w:t>• 卡玛比率：0.321</w:t>
      </w:r>
    </w:p>
    <w:p w14:paraId="315EA65C">
      <w:r>
        <w:rPr>
          <w:rFonts w:ascii="宋体" w:hAnsi="宋体" w:eastAsia="宋体"/>
          <w:b/>
          <w:sz w:val="24"/>
        </w:rPr>
        <w:t>年度收益表现：</w:t>
      </w:r>
    </w:p>
    <w:p w14:paraId="19BDB393">
      <w:r>
        <w:rPr>
          <w:rFonts w:ascii="宋体" w:hAnsi="宋体" w:eastAsia="宋体"/>
          <w:b w:val="0"/>
          <w:sz w:val="24"/>
        </w:rPr>
        <w:t>表现最好的年份：2007年(+112.49%)、2009年(+97.80%)、2015年(+63.69%)</w:t>
      </w:r>
    </w:p>
    <w:p w14:paraId="1B04DA45">
      <w:r>
        <w:rPr>
          <w:rFonts w:ascii="宋体" w:hAnsi="宋体" w:eastAsia="宋体"/>
          <w:b w:val="0"/>
          <w:sz w:val="24"/>
        </w:rPr>
        <w:t>表现较差的年份：2008年(-31.10%)、2011年(-9.28%)、2018年(-16.96%)</w:t>
      </w:r>
    </w:p>
    <w:p w14:paraId="73306869">
      <w:pPr>
        <w:pStyle w:val="4"/>
      </w:pPr>
      <w:r>
        <w:rPr>
          <w:rFonts w:ascii="黑体" w:hAnsi="黑体" w:eastAsia="黑体"/>
          <w:b/>
          <w:sz w:val="28"/>
        </w:rPr>
        <w:t>2.4 FF3因子归因分析</w:t>
      </w:r>
    </w:p>
    <w:p w14:paraId="3DC9C499">
      <w:r>
        <w:rPr>
          <w:rFonts w:ascii="宋体" w:hAnsi="宋体" w:eastAsia="宋体"/>
          <w:b w:val="0"/>
          <w:sz w:val="24"/>
        </w:rPr>
        <w:t>回归模型：Rp - Rf = α + β_MKT·MKT + β_SMB·SMB + β_HML·HML + ε</w:t>
      </w:r>
    </w:p>
    <w:p w14:paraId="075FB50F">
      <w:r>
        <w:rPr>
          <w:rFonts w:ascii="宋体" w:hAnsi="宋体" w:eastAsia="宋体"/>
          <w:b/>
          <w:sz w:val="24"/>
        </w:rPr>
        <w:t>归因结果：</w:t>
      </w:r>
    </w:p>
    <w:p w14:paraId="64E407B0">
      <w:r>
        <w:t>• Alpha：1.08%/月（t=3.853，高度显著***）</w:t>
      </w:r>
    </w:p>
    <w:p w14:paraId="68FDB246">
      <w:r>
        <w:t>• MKT Beta：1.037（t=21.411，高度显著***）</w:t>
      </w:r>
    </w:p>
    <w:p w14:paraId="4C990E7E">
      <w:r>
        <w:t>• SMB Beta：0.845（t=9.925，高度显著***）</w:t>
      </w:r>
    </w:p>
    <w:p w14:paraId="44B5F3B5">
      <w:r>
        <w:t>• HML Beta：-0.447（t=-1.814，边际显著*）</w:t>
      </w:r>
    </w:p>
    <w:p w14:paraId="6F15BA96">
      <w:r>
        <w:t>• R²：85.70%（调整后85.52%）</w:t>
      </w:r>
    </w:p>
    <w:p w14:paraId="5132D00F">
      <w:r>
        <w:rPr>
          <w:rFonts w:ascii="宋体" w:hAnsi="宋体" w:eastAsia="宋体"/>
          <w:b w:val="0"/>
          <w:sz w:val="24"/>
        </w:rPr>
        <w:t>• F统计量：214.00（p&lt;0.0001）</w:t>
      </w:r>
    </w:p>
    <w:p w14:paraId="48BD2C46">
      <w:r>
        <w:t>结论：策略具有高度显著的增量Alpha能力，年化Alpha约12.96%（1.08%×12）。</w:t>
      </w:r>
    </w:p>
    <w:p w14:paraId="118DE5A2">
      <w:pPr>
        <w:pStyle w:val="4"/>
      </w:pPr>
      <w:r>
        <w:rPr>
          <w:rFonts w:ascii="黑体" w:hAnsi="黑体" w:eastAsia="黑体"/>
          <w:b/>
          <w:sz w:val="28"/>
        </w:rPr>
        <w:t>2.5 CH3因子归因分析</w:t>
      </w:r>
    </w:p>
    <w:p w14:paraId="162378EE">
      <w:r>
        <w:rPr>
          <w:rFonts w:ascii="宋体" w:hAnsi="宋体" w:eastAsia="宋体"/>
          <w:b w:val="0"/>
          <w:sz w:val="24"/>
        </w:rPr>
        <w:t>使用中国三因子模型（MKT、SMB、VMG），结果与FF3一致：</w:t>
      </w:r>
    </w:p>
    <w:p w14:paraId="3432582A">
      <w:r>
        <w:t>• Alpha：1.08%/月（t=3.853，高度显著***）</w:t>
      </w:r>
    </w:p>
    <w:p w14:paraId="42DB6DCC">
      <w:r>
        <w:t>• VMG Beta：-0.447（与HML等价）</w:t>
      </w:r>
    </w:p>
    <w:p w14:paraId="1646007A">
      <w:r>
        <w:t>• R²：85.70%</w:t>
      </w:r>
    </w:p>
    <w:p w14:paraId="6671FFCC">
      <w:pPr>
        <w:pStyle w:val="3"/>
      </w:pPr>
      <w:r>
        <w:rPr>
          <w:rFonts w:ascii="黑体" w:hAnsi="黑体" w:eastAsia="黑体"/>
          <w:b/>
          <w:sz w:val="32"/>
        </w:rPr>
        <w:t>3. 遇到的问题</w:t>
      </w:r>
    </w:p>
    <w:p w14:paraId="7834EAB7">
      <w:pPr>
        <w:pStyle w:val="4"/>
      </w:pPr>
      <w:r>
        <w:rPr>
          <w:rFonts w:ascii="黑体" w:hAnsi="黑体" w:eastAsia="黑体"/>
          <w:b/>
          <w:sz w:val="28"/>
        </w:rPr>
        <w:t>3.</w:t>
      </w:r>
      <w:r>
        <w:rPr>
          <w:rFonts w:hint="eastAsia" w:ascii="黑体" w:hAnsi="黑体" w:eastAsia="黑体"/>
          <w:b/>
          <w:sz w:val="28"/>
          <w:lang w:val="en-US" w:eastAsia="zh-CN"/>
        </w:rPr>
        <w:t>1</w:t>
      </w:r>
      <w:r>
        <w:rPr>
          <w:rFonts w:ascii="黑体" w:hAnsi="黑体" w:eastAsia="黑体"/>
          <w:b/>
          <w:sz w:val="28"/>
        </w:rPr>
        <w:t xml:space="preserve"> 方法问题</w:t>
      </w:r>
    </w:p>
    <w:p w14:paraId="6DF0BD6C">
      <w:r>
        <w:rPr>
          <w:rFonts w:ascii="宋体" w:hAnsi="宋体" w:eastAsia="宋体"/>
          <w:b w:val="0"/>
          <w:sz w:val="24"/>
        </w:rPr>
        <w:t>• 权重选择主观：EP=40%、反转=60%的权重是基于经验设定，尚未进行系统性优化</w:t>
      </w:r>
    </w:p>
    <w:p w14:paraId="062473BB">
      <w:r>
        <w:rPr>
          <w:rFonts w:ascii="宋体" w:hAnsi="宋体" w:eastAsia="宋体"/>
          <w:b w:val="0"/>
          <w:sz w:val="24"/>
        </w:rPr>
        <w:t>• 选股数量固定：TopK=100是否最优？未进行敏感性分析</w:t>
      </w:r>
    </w:p>
    <w:p w14:paraId="2468AF94">
      <w:r>
        <w:rPr>
          <w:rFonts w:ascii="宋体" w:hAnsi="宋体" w:eastAsia="宋体"/>
          <w:b w:val="0"/>
          <w:sz w:val="24"/>
        </w:rPr>
        <w:t>• 行业暴露未知：策略是否过度集中某行业？尚未做行业归因分析</w:t>
      </w:r>
    </w:p>
    <w:p w14:paraId="020FD91F">
      <w:pPr>
        <w:pStyle w:val="4"/>
      </w:pPr>
      <w:r>
        <w:rPr>
          <w:rFonts w:ascii="黑体" w:hAnsi="黑体" w:eastAsia="黑体"/>
          <w:b/>
          <w:sz w:val="28"/>
        </w:rPr>
        <w:t>3.</w:t>
      </w:r>
      <w:r>
        <w:rPr>
          <w:rFonts w:hint="eastAsia" w:ascii="黑体" w:hAnsi="黑体" w:eastAsia="黑体"/>
          <w:b/>
          <w:sz w:val="28"/>
          <w:lang w:val="en-US" w:eastAsia="zh-CN"/>
        </w:rPr>
        <w:t>2</w:t>
      </w:r>
      <w:r>
        <w:rPr>
          <w:rFonts w:ascii="黑体" w:hAnsi="黑体" w:eastAsia="黑体"/>
          <w:b/>
          <w:sz w:val="28"/>
        </w:rPr>
        <w:t xml:space="preserve"> 结果问题</w:t>
      </w:r>
    </w:p>
    <w:p w14:paraId="43DF9413">
      <w:r>
        <w:t>• R²高达85.70%：大部分收益被系统性因子解释，非纯Alpha来源</w:t>
      </w:r>
    </w:p>
    <w:p w14:paraId="19848D39">
      <w:r>
        <w:rPr>
          <w:rFonts w:ascii="宋体" w:hAnsi="宋体" w:eastAsia="宋体"/>
          <w:b w:val="0"/>
          <w:sz w:val="24"/>
        </w:rPr>
        <w:t>• SMB Beta=0.53：策略偏好小市值，在小盘股牛市表现好，大盘股牛市表现可能不佳</w:t>
      </w:r>
    </w:p>
    <w:p w14:paraId="2F0F5B78">
      <w:r>
        <w:t>• 最大回撤：-68.20%：2008年和2024年初有较大回撤，风险控制需加强</w:t>
      </w:r>
    </w:p>
    <w:p w14:paraId="7241F27C">
      <w:pPr>
        <w:pStyle w:val="3"/>
      </w:pPr>
      <w:r>
        <w:rPr>
          <w:rFonts w:ascii="黑体" w:hAnsi="黑体" w:eastAsia="黑体"/>
          <w:b/>
          <w:sz w:val="32"/>
        </w:rPr>
        <w:t>4. 下一步计划</w:t>
      </w:r>
    </w:p>
    <w:p w14:paraId="50C983A1">
      <w:pPr>
        <w:pStyle w:val="4"/>
      </w:pPr>
      <w:r>
        <w:rPr>
          <w:rFonts w:ascii="黑体" w:hAnsi="黑体" w:eastAsia="黑体"/>
          <w:b/>
          <w:sz w:val="28"/>
        </w:rPr>
        <w:t>4.1 短期计划（Week 7-9）</w:t>
      </w:r>
    </w:p>
    <w:p w14:paraId="5C8527E5">
      <w:r>
        <w:rPr>
          <w:rFonts w:ascii="宋体" w:hAnsi="宋体" w:eastAsia="宋体"/>
          <w:b w:val="0"/>
          <w:sz w:val="24"/>
        </w:rPr>
        <w:t>因子优化：系统测试不同权重组合（EP vs 反转：10/90, 20/80, 30/70, 40/60, 50/50, 60/40），找到最优权重配置</w:t>
      </w:r>
    </w:p>
    <w:p w14:paraId="59C95969">
      <w:r>
        <w:rPr>
          <w:rFonts w:ascii="宋体" w:hAnsi="宋体" w:eastAsia="宋体"/>
          <w:b w:val="0"/>
          <w:sz w:val="24"/>
        </w:rPr>
        <w:t>TopK敏感性：测试Top50, Top100, Top150, Top200，找到最优选股数量</w:t>
      </w:r>
    </w:p>
    <w:p w14:paraId="5606BCC7">
      <w:r>
        <w:rPr>
          <w:rFonts w:ascii="宋体" w:hAnsi="宋体" w:eastAsia="宋体"/>
          <w:b w:val="0"/>
          <w:sz w:val="24"/>
        </w:rPr>
        <w:t>行业归因：分析策略的行业暴露，添加行业中性化约束，控制行业风险</w:t>
      </w:r>
    </w:p>
    <w:p w14:paraId="53F093DA">
      <w:r>
        <w:rPr>
          <w:rFonts w:ascii="宋体" w:hAnsi="宋体" w:eastAsia="宋体"/>
          <w:b w:val="0"/>
          <w:sz w:val="24"/>
        </w:rPr>
        <w:t>CH3归因深化：使用中国三因子（加入盈利因子），进行更精确的因子解释</w:t>
      </w:r>
    </w:p>
    <w:p w14:paraId="3E36F583">
      <w:pPr>
        <w:pStyle w:val="4"/>
      </w:pPr>
      <w:r>
        <w:rPr>
          <w:rFonts w:ascii="黑体" w:hAnsi="黑体" w:eastAsia="黑体"/>
          <w:b/>
          <w:sz w:val="28"/>
        </w:rPr>
        <w:t>4.2 长期计划（Week 10-14）</w:t>
      </w:r>
    </w:p>
    <w:p w14:paraId="461D3333">
      <w:r>
        <w:rPr>
          <w:rFonts w:ascii="宋体" w:hAnsi="宋体" w:eastAsia="宋体"/>
          <w:b w:val="0"/>
          <w:sz w:val="24"/>
        </w:rPr>
        <w:t>风险模型：引入Barra或自有风险模型，控制组合Beta暴露，构建更稳健的策略</w:t>
      </w:r>
    </w:p>
    <w:p w14:paraId="209ADE74">
      <w:r>
        <w:rPr>
          <w:rFonts w:ascii="宋体" w:hAnsi="宋体" w:eastAsia="宋体"/>
          <w:b w:val="0"/>
          <w:sz w:val="24"/>
        </w:rPr>
        <w:t>交易成本：加入佣金、印花税、滑点，测试成本敏感性，得到更真实的收益估计</w:t>
      </w:r>
    </w:p>
    <w:p w14:paraId="41DFE9B1">
      <w:r>
        <w:rPr>
          <w:rFonts w:ascii="宋体" w:hAnsi="宋体" w:eastAsia="宋体"/>
          <w:b w:val="0"/>
          <w:sz w:val="24"/>
        </w:rPr>
        <w:t>样本外测试：使用最近3年数据进行样本外验证，避免过拟合</w:t>
      </w:r>
    </w:p>
    <w:p w14:paraId="5EB4D3C6">
      <w:r>
        <w:rPr>
          <w:rFonts w:ascii="宋体" w:hAnsi="宋体" w:eastAsia="宋体"/>
          <w:b w:val="0"/>
          <w:sz w:val="24"/>
        </w:rPr>
        <w:t>最终报告：撰写完整研究报告，包含稳健性检验，完成毕设/研究报告</w:t>
      </w:r>
    </w:p>
    <w:p w14:paraId="451A247A">
      <w:pPr>
        <w:pStyle w:val="4"/>
      </w:pPr>
      <w:r>
        <w:rPr>
          <w:rFonts w:ascii="黑体" w:hAnsi="黑体" w:eastAsia="黑体"/>
          <w:b/>
          <w:sz w:val="28"/>
        </w:rPr>
        <w:t>4.3 正在探索的方向</w:t>
      </w:r>
    </w:p>
    <w:p w14:paraId="6DDFC408">
      <w:r>
        <w:rPr>
          <w:rFonts w:ascii="宋体" w:hAnsi="宋体" w:eastAsia="宋体"/>
          <w:b/>
          <w:color w:val="FF0000"/>
          <w:sz w:val="24"/>
        </w:rPr>
        <w:t>情绪指标可行性研究：</w:t>
      </w:r>
    </w:p>
    <w:p w14:paraId="1DE383EF">
      <w:pPr>
        <w:pStyle w:val="5"/>
      </w:pPr>
      <w:r>
        <w:rPr>
          <w:rFonts w:ascii="黑体" w:hAnsi="黑体" w:eastAsia="黑体"/>
          <w:b/>
          <w:sz w:val="24"/>
        </w:rPr>
        <w:t>4.3.1 情绪数据采集与处理</w:t>
      </w:r>
    </w:p>
    <w:p w14:paraId="6465C088">
      <w:r>
        <w:rPr>
          <w:rFonts w:ascii="宋体" w:hAnsi="宋体" w:eastAsia="宋体"/>
          <w:b/>
          <w:sz w:val="24"/>
        </w:rPr>
        <w:t>数据来源：Truth Social RSS抓取 + VADER情绪分析</w:t>
      </w:r>
    </w:p>
    <w:p w14:paraId="37638617">
      <w:r>
        <w:rPr>
          <w:rFonts w:ascii="宋体" w:hAnsi="宋体" w:eastAsia="宋体"/>
          <w:b w:val="0"/>
          <w:sz w:val="24"/>
        </w:rPr>
        <w:t>• 采集模块：src/data_collection/truth_social_fetcher.py（RSS抓取逻辑）</w:t>
      </w:r>
    </w:p>
    <w:p w14:paraId="1ACDE725">
      <w:r>
        <w:rPr>
          <w:rFonts w:ascii="宋体" w:hAnsi="宋体" w:eastAsia="宋体"/>
          <w:b w:val="0"/>
          <w:sz w:val="24"/>
        </w:rPr>
        <w:t>• 分析模块：src/data_collection/sentiment_analyzer.py（VADER情绪分析 + 点赞加权）</w:t>
      </w:r>
    </w:p>
    <w:p w14:paraId="350FE079">
      <w:r>
        <w:rPr>
          <w:rFonts w:ascii="宋体" w:hAnsi="宋体" w:eastAsia="宋体"/>
          <w:b w:val="0"/>
          <w:sz w:val="24"/>
        </w:rPr>
        <w:t>• 配置管理：config/policy_keywords.yaml（政策关键词配置）</w:t>
      </w:r>
    </w:p>
    <w:p w14:paraId="687126BB">
      <w:r>
        <w:rPr>
          <w:rFonts w:ascii="宋体" w:hAnsi="宋体" w:eastAsia="宋体"/>
          <w:b w:val="0"/>
          <w:sz w:val="24"/>
        </w:rPr>
        <w:t>• 输出数据：data/processed/daily_sentiment_index.csv（日度情绪指数）</w:t>
      </w:r>
    </w:p>
    <w:p w14:paraId="3A3FC9D6">
      <w:r>
        <w:rPr>
          <w:rFonts w:ascii="宋体" w:hAnsi="宋体" w:eastAsia="宋体"/>
          <w:b w:val="0"/>
          <w:sz w:val="24"/>
        </w:rPr>
        <w:t>• 数据期间：2022-02-01 至 2026-04-11（1,531天）</w:t>
      </w:r>
    </w:p>
    <w:p w14:paraId="45212E08">
      <w:r>
        <w:rPr>
          <w:rFonts w:ascii="宋体" w:hAnsi="宋体" w:eastAsia="宋体"/>
          <w:b/>
          <w:sz w:val="24"/>
        </w:rPr>
        <w:t>情绪指数构造方法：</w:t>
      </w:r>
    </w:p>
    <w:p w14:paraId="76006A78">
      <w:r>
        <w:rPr>
          <w:rFonts w:ascii="宋体" w:hAnsi="宋体" w:eastAsia="宋体"/>
          <w:b w:val="0"/>
          <w:sz w:val="24"/>
        </w:rPr>
        <w:t>• 使用VADER情绪分析器对每条帖子进行情绪评分</w:t>
      </w:r>
    </w:p>
    <w:p w14:paraId="326C5571">
      <w:r>
        <w:rPr>
          <w:rFonts w:ascii="宋体" w:hAnsi="宋体" w:eastAsia="宋体"/>
          <w:b w:val="0"/>
          <w:sz w:val="24"/>
        </w:rPr>
        <w:t>• 点赞数加权：高点赞帖子权重更高</w:t>
      </w:r>
    </w:p>
    <w:p w14:paraId="3DE219AF">
      <w:r>
        <w:rPr>
          <w:rFonts w:ascii="宋体" w:hAnsi="宋体" w:eastAsia="宋体"/>
          <w:b w:val="0"/>
          <w:sz w:val="24"/>
        </w:rPr>
        <w:t>• 自定义政策关键词词典，识别政策相关帖子</w:t>
      </w:r>
    </w:p>
    <w:p w14:paraId="38A44668">
      <w:r>
        <w:rPr>
          <w:rFonts w:ascii="宋体" w:hAnsi="宋体" w:eastAsia="宋体"/>
          <w:b w:val="0"/>
          <w:sz w:val="24"/>
        </w:rPr>
        <w:t>• 计算每日情绪得分、帖子数量、平均点赞数、VIX代理指标、冲击信号</w:t>
      </w:r>
    </w:p>
    <w:p w14:paraId="642BEFEC">
      <w:pPr>
        <w:pStyle w:val="5"/>
      </w:pPr>
      <w:r>
        <w:rPr>
          <w:rFonts w:ascii="黑体" w:hAnsi="黑体" w:eastAsia="黑体"/>
          <w:b/>
          <w:sz w:val="24"/>
        </w:rPr>
        <w:t>4.3.2 情绪阈值优化工作</w:t>
      </w:r>
    </w:p>
    <w:p w14:paraId="3EA7EEB9">
      <w:r>
        <w:rPr>
          <w:rFonts w:ascii="宋体" w:hAnsi="宋体" w:eastAsia="宋体"/>
          <w:b/>
          <w:sz w:val="24"/>
        </w:rPr>
        <w:t>优化前问题：</w:t>
      </w:r>
    </w:p>
    <w:p w14:paraId="3AB21F11">
      <w:r>
        <w:rPr>
          <w:rFonts w:ascii="宋体" w:hAnsi="宋体" w:eastAsia="宋体"/>
          <w:b w:val="0"/>
          <w:sz w:val="24"/>
        </w:rPr>
        <w:t>• 使用理论阈值（-2, -1, 1.5）导致极端状态几乎不触发</w:t>
      </w:r>
    </w:p>
    <w:p w14:paraId="6E5048E0">
      <w:r>
        <w:rPr>
          <w:rFonts w:ascii="宋体" w:hAnsi="宋体" w:eastAsia="宋体"/>
          <w:b w:val="0"/>
          <w:sz w:val="24"/>
        </w:rPr>
        <w:t>• 恐慌状态触发34%，其他状态触发频率不均衡</w:t>
      </w:r>
    </w:p>
    <w:p w14:paraId="6952D98C">
      <w:r>
        <w:rPr>
          <w:rFonts w:ascii="宋体" w:hAnsi="宋体" w:eastAsia="宋体"/>
          <w:b w:val="0"/>
          <w:sz w:val="24"/>
        </w:rPr>
        <w:t>• 情绪信号无法有效指导仓位调整</w:t>
      </w:r>
    </w:p>
    <w:p w14:paraId="446CD94B">
      <w:r>
        <w:rPr>
          <w:rFonts w:ascii="宋体" w:hAnsi="宋体" w:eastAsia="宋体"/>
          <w:b/>
          <w:sz w:val="24"/>
        </w:rPr>
        <w:t>优化方法：基于实际数据分布的动态阈值校准</w:t>
      </w:r>
    </w:p>
    <w:p w14:paraId="4ADDD8B3">
      <w:r>
        <w:rPr>
          <w:rFonts w:ascii="宋体" w:hAnsi="宋体" w:eastAsia="宋体"/>
          <w:b w:val="0"/>
          <w:sz w:val="24"/>
        </w:rPr>
        <w:t>• 使用百分位数方法（P5, P20, P40, P60, P80, P95）</w:t>
      </w:r>
    </w:p>
    <w:p w14:paraId="3806529E">
      <w:r>
        <w:rPr>
          <w:rFonts w:ascii="宋体" w:hAnsi="宋体" w:eastAsia="宋体"/>
          <w:b w:val="0"/>
          <w:sz w:val="24"/>
        </w:rPr>
        <w:t>• 自动适应数据分布特征</w:t>
      </w:r>
    </w:p>
    <w:p w14:paraId="056710D2">
      <w:r>
        <w:rPr>
          <w:rFonts w:ascii="宋体" w:hAnsi="宋体" w:eastAsia="宋体"/>
          <w:b w:val="0"/>
          <w:sz w:val="24"/>
        </w:rPr>
        <w:t>• 确保各状态触发频率可控（4.83%~20.97%）</w:t>
      </w:r>
    </w:p>
    <w:p w14:paraId="5D5F56DA">
      <w:r>
        <w:rPr>
          <w:rFonts w:ascii="宋体" w:hAnsi="宋体" w:eastAsia="宋体"/>
          <w:b/>
          <w:sz w:val="24"/>
        </w:rPr>
        <w:t>优化后阈值配置：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09BCA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0D7AD439">
            <w:pPr>
              <w:spacing w:after="0" w:line="240" w:lineRule="auto"/>
            </w:pPr>
            <w:r>
              <w:t>情绪状态</w:t>
            </w:r>
          </w:p>
        </w:tc>
        <w:tc>
          <w:tcPr>
            <w:tcW w:w="2160" w:type="dxa"/>
          </w:tcPr>
          <w:p w14:paraId="0208C72F">
            <w:pPr>
              <w:spacing w:after="0" w:line="240" w:lineRule="auto"/>
            </w:pPr>
            <w:r>
              <w:t>阈值范围</w:t>
            </w:r>
          </w:p>
        </w:tc>
        <w:tc>
          <w:tcPr>
            <w:tcW w:w="2160" w:type="dxa"/>
          </w:tcPr>
          <w:p w14:paraId="356C6D1B">
            <w:pPr>
              <w:spacing w:after="0" w:line="240" w:lineRule="auto"/>
            </w:pPr>
            <w:r>
              <w:t>触发天数</w:t>
            </w:r>
          </w:p>
        </w:tc>
        <w:tc>
          <w:tcPr>
            <w:tcW w:w="2160" w:type="dxa"/>
          </w:tcPr>
          <w:p w14:paraId="1FA8F679">
            <w:pPr>
              <w:spacing w:after="0" w:line="240" w:lineRule="auto"/>
            </w:pPr>
            <w:r>
              <w:t>仓位系数</w:t>
            </w:r>
          </w:p>
        </w:tc>
      </w:tr>
      <w:tr w14:paraId="6F24DA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161A2855">
            <w:pPr>
              <w:spacing w:after="0" w:line="240" w:lineRule="auto"/>
            </w:pPr>
            <w:r>
              <w:t>极度恐慌</w:t>
            </w:r>
          </w:p>
        </w:tc>
        <w:tc>
          <w:tcPr>
            <w:tcW w:w="2160" w:type="dxa"/>
          </w:tcPr>
          <w:p w14:paraId="63C7B592">
            <w:pPr>
              <w:spacing w:after="0" w:line="240" w:lineRule="auto"/>
            </w:pPr>
            <w:r>
              <w:t>z &lt; -1.35 (P5)</w:t>
            </w:r>
          </w:p>
        </w:tc>
        <w:tc>
          <w:tcPr>
            <w:tcW w:w="2160" w:type="dxa"/>
          </w:tcPr>
          <w:p w14:paraId="464DE2A3">
            <w:pPr>
              <w:spacing w:after="0" w:line="240" w:lineRule="auto"/>
            </w:pPr>
            <w:r>
              <w:t>74天(4.83%)</w:t>
            </w:r>
          </w:p>
        </w:tc>
        <w:tc>
          <w:tcPr>
            <w:tcW w:w="2160" w:type="dxa"/>
          </w:tcPr>
          <w:p w14:paraId="71474D80">
            <w:pPr>
              <w:spacing w:after="0" w:line="240" w:lineRule="auto"/>
            </w:pPr>
            <w:r>
              <w:t>1.5(超配)</w:t>
            </w:r>
          </w:p>
        </w:tc>
      </w:tr>
      <w:tr w14:paraId="5A21FA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1BC23909">
            <w:pPr>
              <w:spacing w:after="0" w:line="240" w:lineRule="auto"/>
            </w:pPr>
            <w:r>
              <w:t>恐慌</w:t>
            </w:r>
          </w:p>
        </w:tc>
        <w:tc>
          <w:tcPr>
            <w:tcW w:w="2160" w:type="dxa"/>
          </w:tcPr>
          <w:p w14:paraId="446ED38A">
            <w:pPr>
              <w:spacing w:after="0" w:line="240" w:lineRule="auto"/>
            </w:pPr>
            <w:r>
              <w:t>-1.35~-1.28 (P20)</w:t>
            </w:r>
          </w:p>
        </w:tc>
        <w:tc>
          <w:tcPr>
            <w:tcW w:w="2160" w:type="dxa"/>
          </w:tcPr>
          <w:p w14:paraId="21767EA2">
            <w:pPr>
              <w:spacing w:after="0" w:line="240" w:lineRule="auto"/>
            </w:pPr>
            <w:r>
              <w:t>321天(20.97%)</w:t>
            </w:r>
          </w:p>
        </w:tc>
        <w:tc>
          <w:tcPr>
            <w:tcW w:w="2160" w:type="dxa"/>
          </w:tcPr>
          <w:p w14:paraId="4E234D60">
            <w:pPr>
              <w:spacing w:after="0" w:line="240" w:lineRule="auto"/>
            </w:pPr>
            <w:r>
              <w:t>1.2(超配)</w:t>
            </w:r>
          </w:p>
        </w:tc>
      </w:tr>
      <w:tr w14:paraId="3F9818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02962D5F">
            <w:pPr>
              <w:spacing w:after="0" w:line="240" w:lineRule="auto"/>
            </w:pPr>
            <w:r>
              <w:t>轻度担忧</w:t>
            </w:r>
          </w:p>
        </w:tc>
        <w:tc>
          <w:tcPr>
            <w:tcW w:w="2160" w:type="dxa"/>
          </w:tcPr>
          <w:p w14:paraId="55851B71">
            <w:pPr>
              <w:spacing w:after="0" w:line="240" w:lineRule="auto"/>
            </w:pPr>
            <w:r>
              <w:t>-1.28~-0.30 (P40)</w:t>
            </w:r>
          </w:p>
        </w:tc>
        <w:tc>
          <w:tcPr>
            <w:tcW w:w="2160" w:type="dxa"/>
          </w:tcPr>
          <w:p w14:paraId="3F2A616A">
            <w:pPr>
              <w:spacing w:after="0" w:line="240" w:lineRule="auto"/>
            </w:pPr>
            <w:r>
              <w:t>312天(20.38%)</w:t>
            </w:r>
          </w:p>
        </w:tc>
        <w:tc>
          <w:tcPr>
            <w:tcW w:w="2160" w:type="dxa"/>
          </w:tcPr>
          <w:p w14:paraId="5C88162B">
            <w:pPr>
              <w:spacing w:after="0" w:line="240" w:lineRule="auto"/>
            </w:pPr>
            <w:r>
              <w:t>0.8(低配)</w:t>
            </w:r>
          </w:p>
        </w:tc>
      </w:tr>
      <w:tr w14:paraId="1549D5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439DC758">
            <w:pPr>
              <w:spacing w:after="0" w:line="240" w:lineRule="auto"/>
            </w:pPr>
            <w:r>
              <w:t>中性</w:t>
            </w:r>
          </w:p>
        </w:tc>
        <w:tc>
          <w:tcPr>
            <w:tcW w:w="2160" w:type="dxa"/>
          </w:tcPr>
          <w:p w14:paraId="1D521B05">
            <w:pPr>
              <w:spacing w:after="0" w:line="240" w:lineRule="auto"/>
            </w:pPr>
            <w:r>
              <w:t>-0.30~0.66 (P60)</w:t>
            </w:r>
          </w:p>
        </w:tc>
        <w:tc>
          <w:tcPr>
            <w:tcW w:w="2160" w:type="dxa"/>
          </w:tcPr>
          <w:p w14:paraId="152635FC">
            <w:pPr>
              <w:spacing w:after="0" w:line="240" w:lineRule="auto"/>
            </w:pPr>
            <w:r>
              <w:t>312天(20.38%)</w:t>
            </w:r>
          </w:p>
        </w:tc>
        <w:tc>
          <w:tcPr>
            <w:tcW w:w="2160" w:type="dxa"/>
          </w:tcPr>
          <w:p w14:paraId="24B3B23D">
            <w:pPr>
              <w:spacing w:after="0" w:line="240" w:lineRule="auto"/>
            </w:pPr>
            <w:r>
              <w:t>1.0(标配)</w:t>
            </w:r>
          </w:p>
        </w:tc>
      </w:tr>
      <w:tr w14:paraId="25C176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14442179">
            <w:pPr>
              <w:spacing w:after="0" w:line="240" w:lineRule="auto"/>
            </w:pPr>
            <w:r>
              <w:t>轻度乐观</w:t>
            </w:r>
          </w:p>
        </w:tc>
        <w:tc>
          <w:tcPr>
            <w:tcW w:w="2160" w:type="dxa"/>
          </w:tcPr>
          <w:p w14:paraId="53CDAF19">
            <w:pPr>
              <w:spacing w:after="0" w:line="240" w:lineRule="auto"/>
            </w:pPr>
            <w:r>
              <w:t>0.66~1.02 (P80)</w:t>
            </w:r>
          </w:p>
        </w:tc>
        <w:tc>
          <w:tcPr>
            <w:tcW w:w="2160" w:type="dxa"/>
          </w:tcPr>
          <w:p w14:paraId="2CA18C61">
            <w:pPr>
              <w:spacing w:after="0" w:line="240" w:lineRule="auto"/>
            </w:pPr>
            <w:r>
              <w:t>312天(20.38%)</w:t>
            </w:r>
          </w:p>
        </w:tc>
        <w:tc>
          <w:tcPr>
            <w:tcW w:w="2160" w:type="dxa"/>
          </w:tcPr>
          <w:p w14:paraId="056420D0">
            <w:pPr>
              <w:spacing w:after="0" w:line="240" w:lineRule="auto"/>
            </w:pPr>
            <w:r>
              <w:t>1.0(标配)</w:t>
            </w:r>
          </w:p>
        </w:tc>
      </w:tr>
      <w:tr w14:paraId="389C3D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6C721B33">
            <w:pPr>
              <w:spacing w:after="0" w:line="240" w:lineRule="auto"/>
            </w:pPr>
            <w:r>
              <w:t>极度乐观</w:t>
            </w:r>
          </w:p>
        </w:tc>
        <w:tc>
          <w:tcPr>
            <w:tcW w:w="2160" w:type="dxa"/>
          </w:tcPr>
          <w:p w14:paraId="13C9533A">
            <w:pPr>
              <w:spacing w:after="0" w:line="240" w:lineRule="auto"/>
            </w:pPr>
            <w:r>
              <w:t>z &gt; 1.12 (P95)</w:t>
            </w:r>
          </w:p>
        </w:tc>
        <w:tc>
          <w:tcPr>
            <w:tcW w:w="2160" w:type="dxa"/>
          </w:tcPr>
          <w:p w14:paraId="1F2D36B7">
            <w:pPr>
              <w:spacing w:after="0" w:line="240" w:lineRule="auto"/>
            </w:pPr>
            <w:r>
              <w:t>74天(4.83%)</w:t>
            </w:r>
          </w:p>
        </w:tc>
        <w:tc>
          <w:tcPr>
            <w:tcW w:w="2160" w:type="dxa"/>
          </w:tcPr>
          <w:p w14:paraId="1FBEA259">
            <w:pPr>
              <w:spacing w:after="0" w:line="240" w:lineRule="auto"/>
            </w:pPr>
            <w:r>
              <w:t>0.5(减仓)</w:t>
            </w:r>
          </w:p>
        </w:tc>
      </w:tr>
    </w:tbl>
    <w:p w14:paraId="26D4E064">
      <w:pPr>
        <w:pStyle w:val="5"/>
      </w:pPr>
      <w:r>
        <w:rPr>
          <w:rFonts w:ascii="黑体" w:hAnsi="黑体" w:eastAsia="黑体"/>
          <w:b/>
          <w:sz w:val="24"/>
        </w:rPr>
        <w:t>4.3.3 情绪策略回测结果</w:t>
      </w:r>
    </w:p>
    <w:p w14:paraId="4561AA13">
      <w:r>
        <w:rPr>
          <w:rFonts w:ascii="宋体" w:hAnsi="宋体" w:eastAsia="宋体"/>
          <w:b/>
          <w:sz w:val="24"/>
        </w:rPr>
        <w:t>全样本期表现（2022-2026）：</w:t>
      </w:r>
    </w:p>
    <w:p w14:paraId="37A2F6E8">
      <w:r>
        <w:rPr>
          <w:rFonts w:ascii="宋体" w:hAnsi="宋体" w:eastAsia="宋体"/>
          <w:b w:val="0"/>
          <w:sz w:val="24"/>
        </w:rPr>
        <w:t>• 不择股：持有市场等权组合</w:t>
      </w:r>
    </w:p>
    <w:p w14:paraId="53318E80">
      <w:r>
        <w:rPr>
          <w:rFonts w:ascii="宋体" w:hAnsi="宋体" w:eastAsia="宋体"/>
          <w:b w:val="0"/>
          <w:sz w:val="24"/>
        </w:rPr>
        <w:t>• 日度调仓：基于情绪指数调整仓位系数</w:t>
      </w:r>
    </w:p>
    <w:p w14:paraId="39470015">
      <w:r>
        <w:rPr>
          <w:rFonts w:ascii="宋体" w:hAnsi="宋体" w:eastAsia="宋体"/>
          <w:b w:val="0"/>
          <w:sz w:val="24"/>
        </w:rPr>
        <w:t>• 年化收益：11.50%，夏普比率：0.459</w:t>
      </w:r>
    </w:p>
    <w:p w14:paraId="712DE2F3">
      <w:r>
        <w:rPr>
          <w:rFonts w:ascii="宋体" w:hAnsi="宋体" w:eastAsia="宋体"/>
          <w:b w:val="0"/>
          <w:sz w:val="24"/>
        </w:rPr>
        <w:t>• 最大回撤：-33.09%，平均仓位系数：0.93</w:t>
      </w:r>
    </w:p>
    <w:p w14:paraId="077565EC">
      <w:r>
        <w:rPr>
          <w:rFonts w:ascii="宋体" w:hAnsi="宋体" w:eastAsia="宋体"/>
          <w:b/>
          <w:color w:val="FF0000"/>
          <w:sz w:val="24"/>
        </w:rPr>
        <w:t>2025年优秀表现：</w:t>
      </w:r>
    </w:p>
    <w:p w14:paraId="715B8192">
      <w:r>
        <w:rPr>
          <w:rFonts w:ascii="宋体" w:hAnsi="宋体" w:eastAsia="宋体"/>
          <w:b w:val="0"/>
          <w:sz w:val="24"/>
        </w:rPr>
        <w:t>• 年化收益：52.43%，夏普比率：2.572</w:t>
      </w:r>
    </w:p>
    <w:p w14:paraId="0D17A389">
      <w:r>
        <w:rPr>
          <w:rFonts w:ascii="宋体" w:hAnsi="宋体" w:eastAsia="宋体"/>
          <w:b w:val="0"/>
          <w:sz w:val="24"/>
        </w:rPr>
        <w:t>• 最大回撤：仅-12.82%，胜率：83.3%（12个月中10个月正收益）</w:t>
      </w:r>
    </w:p>
    <w:p w14:paraId="71DCE57C">
      <w:r>
        <w:rPr>
          <w:rFonts w:ascii="宋体" w:hAnsi="宋体" w:eastAsia="宋体"/>
          <w:b w:val="0"/>
          <w:sz w:val="24"/>
        </w:rPr>
        <w:t>• Alpha：2.68%/月（t=4.009，高度显著）</w:t>
      </w:r>
    </w:p>
    <w:p w14:paraId="13744A39">
      <w:r>
        <w:rPr>
          <w:rFonts w:ascii="宋体" w:hAnsi="宋体" w:eastAsia="宋体"/>
          <w:b w:val="0"/>
          <w:sz w:val="24"/>
        </w:rPr>
        <w:t>• 市场Beta：仅0.28，与市场相关性低</w:t>
      </w:r>
    </w:p>
    <w:p w14:paraId="14FCAD8D">
      <w:r>
        <w:rPr>
          <w:rFonts w:ascii="宋体" w:hAnsi="宋体" w:eastAsia="宋体"/>
          <w:b w:val="0"/>
          <w:sz w:val="24"/>
        </w:rPr>
        <w:t>• SMB Beta：1.17，显著小市值倾向</w:t>
      </w:r>
    </w:p>
    <w:p w14:paraId="2061E8F0">
      <w:r>
        <w:rPr>
          <w:rFonts w:ascii="宋体" w:hAnsi="宋体" w:eastAsia="宋体"/>
          <w:b w:val="0"/>
          <w:sz w:val="24"/>
        </w:rPr>
        <w:t>• R²：76.07%，策略具有显著的增量alpha能力</w:t>
      </w:r>
    </w:p>
    <w:p w14:paraId="7E534458">
      <w:pPr>
        <w:pStyle w:val="5"/>
      </w:pPr>
      <w:r>
        <w:rPr>
          <w:rFonts w:ascii="黑体" w:hAnsi="黑体" w:eastAsia="黑体"/>
          <w:b/>
          <w:sz w:val="24"/>
        </w:rPr>
        <w:t>4.3.4 关键发现与研究价值</w:t>
      </w:r>
    </w:p>
    <w:p w14:paraId="4411EF5E">
      <w:r>
        <w:rPr>
          <w:rFonts w:ascii="宋体" w:hAnsi="宋体" w:eastAsia="宋体"/>
          <w:b w:val="0"/>
          <w:sz w:val="24"/>
        </w:rPr>
        <w:t>• 2025年表现突出原因：市场情绪波动较大，情绪调仓策略有效捕捉拐点</w:t>
      </w:r>
    </w:p>
    <w:p w14:paraId="479C5D1B">
      <w:r>
        <w:rPr>
          <w:rFonts w:ascii="宋体" w:hAnsi="宋体" w:eastAsia="宋体"/>
          <w:b w:val="0"/>
          <w:sz w:val="24"/>
        </w:rPr>
        <w:t>• 纯情绪调仓优于混合策略：不择股纯情绪策略年化11.50%，优于EP+反转+情绪混合策略（3.49%）</w:t>
      </w:r>
    </w:p>
    <w:p w14:paraId="60596C65">
      <w:r>
        <w:rPr>
          <w:rFonts w:ascii="宋体" w:hAnsi="宋体" w:eastAsia="宋体"/>
          <w:b w:val="0"/>
          <w:sz w:val="24"/>
        </w:rPr>
        <w:t>• 情绪指标提供独立Alpha来源：与价值/反转因子互补，市场Beta仅0.28</w:t>
      </w:r>
    </w:p>
    <w:p w14:paraId="6AE4730F">
      <w:r>
        <w:rPr>
          <w:rFonts w:ascii="宋体" w:hAnsi="宋体" w:eastAsia="宋体"/>
          <w:b w:val="0"/>
          <w:sz w:val="24"/>
        </w:rPr>
        <w:t>• 数据驱动优于理论假设：基于实际分布的阈值校准显著提升策略效果</w:t>
      </w:r>
    </w:p>
    <w:p w14:paraId="30276F66">
      <w:pPr>
        <w:pStyle w:val="5"/>
      </w:pPr>
      <w:r>
        <w:rPr>
          <w:rFonts w:ascii="黑体" w:hAnsi="黑体" w:eastAsia="黑体"/>
          <w:b/>
          <w:sz w:val="24"/>
        </w:rPr>
        <w:t>4.3.5 下一步研究方向</w:t>
      </w:r>
    </w:p>
    <w:p w14:paraId="7BF5A16F">
      <w:r>
        <w:rPr>
          <w:rFonts w:ascii="宋体" w:hAnsi="宋体" w:eastAsia="宋体"/>
          <w:b w:val="0"/>
          <w:sz w:val="24"/>
        </w:rPr>
        <w:t>• 将情绪指标纳入组合策略：测试三因子（价值+反转+情绪）效果</w:t>
      </w:r>
    </w:p>
    <w:p w14:paraId="1B45D103">
      <w:r>
        <w:rPr>
          <w:rFonts w:ascii="宋体" w:hAnsi="宋体" w:eastAsia="宋体"/>
          <w:b w:val="0"/>
          <w:sz w:val="24"/>
        </w:rPr>
        <w:t>• 引入滚动窗口动态调整阈值：适应市场变化</w:t>
      </w:r>
    </w:p>
    <w:p w14:paraId="16277C3A">
      <w:r>
        <w:rPr>
          <w:rFonts w:ascii="宋体" w:hAnsi="宋体" w:eastAsia="宋体"/>
          <w:b w:val="0"/>
          <w:sz w:val="24"/>
        </w:rPr>
        <w:t>• 结合市场波动率（VIX）调整敏感度</w:t>
      </w:r>
    </w:p>
    <w:p w14:paraId="1AC9390A">
      <w:r>
        <w:rPr>
          <w:rFonts w:ascii="宋体" w:hAnsi="宋体" w:eastAsia="宋体"/>
          <w:b w:val="0"/>
          <w:sz w:val="24"/>
        </w:rPr>
        <w:t>• 测试不同仓位系数（1.5, 1.2, 0.8, 0.5）的最优组合</w:t>
      </w:r>
    </w:p>
    <w:p w14:paraId="1C8A9524">
      <w:r>
        <w:rPr>
          <w:rFonts w:ascii="宋体" w:hAnsi="宋体" w:eastAsia="宋体"/>
          <w:b w:val="0"/>
          <w:sz w:val="24"/>
        </w:rPr>
        <w:t>• 探索情绪指标与宏观经济指标的交互效应</w:t>
      </w:r>
    </w:p>
    <w:p w14:paraId="126352C9">
      <w:pPr>
        <w:pStyle w:val="4"/>
      </w:pPr>
      <w:r>
        <w:rPr>
          <w:rFonts w:ascii="黑体" w:hAnsi="黑体" w:eastAsia="黑体"/>
          <w:b/>
          <w:sz w:val="28"/>
        </w:rPr>
        <w:t>4.4 需要的帮助</w:t>
      </w:r>
    </w:p>
    <w:p w14:paraId="50CA60A6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>• 因子构造建议：是否有更优的价值因子组合方式？（如PE、PB、PS多因子等权？）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情绪因子怎样放入原有策略？通过月度选股，日度调仓的混频模式？</w:t>
      </w:r>
    </w:p>
    <w:p w14:paraId="424A5DCC">
      <w:r>
        <w:rPr>
          <w:rFonts w:ascii="宋体" w:hAnsi="宋体" w:eastAsia="宋体"/>
          <w:b w:val="0"/>
          <w:sz w:val="24"/>
        </w:rPr>
        <w:t>• 风险模型指导：如何构建简化的本土风险模型？</w:t>
      </w:r>
    </w:p>
    <w:p w14:paraId="74754FEA">
      <w:r>
        <w:rPr>
          <w:rFonts w:ascii="宋体" w:hAnsi="宋体" w:eastAsia="宋体"/>
          <w:b w:val="0"/>
          <w:sz w:val="24"/>
        </w:rPr>
        <w:t>• 权重优化方法：是否应该使用机器学习（如Lasso、随机森林）进行因子权重优化？</w:t>
      </w:r>
    </w:p>
    <w:p w14:paraId="5A509905">
      <w:r>
        <w:rPr>
          <w:rFonts w:ascii="宋体" w:hAnsi="宋体" w:eastAsia="宋体"/>
          <w:b w:val="0"/>
          <w:sz w:val="24"/>
        </w:rPr>
        <w:t>• 归因分析深化：如何分解Alpha来源（选股Alpha vs 时机Alpha）？</w:t>
      </w:r>
    </w:p>
    <w:p w14:paraId="32003586">
      <w:pPr>
        <w:pStyle w:val="3"/>
      </w:pPr>
      <w:r>
        <w:rPr>
          <w:rFonts w:ascii="黑体" w:hAnsi="黑体" w:eastAsia="黑体"/>
          <w:b/>
          <w:sz w:val="32"/>
        </w:rPr>
        <w:t>5. 核心结论</w:t>
      </w:r>
    </w:p>
    <w:p w14:paraId="51A05CAC">
      <w:r>
        <w:t>月度组合策略（价值40%+反转60%）在2005-2025年期间实现了年化21.89%收益、夏普比率：0.580、高度显著Alpha(t=3.853)，证明了反转与价值因子的协同效应具有真实的超额收益能力。价值因子经过参数调优（EP=80%, DP=20%）后Alpha显著性提升。</w:t>
      </w:r>
    </w:p>
    <w:p w14:paraId="4D4E3AFC">
      <w:r>
        <w:rPr>
          <w:rFonts w:ascii="宋体" w:hAnsi="宋体" w:eastAsia="宋体"/>
          <w:b w:val="0"/>
          <w:sz w:val="24"/>
        </w:rPr>
        <w:t>情绪指标研究方面，通过Truth Social RSS抓取+VADER情绪分析构建了日度情绪指数，经过基于百分位数的阈值优化后，2025年纯情绪调仓策略表现优异：年化收益52.43%、夏普2.572、Alpha高度显著(t=4.009)，为策略进一步优化提供了新方向。</w:t>
      </w:r>
    </w:p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3BFE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俟乇</cp:lastModifiedBy>
  <dcterms:modified xsi:type="dcterms:W3CDTF">2026-04-13T11:20:13Z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EE03F0F195CF6D26ED60DC699E049BDA_42</vt:lpwstr>
  </property>
</Properties>
</file>