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07EDE" w14:textId="39C9E6AE" w:rsidR="00D11721" w:rsidRPr="00492C87" w:rsidRDefault="0064251E" w:rsidP="0064251E">
      <w:pPr>
        <w:jc w:val="center"/>
        <w:rPr>
          <w:rFonts w:ascii="Century Gothic" w:hAnsi="Century Gothic" w:cs="Arial"/>
          <w:sz w:val="28"/>
          <w:szCs w:val="28"/>
        </w:rPr>
      </w:pPr>
      <w:r w:rsidRPr="00492C87">
        <w:rPr>
          <w:rFonts w:ascii="Century Gothic" w:hAnsi="Century Gothic" w:cs="Arial"/>
          <w:sz w:val="28"/>
          <w:szCs w:val="28"/>
        </w:rPr>
        <w:t>Republic of the Philippines</w:t>
      </w:r>
    </w:p>
    <w:p w14:paraId="07B94B8A" w14:textId="229DB389" w:rsidR="0064251E" w:rsidRPr="00492C87" w:rsidRDefault="0064251E" w:rsidP="0064251E">
      <w:pPr>
        <w:jc w:val="center"/>
        <w:rPr>
          <w:rFonts w:ascii="Century Gothic" w:hAnsi="Century Gothic" w:cs="Arial"/>
          <w:b/>
          <w:sz w:val="28"/>
          <w:szCs w:val="28"/>
        </w:rPr>
      </w:pPr>
      <w:r w:rsidRPr="00492C87">
        <w:rPr>
          <w:rFonts w:ascii="Century Gothic" w:hAnsi="Century Gothic" w:cs="Arial"/>
          <w:b/>
          <w:sz w:val="28"/>
          <w:szCs w:val="28"/>
        </w:rPr>
        <w:t>REGIONAL TRIAL COURT</w:t>
      </w:r>
    </w:p>
    <w:p w14:paraId="16FD4D56" w14:textId="70F8BE73" w:rsidR="0064251E" w:rsidRPr="00492C87" w:rsidRDefault="0064251E" w:rsidP="0064251E">
      <w:pPr>
        <w:jc w:val="center"/>
        <w:rPr>
          <w:rFonts w:ascii="Century Gothic" w:hAnsi="Century Gothic" w:cs="Arial"/>
          <w:sz w:val="28"/>
          <w:szCs w:val="28"/>
        </w:rPr>
      </w:pPr>
      <w:r w:rsidRPr="00492C87">
        <w:rPr>
          <w:rFonts w:ascii="Century Gothic" w:hAnsi="Century Gothic" w:cs="Arial"/>
          <w:sz w:val="28"/>
          <w:szCs w:val="28"/>
        </w:rPr>
        <w:t>11</w:t>
      </w:r>
      <w:r w:rsidRPr="00492C87">
        <w:rPr>
          <w:rFonts w:ascii="Century Gothic" w:hAnsi="Century Gothic" w:cs="Arial"/>
          <w:sz w:val="28"/>
          <w:szCs w:val="28"/>
          <w:vertAlign w:val="superscript"/>
        </w:rPr>
        <w:t>th</w:t>
      </w:r>
      <w:r w:rsidRPr="00492C87">
        <w:rPr>
          <w:rFonts w:ascii="Century Gothic" w:hAnsi="Century Gothic" w:cs="Arial"/>
          <w:sz w:val="28"/>
          <w:szCs w:val="28"/>
        </w:rPr>
        <w:t xml:space="preserve"> Judicial Region</w:t>
      </w:r>
    </w:p>
    <w:p w14:paraId="11AF2416" w14:textId="7A26E255" w:rsidR="0064251E" w:rsidRPr="00492C87" w:rsidRDefault="0064251E" w:rsidP="0064251E">
      <w:pPr>
        <w:jc w:val="center"/>
        <w:rPr>
          <w:rFonts w:ascii="Century Gothic" w:hAnsi="Century Gothic" w:cs="Arial"/>
          <w:b/>
          <w:sz w:val="28"/>
          <w:szCs w:val="28"/>
        </w:rPr>
      </w:pPr>
      <w:r w:rsidRPr="00492C87">
        <w:rPr>
          <w:rFonts w:ascii="Century Gothic" w:hAnsi="Century Gothic" w:cs="Arial"/>
          <w:b/>
          <w:sz w:val="28"/>
          <w:szCs w:val="28"/>
        </w:rPr>
        <w:t>Branch 57</w:t>
      </w:r>
    </w:p>
    <w:p w14:paraId="40C5D00A" w14:textId="1926280F" w:rsidR="0064251E" w:rsidRDefault="0064251E" w:rsidP="0064251E">
      <w:pPr>
        <w:jc w:val="center"/>
        <w:rPr>
          <w:rFonts w:ascii="Century Gothic" w:hAnsi="Century Gothic" w:cs="Arial"/>
          <w:sz w:val="28"/>
          <w:szCs w:val="28"/>
        </w:rPr>
      </w:pPr>
      <w:r w:rsidRPr="00492C87">
        <w:rPr>
          <w:rFonts w:ascii="Century Gothic" w:hAnsi="Century Gothic" w:cs="Arial"/>
          <w:sz w:val="28"/>
          <w:szCs w:val="28"/>
        </w:rPr>
        <w:t xml:space="preserve">Mabini, </w:t>
      </w:r>
      <w:r w:rsidR="002F513F">
        <w:rPr>
          <w:rFonts w:ascii="Century Gothic" w:hAnsi="Century Gothic" w:cs="Arial"/>
          <w:sz w:val="28"/>
          <w:szCs w:val="28"/>
        </w:rPr>
        <w:t>Davao de Oro</w:t>
      </w:r>
    </w:p>
    <w:p w14:paraId="61C60BDE" w14:textId="77777777" w:rsidR="00AF79CF" w:rsidRDefault="00AF79CF" w:rsidP="00AF79CF">
      <w:pPr>
        <w:autoSpaceDE w:val="0"/>
        <w:autoSpaceDN w:val="0"/>
        <w:adjustRightInd w:val="0"/>
        <w:jc w:val="center"/>
        <w:rPr>
          <w:rFonts w:ascii="Century Gothic" w:eastAsiaTheme="minorHAnsi" w:hAnsi="Century Gothic" w:cs="Century Gothic"/>
          <w:sz w:val="24"/>
          <w:szCs w:val="24"/>
          <w:lang w:val="en-PH"/>
        </w:rPr>
      </w:pPr>
      <w:r>
        <w:rPr>
          <w:rFonts w:ascii="Century Gothic" w:eastAsiaTheme="minorHAnsi" w:hAnsi="Century Gothic" w:cs="Century Gothic"/>
          <w:sz w:val="24"/>
          <w:szCs w:val="24"/>
          <w:lang w:val="en-PH"/>
        </w:rPr>
        <w:t>0932 5399 770 / 0975 8170 240 / 0917 1308 980</w:t>
      </w:r>
    </w:p>
    <w:p w14:paraId="67DB8171" w14:textId="57610A1D" w:rsidR="00AF79CF" w:rsidRPr="00AF79CF" w:rsidRDefault="00AF79CF" w:rsidP="00AF79CF">
      <w:pPr>
        <w:autoSpaceDE w:val="0"/>
        <w:autoSpaceDN w:val="0"/>
        <w:adjustRightInd w:val="0"/>
        <w:jc w:val="center"/>
        <w:rPr>
          <w:rFonts w:ascii="Century Gothic" w:eastAsiaTheme="minorHAnsi" w:hAnsi="Century Gothic" w:cs="Century Gothic"/>
          <w:sz w:val="24"/>
          <w:szCs w:val="24"/>
          <w:lang w:val="en-PH"/>
        </w:rPr>
      </w:pPr>
      <w:r>
        <w:rPr>
          <w:rFonts w:ascii="Century Gothic" w:eastAsiaTheme="minorHAnsi" w:hAnsi="Century Gothic" w:cs="Century Gothic"/>
          <w:sz w:val="24"/>
          <w:szCs w:val="24"/>
          <w:lang w:val="en-PH"/>
        </w:rPr>
        <w:t>rtc2mdo057@judiciary.gov.ph</w:t>
      </w:r>
    </w:p>
    <w:p w14:paraId="77ED25ED" w14:textId="77777777" w:rsidR="0064251E" w:rsidRPr="00492C87" w:rsidRDefault="0064251E" w:rsidP="0064251E">
      <w:pPr>
        <w:jc w:val="center"/>
        <w:rPr>
          <w:rFonts w:ascii="Century Gothic" w:hAnsi="Century Gothic" w:cs="Arial"/>
          <w:sz w:val="28"/>
          <w:szCs w:val="28"/>
        </w:rPr>
      </w:pPr>
    </w:p>
    <w:p w14:paraId="407003A8" w14:textId="782ED5FC" w:rsidR="00A22AA8" w:rsidRPr="00492C87" w:rsidRDefault="00581A3C" w:rsidP="00A22AA8">
      <w:pPr>
        <w:rPr>
          <w:rFonts w:ascii="Century Gothic" w:hAnsi="Century Gothic" w:cs="Arial"/>
          <w:sz w:val="28"/>
          <w:szCs w:val="28"/>
        </w:rPr>
      </w:pPr>
      <w:r w:rsidRPr="00283B9C">
        <w:rPr>
          <w:rFonts w:ascii="Century Gothic" w:hAnsi="Century Gothic" w:cs="Arial"/>
          <w:b/>
          <w:noProof/>
          <w:sz w:val="24"/>
          <w:szCs w:val="24"/>
          <w:lang w:val="en-PH" w:eastAsia="en-PH"/>
        </w:rPr>
        <mc:AlternateContent>
          <mc:Choice Requires="wps">
            <w:drawing>
              <wp:anchor distT="45720" distB="45720" distL="114300" distR="114300" simplePos="0" relativeHeight="251659264" behindDoc="0" locked="0" layoutInCell="1" allowOverlap="1" wp14:anchorId="4A343C73" wp14:editId="7590D0B7">
                <wp:simplePos x="0" y="0"/>
                <wp:positionH relativeFrom="margin">
                  <wp:posOffset>3200400</wp:posOffset>
                </wp:positionH>
                <wp:positionV relativeFrom="paragraph">
                  <wp:posOffset>179070</wp:posOffset>
                </wp:positionV>
                <wp:extent cx="2470150" cy="1517650"/>
                <wp:effectExtent l="0" t="0" r="635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150" cy="1517650"/>
                        </a:xfrm>
                        <a:prstGeom prst="rect">
                          <a:avLst/>
                        </a:prstGeom>
                        <a:solidFill>
                          <a:srgbClr val="FFFFFF"/>
                        </a:solidFill>
                        <a:ln w="9525">
                          <a:noFill/>
                          <a:miter lim="800000"/>
                          <a:headEnd/>
                          <a:tailEnd/>
                        </a:ln>
                      </wps:spPr>
                      <wps:txbx>
                        <w:txbxContent>
                          <w:p w14:paraId="6291345D" w14:textId="39F364FC" w:rsidR="00024F2E" w:rsidRDefault="00024F2E" w:rsidP="00C54479">
                            <w:pPr>
                              <w:rPr>
                                <w:rFonts w:ascii="Century Gothic" w:hAnsi="Century Gothic"/>
                                <w:b/>
                                <w:sz w:val="24"/>
                                <w:szCs w:val="24"/>
                              </w:rPr>
                            </w:pPr>
                            <w:bookmarkStart w:id="0" w:name="_Hlk26964621"/>
                            <w:r w:rsidRPr="00581A3C">
                              <w:rPr>
                                <w:rFonts w:ascii="Century Gothic" w:hAnsi="Century Gothic"/>
                                <w:b/>
                                <w:sz w:val="24"/>
                                <w:szCs w:val="24"/>
                              </w:rPr>
                              <w:t>CRIM. CASE NO</w:t>
                            </w:r>
                            <w:r>
                              <w:rPr>
                                <w:rFonts w:ascii="Century Gothic" w:hAnsi="Century Gothic"/>
                                <w:b/>
                                <w:sz w:val="24"/>
                                <w:szCs w:val="24"/>
                              </w:rPr>
                              <w:t xml:space="preserve">. 604-2019 </w:t>
                            </w:r>
                          </w:p>
                          <w:p w14:paraId="2B2092CC" w14:textId="0F262F1A" w:rsidR="00024F2E" w:rsidRPr="00581A3C" w:rsidRDefault="00024F2E" w:rsidP="00492C87">
                            <w:pPr>
                              <w:rPr>
                                <w:rFonts w:ascii="Century Gothic" w:hAnsi="Century Gothic"/>
                                <w:b/>
                                <w:sz w:val="24"/>
                                <w:szCs w:val="24"/>
                              </w:rPr>
                            </w:pPr>
                          </w:p>
                          <w:p w14:paraId="46E9A7E0" w14:textId="4BE4C2BD" w:rsidR="00024F2E" w:rsidRDefault="00024F2E" w:rsidP="00492C87">
                            <w:pPr>
                              <w:rPr>
                                <w:rFonts w:ascii="Century Gothic" w:hAnsi="Century Gothic"/>
                                <w:b/>
                                <w:sz w:val="24"/>
                                <w:szCs w:val="24"/>
                              </w:rPr>
                            </w:pPr>
                          </w:p>
                          <w:p w14:paraId="220F993D" w14:textId="77777777" w:rsidR="00024F2E" w:rsidRPr="00581A3C" w:rsidRDefault="00024F2E" w:rsidP="00492C87">
                            <w:pPr>
                              <w:rPr>
                                <w:rFonts w:ascii="Century Gothic" w:hAnsi="Century Gothic"/>
                                <w:b/>
                                <w:sz w:val="24"/>
                                <w:szCs w:val="24"/>
                              </w:rPr>
                            </w:pPr>
                          </w:p>
                          <w:p w14:paraId="53546DD1" w14:textId="24D06AEF" w:rsidR="00024F2E" w:rsidRDefault="00024F2E" w:rsidP="006939A7">
                            <w:pPr>
                              <w:jc w:val="both"/>
                              <w:rPr>
                                <w:rFonts w:ascii="Century Gothic" w:hAnsi="Century Gothic"/>
                                <w:b/>
                                <w:sz w:val="24"/>
                                <w:szCs w:val="24"/>
                              </w:rPr>
                            </w:pPr>
                            <w:r w:rsidRPr="00581A3C">
                              <w:rPr>
                                <w:rFonts w:ascii="Century Gothic" w:hAnsi="Century Gothic"/>
                                <w:b/>
                                <w:sz w:val="24"/>
                                <w:szCs w:val="24"/>
                              </w:rPr>
                              <w:t xml:space="preserve">FOR: </w:t>
                            </w:r>
                            <w:bookmarkEnd w:id="0"/>
                            <w:r>
                              <w:rPr>
                                <w:rFonts w:ascii="Century Gothic" w:hAnsi="Century Gothic"/>
                                <w:b/>
                                <w:sz w:val="24"/>
                                <w:szCs w:val="24"/>
                              </w:rPr>
                              <w:t>VIOLATION OF SECTION 77 OF PD 705</w:t>
                            </w:r>
                          </w:p>
                          <w:p w14:paraId="08B7BAE2" w14:textId="77777777" w:rsidR="00024F2E" w:rsidRDefault="00024F2E" w:rsidP="00492C87">
                            <w:pPr>
                              <w:jc w:val="center"/>
                              <w:rPr>
                                <w:rFonts w:ascii="Century Gothic" w:hAnsi="Century Gothic"/>
                                <w:b/>
                                <w:sz w:val="24"/>
                                <w:szCs w:val="24"/>
                              </w:rPr>
                            </w:pPr>
                          </w:p>
                          <w:p w14:paraId="214597BE" w14:textId="146FDB95" w:rsidR="00024F2E" w:rsidRPr="00492C87" w:rsidRDefault="00024F2E" w:rsidP="00492C87">
                            <w:pPr>
                              <w:jc w:val="both"/>
                              <w:rPr>
                                <w:rFonts w:ascii="Century Gothic" w:hAnsi="Century Gothic"/>
                                <w:b/>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343C73" id="_x0000_t202" coordsize="21600,21600" o:spt="202" path="m,l,21600r21600,l21600,xe">
                <v:stroke joinstyle="miter"/>
                <v:path gradientshapeok="t" o:connecttype="rect"/>
              </v:shapetype>
              <v:shape id="Text Box 2" o:spid="_x0000_s1026" type="#_x0000_t202" style="position:absolute;margin-left:252pt;margin-top:14.1pt;width:194.5pt;height:119.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" stroked="f">
                <v:textbox>
                  <w:txbxContent>
                    <w:p w14:paraId="6291345D" w14:textId="39F364FC" w:rsidR="00024F2E" w:rsidRDefault="00024F2E" w:rsidP="00C54479">
                      <w:pPr>
                        <w:rPr>
                          <w:rFonts w:ascii="Century Gothic" w:hAnsi="Century Gothic"/>
                          <w:b/>
                          <w:sz w:val="24"/>
                          <w:szCs w:val="24"/>
                        </w:rPr>
                      </w:pPr>
                      <w:bookmarkStart w:id="1" w:name="_Hlk26964621"/>
                      <w:r w:rsidRPr="00581A3C">
                        <w:rPr>
                          <w:rFonts w:ascii="Century Gothic" w:hAnsi="Century Gothic"/>
                          <w:b/>
                          <w:sz w:val="24"/>
                          <w:szCs w:val="24"/>
                        </w:rPr>
                        <w:t>CRIM. CASE NO</w:t>
                      </w:r>
                      <w:r>
                        <w:rPr>
                          <w:rFonts w:ascii="Century Gothic" w:hAnsi="Century Gothic"/>
                          <w:b/>
                          <w:sz w:val="24"/>
                          <w:szCs w:val="24"/>
                        </w:rPr>
                        <w:t xml:space="preserve">. 604-2019 </w:t>
                      </w:r>
                    </w:p>
                    <w:p w14:paraId="2B2092CC" w14:textId="0F262F1A" w:rsidR="00024F2E" w:rsidRPr="00581A3C" w:rsidRDefault="00024F2E" w:rsidP="00492C87">
                      <w:pPr>
                        <w:rPr>
                          <w:rFonts w:ascii="Century Gothic" w:hAnsi="Century Gothic"/>
                          <w:b/>
                          <w:sz w:val="24"/>
                          <w:szCs w:val="24"/>
                        </w:rPr>
                      </w:pPr>
                    </w:p>
                    <w:p w14:paraId="46E9A7E0" w14:textId="4BE4C2BD" w:rsidR="00024F2E" w:rsidRDefault="00024F2E" w:rsidP="00492C87">
                      <w:pPr>
                        <w:rPr>
                          <w:rFonts w:ascii="Century Gothic" w:hAnsi="Century Gothic"/>
                          <w:b/>
                          <w:sz w:val="24"/>
                          <w:szCs w:val="24"/>
                        </w:rPr>
                      </w:pPr>
                    </w:p>
                    <w:p w14:paraId="220F993D" w14:textId="77777777" w:rsidR="00024F2E" w:rsidRPr="00581A3C" w:rsidRDefault="00024F2E" w:rsidP="00492C87">
                      <w:pPr>
                        <w:rPr>
                          <w:rFonts w:ascii="Century Gothic" w:hAnsi="Century Gothic"/>
                          <w:b/>
                          <w:sz w:val="24"/>
                          <w:szCs w:val="24"/>
                        </w:rPr>
                      </w:pPr>
                    </w:p>
                    <w:p w14:paraId="53546DD1" w14:textId="24D06AEF" w:rsidR="00024F2E" w:rsidRDefault="00024F2E" w:rsidP="006939A7">
                      <w:pPr>
                        <w:jc w:val="both"/>
                        <w:rPr>
                          <w:rFonts w:ascii="Century Gothic" w:hAnsi="Century Gothic"/>
                          <w:b/>
                          <w:sz w:val="24"/>
                          <w:szCs w:val="24"/>
                        </w:rPr>
                      </w:pPr>
                      <w:r w:rsidRPr="00581A3C">
                        <w:rPr>
                          <w:rFonts w:ascii="Century Gothic" w:hAnsi="Century Gothic"/>
                          <w:b/>
                          <w:sz w:val="24"/>
                          <w:szCs w:val="24"/>
                        </w:rPr>
                        <w:t xml:space="preserve">FOR: </w:t>
                      </w:r>
                      <w:bookmarkEnd w:id="1"/>
                      <w:r>
                        <w:rPr>
                          <w:rFonts w:ascii="Century Gothic" w:hAnsi="Century Gothic"/>
                          <w:b/>
                          <w:sz w:val="24"/>
                          <w:szCs w:val="24"/>
                        </w:rPr>
                        <w:t>VIOLATION OF SECTION 77 OF PD 705</w:t>
                      </w:r>
                    </w:p>
                    <w:p w14:paraId="08B7BAE2" w14:textId="77777777" w:rsidR="00024F2E" w:rsidRDefault="00024F2E" w:rsidP="00492C87">
                      <w:pPr>
                        <w:jc w:val="center"/>
                        <w:rPr>
                          <w:rFonts w:ascii="Century Gothic" w:hAnsi="Century Gothic"/>
                          <w:b/>
                          <w:sz w:val="24"/>
                          <w:szCs w:val="24"/>
                        </w:rPr>
                      </w:pPr>
                    </w:p>
                    <w:p w14:paraId="214597BE" w14:textId="146FDB95" w:rsidR="00024F2E" w:rsidRPr="00492C87" w:rsidRDefault="00024F2E" w:rsidP="00492C87">
                      <w:pPr>
                        <w:jc w:val="both"/>
                        <w:rPr>
                          <w:rFonts w:ascii="Century Gothic" w:hAnsi="Century Gothic"/>
                          <w:b/>
                          <w:sz w:val="24"/>
                          <w:szCs w:val="24"/>
                        </w:rPr>
                      </w:pPr>
                    </w:p>
                  </w:txbxContent>
                </v:textbox>
                <w10:wrap type="square" anchorx="margin"/>
              </v:shape>
            </w:pict>
          </mc:Fallback>
        </mc:AlternateContent>
      </w:r>
    </w:p>
    <w:p w14:paraId="24492B5C" w14:textId="72FD3D8A" w:rsidR="00A22AA8" w:rsidRPr="00283B9C" w:rsidRDefault="002F513F" w:rsidP="002F513F">
      <w:pPr>
        <w:ind w:right="4824"/>
        <w:jc w:val="both"/>
        <w:rPr>
          <w:rFonts w:ascii="Century Gothic" w:hAnsi="Century Gothic" w:cs="Arial"/>
          <w:b/>
          <w:sz w:val="24"/>
          <w:szCs w:val="24"/>
        </w:rPr>
      </w:pPr>
      <w:r w:rsidRPr="00283B9C">
        <w:rPr>
          <w:rFonts w:ascii="Century Gothic" w:hAnsi="Century Gothic" w:cs="Arial"/>
          <w:b/>
          <w:sz w:val="24"/>
          <w:szCs w:val="24"/>
        </w:rPr>
        <w:t>THE PEOPLE OF THE PHILIPPINES,</w:t>
      </w:r>
    </w:p>
    <w:p w14:paraId="105FF759" w14:textId="3A46FCEF" w:rsidR="002F513F" w:rsidRPr="00283B9C" w:rsidRDefault="002F513F" w:rsidP="00581A3C">
      <w:pPr>
        <w:ind w:right="4824" w:firstLine="2410"/>
        <w:jc w:val="both"/>
        <w:rPr>
          <w:rFonts w:ascii="Century Gothic" w:hAnsi="Century Gothic" w:cs="Arial"/>
          <w:i/>
          <w:sz w:val="24"/>
          <w:szCs w:val="24"/>
        </w:rPr>
      </w:pPr>
      <w:r w:rsidRPr="00283B9C">
        <w:rPr>
          <w:rFonts w:ascii="Century Gothic" w:hAnsi="Century Gothic" w:cs="Arial"/>
          <w:i/>
          <w:sz w:val="24"/>
          <w:szCs w:val="24"/>
        </w:rPr>
        <w:t xml:space="preserve">Plaintiff, </w:t>
      </w:r>
    </w:p>
    <w:p w14:paraId="623B03D9" w14:textId="36C9C0A0" w:rsidR="00A158FA" w:rsidRPr="00283B9C" w:rsidRDefault="00A158FA" w:rsidP="00A158FA">
      <w:pPr>
        <w:spacing w:line="360" w:lineRule="auto"/>
        <w:rPr>
          <w:rFonts w:ascii="Century Gothic" w:hAnsi="Century Gothic" w:cs="Arial"/>
          <w:i/>
          <w:sz w:val="24"/>
          <w:szCs w:val="24"/>
        </w:rPr>
      </w:pPr>
    </w:p>
    <w:p w14:paraId="5778E82A" w14:textId="7C432902" w:rsidR="00D15B66" w:rsidRPr="00283B9C" w:rsidRDefault="00D15B66" w:rsidP="00D15B66">
      <w:pPr>
        <w:ind w:right="5249"/>
        <w:rPr>
          <w:rFonts w:ascii="Century Gothic" w:hAnsi="Century Gothic" w:cs="Arial"/>
          <w:sz w:val="24"/>
          <w:szCs w:val="24"/>
        </w:rPr>
      </w:pPr>
      <w:r w:rsidRPr="00283B9C">
        <w:rPr>
          <w:rFonts w:ascii="Century Gothic" w:hAnsi="Century Gothic" w:cs="Arial"/>
          <w:sz w:val="24"/>
          <w:szCs w:val="24"/>
        </w:rPr>
        <w:t xml:space="preserve">                   - versus -</w:t>
      </w:r>
    </w:p>
    <w:p w14:paraId="339D2901" w14:textId="77777777" w:rsidR="00A158FA" w:rsidRPr="00283B9C" w:rsidRDefault="00A158FA" w:rsidP="00A158FA">
      <w:pPr>
        <w:spacing w:line="360" w:lineRule="auto"/>
        <w:rPr>
          <w:rFonts w:ascii="Century Gothic" w:hAnsi="Century Gothic" w:cs="Arial"/>
          <w:sz w:val="24"/>
          <w:szCs w:val="24"/>
        </w:rPr>
      </w:pPr>
    </w:p>
    <w:p w14:paraId="010D8B12" w14:textId="0B2E5A9A" w:rsidR="00D15B66" w:rsidRPr="00283B9C" w:rsidRDefault="008D7695" w:rsidP="002F513F">
      <w:pPr>
        <w:ind w:right="5107"/>
        <w:jc w:val="both"/>
        <w:rPr>
          <w:rFonts w:ascii="Century Gothic" w:hAnsi="Century Gothic" w:cs="Arial"/>
          <w:b/>
          <w:sz w:val="24"/>
          <w:szCs w:val="24"/>
        </w:rPr>
      </w:pPr>
      <w:r>
        <w:rPr>
          <w:rFonts w:ascii="Century Gothic" w:hAnsi="Century Gothic" w:cs="Arial"/>
          <w:b/>
          <w:sz w:val="24"/>
          <w:szCs w:val="24"/>
        </w:rPr>
        <w:t>RENEE PALLERA SUBRICAREY</w:t>
      </w:r>
      <w:r w:rsidR="002F513F" w:rsidRPr="00283B9C">
        <w:rPr>
          <w:rFonts w:ascii="Century Gothic" w:hAnsi="Century Gothic" w:cs="Arial"/>
          <w:b/>
          <w:sz w:val="24"/>
          <w:szCs w:val="24"/>
        </w:rPr>
        <w:t>,</w:t>
      </w:r>
    </w:p>
    <w:p w14:paraId="0F666D75" w14:textId="6F180902" w:rsidR="008B4FE4" w:rsidRPr="00283B9C" w:rsidRDefault="00581A3C" w:rsidP="00581A3C">
      <w:pPr>
        <w:ind w:firstLine="2127"/>
        <w:rPr>
          <w:rFonts w:ascii="Century Gothic" w:hAnsi="Century Gothic" w:cs="Arial"/>
          <w:i/>
          <w:sz w:val="24"/>
          <w:szCs w:val="24"/>
        </w:rPr>
      </w:pPr>
      <w:r>
        <w:rPr>
          <w:rFonts w:ascii="Century Gothic" w:hAnsi="Century Gothic" w:cs="Arial"/>
          <w:sz w:val="24"/>
          <w:szCs w:val="24"/>
        </w:rPr>
        <w:tab/>
        <w:t xml:space="preserve">    </w:t>
      </w:r>
      <w:r w:rsidR="002F513F" w:rsidRPr="00283B9C">
        <w:rPr>
          <w:rFonts w:ascii="Century Gothic" w:hAnsi="Century Gothic" w:cs="Arial"/>
          <w:i/>
          <w:sz w:val="24"/>
          <w:szCs w:val="24"/>
        </w:rPr>
        <w:t>Accused</w:t>
      </w:r>
      <w:r w:rsidR="00A158FA" w:rsidRPr="00283B9C">
        <w:rPr>
          <w:rFonts w:ascii="Century Gothic" w:hAnsi="Century Gothic" w:cs="Arial"/>
          <w:i/>
          <w:sz w:val="24"/>
          <w:szCs w:val="24"/>
        </w:rPr>
        <w:t>.</w:t>
      </w:r>
    </w:p>
    <w:p w14:paraId="6B11F0FC" w14:textId="25699DA8" w:rsidR="00D15B66" w:rsidRPr="00283B9C" w:rsidRDefault="00D15B66" w:rsidP="00A22AA8">
      <w:pPr>
        <w:rPr>
          <w:rFonts w:ascii="Century Gothic" w:hAnsi="Century Gothic" w:cs="Arial"/>
          <w:sz w:val="24"/>
          <w:szCs w:val="24"/>
        </w:rPr>
      </w:pPr>
      <w:r w:rsidRPr="00283B9C">
        <w:rPr>
          <w:rFonts w:ascii="Century Gothic" w:hAnsi="Century Gothic" w:cs="Arial"/>
          <w:sz w:val="24"/>
          <w:szCs w:val="24"/>
        </w:rPr>
        <w:t xml:space="preserve">x - - - - - - - - - </w:t>
      </w:r>
      <w:r w:rsidR="00581A3C">
        <w:rPr>
          <w:rFonts w:ascii="Century Gothic" w:hAnsi="Century Gothic" w:cs="Arial"/>
          <w:sz w:val="24"/>
          <w:szCs w:val="24"/>
        </w:rPr>
        <w:t xml:space="preserve">- - - - - - - - - - - - - - - </w:t>
      </w:r>
      <w:r w:rsidRPr="00283B9C">
        <w:rPr>
          <w:rFonts w:ascii="Century Gothic" w:hAnsi="Century Gothic" w:cs="Arial"/>
          <w:sz w:val="24"/>
          <w:szCs w:val="24"/>
        </w:rPr>
        <w:t>x</w:t>
      </w:r>
    </w:p>
    <w:p w14:paraId="554CADB1" w14:textId="77777777" w:rsidR="00035831" w:rsidRPr="008D7039" w:rsidRDefault="00035831" w:rsidP="001655ED">
      <w:pPr>
        <w:jc w:val="center"/>
        <w:rPr>
          <w:rFonts w:ascii="Century Gothic" w:hAnsi="Century Gothic" w:cs="Arial"/>
          <w:b/>
          <w:sz w:val="40"/>
          <w:szCs w:val="40"/>
          <w:u w:val="single"/>
        </w:rPr>
      </w:pPr>
    </w:p>
    <w:p w14:paraId="3DA4AD21" w14:textId="09F8CB8C" w:rsidR="00D15B66" w:rsidRPr="008D7039" w:rsidRDefault="009F2F0D" w:rsidP="001655ED">
      <w:pPr>
        <w:jc w:val="center"/>
        <w:rPr>
          <w:rFonts w:ascii="Century Gothic" w:hAnsi="Century Gothic" w:cs="Arial"/>
          <w:b/>
          <w:sz w:val="36"/>
          <w:szCs w:val="36"/>
          <w:u w:val="single"/>
        </w:rPr>
      </w:pPr>
      <w:r>
        <w:rPr>
          <w:rFonts w:ascii="Century Gothic" w:hAnsi="Century Gothic" w:cs="Arial"/>
          <w:b/>
          <w:sz w:val="36"/>
          <w:szCs w:val="36"/>
          <w:u w:val="single"/>
        </w:rPr>
        <w:t>R</w:t>
      </w:r>
      <w:r w:rsidRPr="009F2F0D">
        <w:rPr>
          <w:rFonts w:ascii="Century Gothic" w:hAnsi="Century Gothic" w:cs="Arial"/>
          <w:b/>
          <w:sz w:val="36"/>
          <w:szCs w:val="36"/>
        </w:rPr>
        <w:t xml:space="preserve"> </w:t>
      </w:r>
      <w:r>
        <w:rPr>
          <w:rFonts w:ascii="Century Gothic" w:hAnsi="Century Gothic" w:cs="Arial"/>
          <w:b/>
          <w:sz w:val="36"/>
          <w:szCs w:val="36"/>
          <w:u w:val="single"/>
        </w:rPr>
        <w:t>E</w:t>
      </w:r>
      <w:r w:rsidRPr="009F2F0D">
        <w:rPr>
          <w:rFonts w:ascii="Century Gothic" w:hAnsi="Century Gothic" w:cs="Arial"/>
          <w:b/>
          <w:sz w:val="36"/>
          <w:szCs w:val="36"/>
        </w:rPr>
        <w:t xml:space="preserve"> </w:t>
      </w:r>
      <w:r>
        <w:rPr>
          <w:rFonts w:ascii="Century Gothic" w:hAnsi="Century Gothic" w:cs="Arial"/>
          <w:b/>
          <w:sz w:val="36"/>
          <w:szCs w:val="36"/>
          <w:u w:val="single"/>
        </w:rPr>
        <w:t>S</w:t>
      </w:r>
      <w:r w:rsidRPr="009F2F0D">
        <w:rPr>
          <w:rFonts w:ascii="Century Gothic" w:hAnsi="Century Gothic" w:cs="Arial"/>
          <w:b/>
          <w:sz w:val="36"/>
          <w:szCs w:val="36"/>
        </w:rPr>
        <w:t xml:space="preserve"> </w:t>
      </w:r>
      <w:r>
        <w:rPr>
          <w:rFonts w:ascii="Century Gothic" w:hAnsi="Century Gothic" w:cs="Arial"/>
          <w:b/>
          <w:sz w:val="36"/>
          <w:szCs w:val="36"/>
          <w:u w:val="single"/>
        </w:rPr>
        <w:t>O</w:t>
      </w:r>
      <w:r w:rsidRPr="009F2F0D">
        <w:rPr>
          <w:rFonts w:ascii="Century Gothic" w:hAnsi="Century Gothic" w:cs="Arial"/>
          <w:b/>
          <w:sz w:val="36"/>
          <w:szCs w:val="36"/>
        </w:rPr>
        <w:t xml:space="preserve"> </w:t>
      </w:r>
      <w:r>
        <w:rPr>
          <w:rFonts w:ascii="Century Gothic" w:hAnsi="Century Gothic" w:cs="Arial"/>
          <w:b/>
          <w:sz w:val="36"/>
          <w:szCs w:val="36"/>
          <w:u w:val="single"/>
        </w:rPr>
        <w:t>L</w:t>
      </w:r>
      <w:r w:rsidRPr="009F2F0D">
        <w:rPr>
          <w:rFonts w:ascii="Century Gothic" w:hAnsi="Century Gothic" w:cs="Arial"/>
          <w:b/>
          <w:sz w:val="36"/>
          <w:szCs w:val="36"/>
        </w:rPr>
        <w:t xml:space="preserve"> </w:t>
      </w:r>
      <w:r>
        <w:rPr>
          <w:rFonts w:ascii="Century Gothic" w:hAnsi="Century Gothic" w:cs="Arial"/>
          <w:b/>
          <w:sz w:val="36"/>
          <w:szCs w:val="36"/>
          <w:u w:val="single"/>
        </w:rPr>
        <w:t>U</w:t>
      </w:r>
      <w:r w:rsidRPr="009F2F0D">
        <w:rPr>
          <w:rFonts w:ascii="Century Gothic" w:hAnsi="Century Gothic" w:cs="Arial"/>
          <w:b/>
          <w:sz w:val="36"/>
          <w:szCs w:val="36"/>
        </w:rPr>
        <w:t xml:space="preserve"> </w:t>
      </w:r>
      <w:r>
        <w:rPr>
          <w:rFonts w:ascii="Century Gothic" w:hAnsi="Century Gothic" w:cs="Arial"/>
          <w:b/>
          <w:sz w:val="36"/>
          <w:szCs w:val="36"/>
          <w:u w:val="single"/>
        </w:rPr>
        <w:t>T</w:t>
      </w:r>
      <w:r w:rsidRPr="009F2F0D">
        <w:rPr>
          <w:rFonts w:ascii="Century Gothic" w:hAnsi="Century Gothic" w:cs="Arial"/>
          <w:b/>
          <w:sz w:val="36"/>
          <w:szCs w:val="36"/>
        </w:rPr>
        <w:t xml:space="preserve"> </w:t>
      </w:r>
      <w:r>
        <w:rPr>
          <w:rFonts w:ascii="Century Gothic" w:hAnsi="Century Gothic" w:cs="Arial"/>
          <w:b/>
          <w:sz w:val="36"/>
          <w:szCs w:val="36"/>
          <w:u w:val="single"/>
        </w:rPr>
        <w:t>I</w:t>
      </w:r>
      <w:r w:rsidRPr="009F2F0D">
        <w:rPr>
          <w:rFonts w:ascii="Century Gothic" w:hAnsi="Century Gothic" w:cs="Arial"/>
          <w:b/>
          <w:sz w:val="36"/>
          <w:szCs w:val="36"/>
        </w:rPr>
        <w:t xml:space="preserve"> </w:t>
      </w:r>
      <w:r>
        <w:rPr>
          <w:rFonts w:ascii="Century Gothic" w:hAnsi="Century Gothic" w:cs="Arial"/>
          <w:b/>
          <w:sz w:val="36"/>
          <w:szCs w:val="36"/>
          <w:u w:val="single"/>
        </w:rPr>
        <w:t>O</w:t>
      </w:r>
      <w:r w:rsidRPr="009F2F0D">
        <w:rPr>
          <w:rFonts w:ascii="Century Gothic" w:hAnsi="Century Gothic" w:cs="Arial"/>
          <w:b/>
          <w:sz w:val="36"/>
          <w:szCs w:val="36"/>
        </w:rPr>
        <w:t xml:space="preserve"> </w:t>
      </w:r>
      <w:r>
        <w:rPr>
          <w:rFonts w:ascii="Century Gothic" w:hAnsi="Century Gothic" w:cs="Arial"/>
          <w:b/>
          <w:sz w:val="36"/>
          <w:szCs w:val="36"/>
          <w:u w:val="single"/>
        </w:rPr>
        <w:t>N</w:t>
      </w:r>
    </w:p>
    <w:p w14:paraId="4962B37E" w14:textId="77777777" w:rsidR="00581A3C" w:rsidRDefault="00581A3C" w:rsidP="00581A3C">
      <w:pPr>
        <w:spacing w:line="360" w:lineRule="auto"/>
        <w:jc w:val="both"/>
        <w:rPr>
          <w:rFonts w:ascii="Century Gothic" w:hAnsi="Century Gothic" w:cs="Arial"/>
          <w:sz w:val="28"/>
          <w:szCs w:val="28"/>
        </w:rPr>
      </w:pPr>
    </w:p>
    <w:p w14:paraId="7AF184E6" w14:textId="5377673B" w:rsidR="003E768C" w:rsidRDefault="00D34D02" w:rsidP="00BC5E31">
      <w:pPr>
        <w:ind w:firstLine="720"/>
        <w:jc w:val="both"/>
        <w:rPr>
          <w:rFonts w:ascii="Century Gothic" w:hAnsi="Century Gothic" w:cs="Arial"/>
          <w:sz w:val="28"/>
          <w:szCs w:val="28"/>
        </w:rPr>
      </w:pPr>
      <w:r>
        <w:rPr>
          <w:rFonts w:ascii="Century Gothic" w:hAnsi="Century Gothic" w:cs="Arial"/>
          <w:sz w:val="28"/>
          <w:szCs w:val="28"/>
        </w:rPr>
        <w:t xml:space="preserve">This </w:t>
      </w:r>
      <w:r w:rsidR="009F2F0D">
        <w:rPr>
          <w:rFonts w:ascii="Century Gothic" w:hAnsi="Century Gothic" w:cs="Arial"/>
          <w:sz w:val="28"/>
          <w:szCs w:val="28"/>
        </w:rPr>
        <w:t xml:space="preserve">resolves the DEMURRER TO EVIDENCE filed </w:t>
      </w:r>
      <w:r w:rsidR="00641133">
        <w:rPr>
          <w:rFonts w:ascii="Century Gothic" w:hAnsi="Century Gothic" w:cs="Arial"/>
          <w:sz w:val="28"/>
          <w:szCs w:val="28"/>
        </w:rPr>
        <w:t>by accused</w:t>
      </w:r>
      <w:r w:rsidR="003027A9">
        <w:rPr>
          <w:rFonts w:ascii="Century Gothic" w:hAnsi="Century Gothic" w:cs="Arial"/>
          <w:sz w:val="28"/>
          <w:szCs w:val="28"/>
        </w:rPr>
        <w:t xml:space="preserve"> </w:t>
      </w:r>
      <w:r w:rsidR="00641133">
        <w:rPr>
          <w:rFonts w:ascii="Century Gothic" w:hAnsi="Century Gothic" w:cs="Arial"/>
          <w:sz w:val="28"/>
          <w:szCs w:val="28"/>
        </w:rPr>
        <w:t xml:space="preserve">through counsel, Atty. </w:t>
      </w:r>
      <w:r w:rsidR="001D527E">
        <w:rPr>
          <w:rFonts w:ascii="Century Gothic" w:hAnsi="Century Gothic" w:cs="Arial"/>
          <w:sz w:val="28"/>
          <w:szCs w:val="28"/>
        </w:rPr>
        <w:t xml:space="preserve">Mitos Shiela J. </w:t>
      </w:r>
      <w:proofErr w:type="spellStart"/>
      <w:r w:rsidR="001D527E">
        <w:rPr>
          <w:rFonts w:ascii="Century Gothic" w:hAnsi="Century Gothic" w:cs="Arial"/>
          <w:sz w:val="28"/>
          <w:szCs w:val="28"/>
        </w:rPr>
        <w:t>Perandos</w:t>
      </w:r>
      <w:proofErr w:type="spellEnd"/>
      <w:r w:rsidR="001D527E">
        <w:rPr>
          <w:rFonts w:ascii="Century Gothic" w:hAnsi="Century Gothic" w:cs="Arial"/>
          <w:sz w:val="28"/>
          <w:szCs w:val="28"/>
        </w:rPr>
        <w:t>-Evangelista of the Public Attorney’s</w:t>
      </w:r>
      <w:r w:rsidR="00360D4F">
        <w:rPr>
          <w:rFonts w:ascii="Century Gothic" w:hAnsi="Century Gothic" w:cs="Arial"/>
          <w:sz w:val="28"/>
          <w:szCs w:val="28"/>
        </w:rPr>
        <w:t>, contending that</w:t>
      </w:r>
      <w:r w:rsidR="00483F88">
        <w:rPr>
          <w:rFonts w:ascii="Century Gothic" w:hAnsi="Century Gothic" w:cs="Arial"/>
          <w:sz w:val="28"/>
          <w:szCs w:val="28"/>
        </w:rPr>
        <w:t xml:space="preserve"> the prosecution failed to prove the guilt of the accused beyond reasonable doubt</w:t>
      </w:r>
      <w:r w:rsidR="00603C83">
        <w:rPr>
          <w:rFonts w:ascii="Century Gothic" w:hAnsi="Century Gothic" w:cs="Arial"/>
          <w:sz w:val="28"/>
          <w:szCs w:val="28"/>
        </w:rPr>
        <w:t xml:space="preserve">. </w:t>
      </w:r>
      <w:r w:rsidR="00190C27">
        <w:rPr>
          <w:rFonts w:ascii="Century Gothic" w:hAnsi="Century Gothic" w:cs="Arial"/>
          <w:sz w:val="28"/>
          <w:szCs w:val="28"/>
        </w:rPr>
        <w:t xml:space="preserve">As such, </w:t>
      </w:r>
      <w:r w:rsidR="00A652E4">
        <w:rPr>
          <w:rFonts w:ascii="Century Gothic" w:hAnsi="Century Gothic" w:cs="Arial"/>
          <w:sz w:val="28"/>
          <w:szCs w:val="28"/>
        </w:rPr>
        <w:t>the defense moved for the dismissal of the case</w:t>
      </w:r>
      <w:r w:rsidR="00190C27">
        <w:rPr>
          <w:rFonts w:ascii="Century Gothic" w:hAnsi="Century Gothic" w:cs="Arial"/>
          <w:sz w:val="28"/>
          <w:szCs w:val="28"/>
        </w:rPr>
        <w:t xml:space="preserve"> on the grou</w:t>
      </w:r>
      <w:r w:rsidR="000B4FD5">
        <w:rPr>
          <w:rFonts w:ascii="Century Gothic" w:hAnsi="Century Gothic" w:cs="Arial"/>
          <w:sz w:val="28"/>
          <w:szCs w:val="28"/>
        </w:rPr>
        <w:t>nd of insufficiency of evidence</w:t>
      </w:r>
      <w:r w:rsidR="00502542">
        <w:rPr>
          <w:rFonts w:ascii="Century Gothic" w:hAnsi="Century Gothic" w:cs="Arial"/>
          <w:sz w:val="28"/>
          <w:szCs w:val="28"/>
        </w:rPr>
        <w:t>.</w:t>
      </w:r>
      <w:r w:rsidR="00190C27">
        <w:rPr>
          <w:rFonts w:ascii="Century Gothic" w:hAnsi="Century Gothic" w:cs="Arial"/>
          <w:sz w:val="28"/>
          <w:szCs w:val="28"/>
        </w:rPr>
        <w:t xml:space="preserve"> </w:t>
      </w:r>
      <w:r w:rsidR="00475D3A">
        <w:rPr>
          <w:rFonts w:ascii="Century Gothic" w:hAnsi="Century Gothic" w:cs="Arial"/>
          <w:sz w:val="28"/>
          <w:szCs w:val="28"/>
        </w:rPr>
        <w:t xml:space="preserve"> </w:t>
      </w:r>
    </w:p>
    <w:p w14:paraId="070C913F" w14:textId="77777777" w:rsidR="00D34D02" w:rsidRDefault="00D34D02" w:rsidP="00B25F64">
      <w:pPr>
        <w:spacing w:line="360" w:lineRule="auto"/>
        <w:jc w:val="both"/>
        <w:rPr>
          <w:rFonts w:ascii="Century Gothic" w:hAnsi="Century Gothic" w:cs="Arial"/>
          <w:sz w:val="28"/>
          <w:szCs w:val="28"/>
        </w:rPr>
      </w:pPr>
    </w:p>
    <w:p w14:paraId="5850129D" w14:textId="6CE8CF26" w:rsidR="00E12521" w:rsidRDefault="00D34D02" w:rsidP="0026657A">
      <w:pPr>
        <w:ind w:firstLine="720"/>
        <w:jc w:val="both"/>
        <w:rPr>
          <w:rFonts w:ascii="Century Gothic" w:hAnsi="Century Gothic" w:cs="Arial"/>
          <w:sz w:val="28"/>
          <w:szCs w:val="28"/>
        </w:rPr>
      </w:pPr>
      <w:r>
        <w:rPr>
          <w:rFonts w:ascii="Century Gothic" w:hAnsi="Century Gothic" w:cs="Arial"/>
          <w:sz w:val="28"/>
          <w:szCs w:val="28"/>
        </w:rPr>
        <w:t xml:space="preserve">On </w:t>
      </w:r>
      <w:r w:rsidR="001003F5">
        <w:rPr>
          <w:rFonts w:ascii="Century Gothic" w:hAnsi="Century Gothic" w:cs="Arial"/>
          <w:sz w:val="28"/>
          <w:szCs w:val="28"/>
        </w:rPr>
        <w:t>September 2</w:t>
      </w:r>
      <w:r w:rsidR="00BB3641">
        <w:rPr>
          <w:rFonts w:ascii="Century Gothic" w:hAnsi="Century Gothic" w:cs="Arial"/>
          <w:sz w:val="28"/>
          <w:szCs w:val="28"/>
        </w:rPr>
        <w:t>0, 2019</w:t>
      </w:r>
      <w:r>
        <w:rPr>
          <w:rFonts w:ascii="Century Gothic" w:hAnsi="Century Gothic" w:cs="Arial"/>
          <w:sz w:val="28"/>
          <w:szCs w:val="28"/>
        </w:rPr>
        <w:t xml:space="preserve">, </w:t>
      </w:r>
      <w:r w:rsidR="001F2466">
        <w:rPr>
          <w:rFonts w:ascii="Century Gothic" w:hAnsi="Century Gothic" w:cs="Arial"/>
          <w:sz w:val="28"/>
          <w:szCs w:val="28"/>
        </w:rPr>
        <w:t>an Information</w:t>
      </w:r>
      <w:r w:rsidR="00693D36">
        <w:rPr>
          <w:rFonts w:ascii="Century Gothic" w:hAnsi="Century Gothic" w:cs="Arial"/>
          <w:sz w:val="28"/>
          <w:szCs w:val="28"/>
        </w:rPr>
        <w:t xml:space="preserve"> </w:t>
      </w:r>
      <w:r w:rsidR="001F2466">
        <w:rPr>
          <w:rFonts w:ascii="Century Gothic" w:hAnsi="Century Gothic" w:cs="Arial"/>
          <w:sz w:val="28"/>
          <w:szCs w:val="28"/>
        </w:rPr>
        <w:t>was filed</w:t>
      </w:r>
      <w:r>
        <w:rPr>
          <w:rFonts w:ascii="Century Gothic" w:hAnsi="Century Gothic" w:cs="Arial"/>
          <w:sz w:val="28"/>
          <w:szCs w:val="28"/>
        </w:rPr>
        <w:t xml:space="preserve"> </w:t>
      </w:r>
      <w:r w:rsidR="00C67FF2">
        <w:rPr>
          <w:rFonts w:ascii="Century Gothic" w:hAnsi="Century Gothic" w:cs="Arial"/>
          <w:sz w:val="28"/>
          <w:szCs w:val="28"/>
        </w:rPr>
        <w:t xml:space="preserve">with the Court </w:t>
      </w:r>
      <w:r>
        <w:rPr>
          <w:rFonts w:ascii="Century Gothic" w:hAnsi="Century Gothic" w:cs="Arial"/>
          <w:sz w:val="28"/>
          <w:szCs w:val="28"/>
        </w:rPr>
        <w:t xml:space="preserve">against the above-named accused </w:t>
      </w:r>
      <w:r w:rsidR="00E12521">
        <w:rPr>
          <w:rFonts w:ascii="Century Gothic" w:hAnsi="Century Gothic" w:cs="Arial"/>
          <w:sz w:val="28"/>
          <w:szCs w:val="28"/>
        </w:rPr>
        <w:t xml:space="preserve">for </w:t>
      </w:r>
      <w:r w:rsidR="00BB3641">
        <w:rPr>
          <w:rFonts w:ascii="Century Gothic" w:hAnsi="Century Gothic" w:cs="Arial"/>
          <w:sz w:val="28"/>
          <w:szCs w:val="28"/>
        </w:rPr>
        <w:t>violation of Section 77</w:t>
      </w:r>
      <w:r w:rsidR="00F212B6">
        <w:rPr>
          <w:rFonts w:ascii="Century Gothic" w:hAnsi="Century Gothic" w:cs="Arial"/>
          <w:sz w:val="28"/>
          <w:szCs w:val="28"/>
        </w:rPr>
        <w:t>, paragraph b,</w:t>
      </w:r>
      <w:r w:rsidR="00BB3641">
        <w:rPr>
          <w:rFonts w:ascii="Century Gothic" w:hAnsi="Century Gothic" w:cs="Arial"/>
          <w:sz w:val="28"/>
          <w:szCs w:val="28"/>
        </w:rPr>
        <w:t xml:space="preserve"> of Presidential Decree No. </w:t>
      </w:r>
      <w:r w:rsidR="00F212B6">
        <w:rPr>
          <w:rFonts w:ascii="Century Gothic" w:hAnsi="Century Gothic" w:cs="Arial"/>
          <w:sz w:val="28"/>
          <w:szCs w:val="28"/>
        </w:rPr>
        <w:t xml:space="preserve">705 (PD 705), otherwise known as the </w:t>
      </w:r>
      <w:r w:rsidR="00F212B6" w:rsidRPr="00F212B6">
        <w:rPr>
          <w:rFonts w:ascii="Century Gothic" w:hAnsi="Century Gothic" w:cs="Arial"/>
          <w:sz w:val="28"/>
          <w:szCs w:val="28"/>
        </w:rPr>
        <w:t>Revised Forestry Code of the Philippines</w:t>
      </w:r>
      <w:r w:rsidR="00F212B6">
        <w:rPr>
          <w:rFonts w:ascii="Century Gothic" w:hAnsi="Century Gothic" w:cs="Arial"/>
          <w:sz w:val="28"/>
          <w:szCs w:val="28"/>
        </w:rPr>
        <w:t>, as amended</w:t>
      </w:r>
      <w:r w:rsidR="00C67FF2">
        <w:rPr>
          <w:rFonts w:ascii="Century Gothic" w:hAnsi="Century Gothic" w:cs="Arial"/>
          <w:sz w:val="28"/>
          <w:szCs w:val="28"/>
        </w:rPr>
        <w:t>. The accusatory portion of the Information</w:t>
      </w:r>
      <w:r w:rsidR="00E12521">
        <w:rPr>
          <w:rFonts w:ascii="Century Gothic" w:hAnsi="Century Gothic" w:cs="Arial"/>
          <w:sz w:val="28"/>
          <w:szCs w:val="28"/>
        </w:rPr>
        <w:t xml:space="preserve"> state</w:t>
      </w:r>
      <w:r w:rsidR="00C67FF2">
        <w:rPr>
          <w:rFonts w:ascii="Century Gothic" w:hAnsi="Century Gothic" w:cs="Arial"/>
          <w:sz w:val="28"/>
          <w:szCs w:val="28"/>
        </w:rPr>
        <w:t>s</w:t>
      </w:r>
      <w:r w:rsidR="00E12521">
        <w:rPr>
          <w:rFonts w:ascii="Century Gothic" w:hAnsi="Century Gothic" w:cs="Arial"/>
          <w:sz w:val="28"/>
          <w:szCs w:val="28"/>
        </w:rPr>
        <w:t xml:space="preserve">: </w:t>
      </w:r>
    </w:p>
    <w:p w14:paraId="03DF7E7D" w14:textId="77777777" w:rsidR="00283B9C" w:rsidRDefault="00283B9C" w:rsidP="004D34A7">
      <w:pPr>
        <w:spacing w:line="360" w:lineRule="auto"/>
        <w:jc w:val="both"/>
        <w:rPr>
          <w:rFonts w:ascii="Century Gothic" w:hAnsi="Century Gothic" w:cs="Arial"/>
          <w:sz w:val="24"/>
          <w:szCs w:val="24"/>
        </w:rPr>
      </w:pPr>
    </w:p>
    <w:p w14:paraId="1E7DF05D" w14:textId="77777777" w:rsidR="00F212B6" w:rsidRPr="00F212B6" w:rsidRDefault="00F212B6" w:rsidP="00F212B6">
      <w:pPr>
        <w:ind w:right="571" w:firstLine="709"/>
        <w:jc w:val="center"/>
        <w:rPr>
          <w:rFonts w:ascii="Century Gothic" w:hAnsi="Century Gothic" w:cs="Arial"/>
          <w:b/>
          <w:sz w:val="24"/>
          <w:szCs w:val="24"/>
        </w:rPr>
      </w:pPr>
      <w:r w:rsidRPr="00F212B6">
        <w:rPr>
          <w:rFonts w:ascii="Century Gothic" w:hAnsi="Century Gothic" w:cs="Arial"/>
          <w:b/>
          <w:sz w:val="24"/>
          <w:szCs w:val="24"/>
        </w:rPr>
        <w:t>INFORMATION</w:t>
      </w:r>
    </w:p>
    <w:p w14:paraId="672F1329" w14:textId="13FEEF07" w:rsidR="00F212B6" w:rsidRDefault="00F212B6" w:rsidP="00CF0EE3">
      <w:pPr>
        <w:ind w:left="709" w:right="571" w:firstLine="425"/>
        <w:jc w:val="both"/>
        <w:rPr>
          <w:rFonts w:ascii="Century Gothic" w:hAnsi="Century Gothic" w:cs="Arial"/>
          <w:sz w:val="24"/>
          <w:szCs w:val="24"/>
        </w:rPr>
      </w:pPr>
    </w:p>
    <w:p w14:paraId="36249EEF" w14:textId="725C9B39" w:rsidR="00F212B6" w:rsidRDefault="00F212B6" w:rsidP="00F212B6">
      <w:pPr>
        <w:ind w:left="709" w:right="540" w:firstLine="425"/>
        <w:jc w:val="both"/>
        <w:rPr>
          <w:rFonts w:ascii="Century Gothic" w:hAnsi="Century Gothic" w:cs="Arial"/>
          <w:sz w:val="24"/>
          <w:szCs w:val="24"/>
        </w:rPr>
      </w:pPr>
      <w:r>
        <w:rPr>
          <w:rFonts w:ascii="Century Gothic" w:hAnsi="Century Gothic" w:cs="Arial"/>
          <w:sz w:val="24"/>
          <w:szCs w:val="24"/>
        </w:rPr>
        <w:t xml:space="preserve">The undersigned accuses </w:t>
      </w:r>
      <w:r w:rsidRPr="00F212B6">
        <w:rPr>
          <w:rFonts w:ascii="Century Gothic" w:hAnsi="Century Gothic" w:cs="Arial"/>
          <w:b/>
          <w:sz w:val="24"/>
          <w:szCs w:val="24"/>
        </w:rPr>
        <w:t>RENEE PALLERA SUBRICAREY</w:t>
      </w:r>
      <w:r>
        <w:rPr>
          <w:rFonts w:ascii="Century Gothic" w:hAnsi="Century Gothic" w:cs="Arial"/>
          <w:sz w:val="24"/>
          <w:szCs w:val="24"/>
        </w:rPr>
        <w:t>, for Violation of Section 77 paragraph b of P.D. 705 as amended, committed as follows:</w:t>
      </w:r>
    </w:p>
    <w:p w14:paraId="65BBCE25" w14:textId="77777777" w:rsidR="00F212B6" w:rsidRDefault="00F212B6" w:rsidP="00CF0EE3">
      <w:pPr>
        <w:ind w:left="709" w:right="571" w:firstLine="425"/>
        <w:jc w:val="both"/>
        <w:rPr>
          <w:rFonts w:ascii="Century Gothic" w:hAnsi="Century Gothic" w:cs="Arial"/>
          <w:sz w:val="24"/>
          <w:szCs w:val="24"/>
        </w:rPr>
      </w:pPr>
    </w:p>
    <w:p w14:paraId="4F171AD0" w14:textId="1C4AE12D" w:rsidR="00F212B6" w:rsidRDefault="0026657A" w:rsidP="00F212B6">
      <w:pPr>
        <w:ind w:left="1080" w:right="900" w:firstLine="425"/>
        <w:jc w:val="both"/>
        <w:rPr>
          <w:rFonts w:ascii="Century Gothic" w:hAnsi="Century Gothic" w:cs="Arial"/>
          <w:sz w:val="24"/>
          <w:szCs w:val="24"/>
        </w:rPr>
      </w:pPr>
      <w:r w:rsidRPr="00617C28">
        <w:rPr>
          <w:rFonts w:ascii="Century Gothic" w:hAnsi="Century Gothic" w:cs="Arial"/>
          <w:sz w:val="24"/>
          <w:szCs w:val="24"/>
        </w:rPr>
        <w:t xml:space="preserve">That on or about </w:t>
      </w:r>
      <w:r w:rsidR="00F212B6">
        <w:rPr>
          <w:rFonts w:ascii="Century Gothic" w:hAnsi="Century Gothic" w:cs="Arial"/>
          <w:b/>
          <w:sz w:val="24"/>
          <w:szCs w:val="24"/>
        </w:rPr>
        <w:t>February 13, 2019</w:t>
      </w:r>
      <w:r>
        <w:rPr>
          <w:rFonts w:ascii="Century Gothic" w:hAnsi="Century Gothic" w:cs="Arial"/>
          <w:sz w:val="24"/>
          <w:szCs w:val="24"/>
        </w:rPr>
        <w:t xml:space="preserve">, in the Municipality of </w:t>
      </w:r>
      <w:r w:rsidR="002A28BC" w:rsidRPr="002A28BC">
        <w:rPr>
          <w:rFonts w:ascii="Century Gothic" w:hAnsi="Century Gothic" w:cs="Arial"/>
          <w:b/>
          <w:sz w:val="24"/>
          <w:szCs w:val="24"/>
        </w:rPr>
        <w:t>Ma</w:t>
      </w:r>
      <w:r w:rsidR="00F212B6">
        <w:rPr>
          <w:rFonts w:ascii="Century Gothic" w:hAnsi="Century Gothic" w:cs="Arial"/>
          <w:b/>
          <w:sz w:val="24"/>
          <w:szCs w:val="24"/>
        </w:rPr>
        <w:t>co</w:t>
      </w:r>
      <w:r>
        <w:rPr>
          <w:rFonts w:ascii="Century Gothic" w:hAnsi="Century Gothic" w:cs="Arial"/>
          <w:sz w:val="24"/>
          <w:szCs w:val="24"/>
        </w:rPr>
        <w:t xml:space="preserve">, Province of </w:t>
      </w:r>
      <w:r w:rsidR="00F212B6">
        <w:rPr>
          <w:rFonts w:ascii="Century Gothic" w:hAnsi="Century Gothic" w:cs="Arial"/>
          <w:sz w:val="24"/>
          <w:szCs w:val="24"/>
        </w:rPr>
        <w:t>Compostela Valley</w:t>
      </w:r>
      <w:r>
        <w:rPr>
          <w:rFonts w:ascii="Century Gothic" w:hAnsi="Century Gothic" w:cs="Arial"/>
          <w:sz w:val="24"/>
          <w:szCs w:val="24"/>
        </w:rPr>
        <w:t>, Philippines, and within the jurisdiction of this Honorable Court, the above-named accused,</w:t>
      </w:r>
      <w:r w:rsidR="007A6AA0">
        <w:rPr>
          <w:rFonts w:ascii="Century Gothic" w:hAnsi="Century Gothic" w:cs="Arial"/>
          <w:sz w:val="24"/>
          <w:szCs w:val="24"/>
        </w:rPr>
        <w:t xml:space="preserve"> </w:t>
      </w:r>
      <w:r w:rsidR="00F0389C">
        <w:rPr>
          <w:rFonts w:ascii="Century Gothic" w:hAnsi="Century Gothic" w:cs="Arial"/>
          <w:sz w:val="24"/>
          <w:szCs w:val="24"/>
        </w:rPr>
        <w:t>with</w:t>
      </w:r>
      <w:r w:rsidR="002A28BC">
        <w:rPr>
          <w:rFonts w:ascii="Century Gothic" w:hAnsi="Century Gothic" w:cs="Arial"/>
          <w:sz w:val="24"/>
          <w:szCs w:val="24"/>
        </w:rPr>
        <w:t xml:space="preserve"> intent to </w:t>
      </w:r>
      <w:r w:rsidR="00F212B6">
        <w:rPr>
          <w:rFonts w:ascii="Century Gothic" w:hAnsi="Century Gothic" w:cs="Arial"/>
          <w:sz w:val="24"/>
          <w:szCs w:val="24"/>
        </w:rPr>
        <w:t xml:space="preserve">gain and without the necessary legal authority nor documents prescribed by the Department of Environment and Natural Resources </w:t>
      </w:r>
      <w:r w:rsidR="00F212B6">
        <w:rPr>
          <w:rFonts w:ascii="Century Gothic" w:hAnsi="Century Gothic" w:cs="Arial"/>
          <w:sz w:val="24"/>
          <w:szCs w:val="24"/>
        </w:rPr>
        <w:lastRenderedPageBreak/>
        <w:t>(DENR) Rules and Regulations</w:t>
      </w:r>
      <w:r w:rsidR="002A28BC">
        <w:rPr>
          <w:rFonts w:ascii="Century Gothic" w:hAnsi="Century Gothic" w:cs="Arial"/>
          <w:sz w:val="24"/>
          <w:szCs w:val="24"/>
        </w:rPr>
        <w:t xml:space="preserve">, did then and </w:t>
      </w:r>
      <w:r w:rsidR="00F0389C">
        <w:rPr>
          <w:rFonts w:ascii="Century Gothic" w:hAnsi="Century Gothic" w:cs="Arial"/>
          <w:sz w:val="24"/>
          <w:szCs w:val="24"/>
        </w:rPr>
        <w:t xml:space="preserve">there willfully, unlawfully and </w:t>
      </w:r>
      <w:r w:rsidR="00F212B6">
        <w:rPr>
          <w:rFonts w:ascii="Century Gothic" w:hAnsi="Century Gothic" w:cs="Arial"/>
          <w:sz w:val="24"/>
          <w:szCs w:val="24"/>
        </w:rPr>
        <w:t>knowingly gather, collect, possess, control and transport ninety six (96) pieces of Falcata logs with a volume of 8.80 cubic meters with estimated value of Twenty two thousand fifty pesos (P22,050.00)</w:t>
      </w:r>
      <w:r w:rsidR="00641706">
        <w:rPr>
          <w:rFonts w:ascii="Century Gothic" w:hAnsi="Century Gothic" w:cs="Arial"/>
          <w:sz w:val="24"/>
          <w:szCs w:val="24"/>
        </w:rPr>
        <w:t xml:space="preserve">, </w:t>
      </w:r>
      <w:r w:rsidR="00F212B6">
        <w:rPr>
          <w:rFonts w:ascii="Century Gothic" w:hAnsi="Century Gothic" w:cs="Arial"/>
          <w:sz w:val="24"/>
          <w:szCs w:val="24"/>
        </w:rPr>
        <w:t xml:space="preserve">Philippine Currency, transporting the same via an Isuzu Forward Truck bearing plate number GJJ-551 owned by MALVIN DELI-DELI, to the damage and prejudice of the Government. </w:t>
      </w:r>
      <w:r w:rsidR="002A28BC">
        <w:rPr>
          <w:rFonts w:ascii="Century Gothic" w:hAnsi="Century Gothic" w:cs="Arial"/>
          <w:sz w:val="24"/>
          <w:szCs w:val="24"/>
        </w:rPr>
        <w:t xml:space="preserve"> </w:t>
      </w:r>
    </w:p>
    <w:p w14:paraId="10AED646" w14:textId="77777777" w:rsidR="00F212B6" w:rsidRDefault="00F212B6" w:rsidP="00F212B6">
      <w:pPr>
        <w:ind w:left="1080" w:right="900" w:firstLine="425"/>
        <w:jc w:val="both"/>
        <w:rPr>
          <w:rFonts w:ascii="Century Gothic" w:hAnsi="Century Gothic" w:cs="Arial"/>
          <w:sz w:val="24"/>
          <w:szCs w:val="24"/>
        </w:rPr>
      </w:pPr>
    </w:p>
    <w:p w14:paraId="5DE5253A" w14:textId="13921665" w:rsidR="00E12521" w:rsidRDefault="0026657A" w:rsidP="00F212B6">
      <w:pPr>
        <w:ind w:left="1080" w:right="900" w:firstLine="425"/>
        <w:jc w:val="both"/>
        <w:rPr>
          <w:rFonts w:ascii="Century Gothic" w:hAnsi="Century Gothic" w:cs="Arial"/>
          <w:sz w:val="24"/>
          <w:szCs w:val="24"/>
        </w:rPr>
      </w:pPr>
      <w:r w:rsidRPr="00617C28">
        <w:rPr>
          <w:rFonts w:ascii="Century Gothic" w:hAnsi="Century Gothic" w:cs="Arial"/>
          <w:sz w:val="24"/>
          <w:szCs w:val="24"/>
        </w:rPr>
        <w:t>C</w:t>
      </w:r>
      <w:r w:rsidR="00283B9C">
        <w:rPr>
          <w:rFonts w:ascii="Century Gothic" w:hAnsi="Century Gothic" w:cs="Arial"/>
          <w:sz w:val="24"/>
          <w:szCs w:val="24"/>
        </w:rPr>
        <w:t>ONTRARY TO LAW</w:t>
      </w:r>
      <w:r w:rsidRPr="00617C28">
        <w:rPr>
          <w:rFonts w:ascii="Century Gothic" w:hAnsi="Century Gothic" w:cs="Arial"/>
          <w:sz w:val="24"/>
          <w:szCs w:val="24"/>
        </w:rPr>
        <w:t>.</w:t>
      </w:r>
      <w:r>
        <w:rPr>
          <w:rStyle w:val="FootnoteReference"/>
          <w:rFonts w:ascii="Century Gothic" w:hAnsi="Century Gothic" w:cs="Arial"/>
          <w:sz w:val="24"/>
          <w:szCs w:val="24"/>
        </w:rPr>
        <w:footnoteReference w:id="1"/>
      </w:r>
    </w:p>
    <w:p w14:paraId="6671E626" w14:textId="77777777" w:rsidR="00F212B6" w:rsidRPr="00F212B6" w:rsidRDefault="00F212B6" w:rsidP="00F212B6">
      <w:pPr>
        <w:spacing w:line="360" w:lineRule="auto"/>
        <w:ind w:left="1077" w:right="902" w:firstLine="425"/>
        <w:jc w:val="both"/>
        <w:rPr>
          <w:rFonts w:ascii="Century Gothic" w:hAnsi="Century Gothic" w:cs="Arial"/>
          <w:sz w:val="24"/>
          <w:szCs w:val="24"/>
        </w:rPr>
      </w:pPr>
    </w:p>
    <w:p w14:paraId="5BE65A5C" w14:textId="1DDAE746" w:rsidR="00E16765" w:rsidRDefault="003027A9" w:rsidP="001A604D">
      <w:pPr>
        <w:ind w:firstLine="709"/>
        <w:jc w:val="both"/>
        <w:rPr>
          <w:rFonts w:ascii="Century Gothic" w:hAnsi="Century Gothic" w:cs="Arial"/>
          <w:sz w:val="28"/>
          <w:szCs w:val="28"/>
        </w:rPr>
      </w:pPr>
      <w:r>
        <w:rPr>
          <w:rFonts w:ascii="Century Gothic" w:hAnsi="Century Gothic" w:cs="Arial"/>
          <w:sz w:val="28"/>
          <w:szCs w:val="28"/>
        </w:rPr>
        <w:t xml:space="preserve">On </w:t>
      </w:r>
      <w:r w:rsidR="00FF7310">
        <w:rPr>
          <w:rFonts w:ascii="Century Gothic" w:hAnsi="Century Gothic" w:cs="Arial"/>
          <w:sz w:val="28"/>
          <w:szCs w:val="28"/>
        </w:rPr>
        <w:t>August 18, 2020</w:t>
      </w:r>
      <w:r>
        <w:rPr>
          <w:rFonts w:ascii="Century Gothic" w:hAnsi="Century Gothic" w:cs="Arial"/>
          <w:sz w:val="28"/>
          <w:szCs w:val="28"/>
        </w:rPr>
        <w:t xml:space="preserve">, </w:t>
      </w:r>
      <w:r w:rsidR="004D5294">
        <w:rPr>
          <w:rFonts w:ascii="Century Gothic" w:hAnsi="Century Gothic" w:cs="Arial"/>
          <w:sz w:val="28"/>
          <w:szCs w:val="28"/>
        </w:rPr>
        <w:t>accused was arraigned and pleaded not guilty to the Information.</w:t>
      </w:r>
      <w:r w:rsidR="00C67190">
        <w:rPr>
          <w:rFonts w:ascii="Century Gothic" w:hAnsi="Century Gothic" w:cs="Arial"/>
          <w:sz w:val="28"/>
          <w:szCs w:val="28"/>
        </w:rPr>
        <w:t xml:space="preserve"> Pre-trial was immediately conducted during which the prosecution and defense stipulated on the following:</w:t>
      </w:r>
      <w:r w:rsidR="00A265FD">
        <w:rPr>
          <w:rFonts w:ascii="Century Gothic" w:hAnsi="Century Gothic" w:cs="Arial"/>
          <w:sz w:val="28"/>
          <w:szCs w:val="28"/>
        </w:rPr>
        <w:t xml:space="preserve"> (1) The name and identity of the accused as corrected </w:t>
      </w:r>
      <w:r w:rsidR="00FF7310">
        <w:rPr>
          <w:rFonts w:ascii="Century Gothic" w:hAnsi="Century Gothic" w:cs="Arial"/>
          <w:sz w:val="28"/>
          <w:szCs w:val="28"/>
        </w:rPr>
        <w:t xml:space="preserve">in the </w:t>
      </w:r>
      <w:r w:rsidR="00A265FD">
        <w:rPr>
          <w:rFonts w:ascii="Century Gothic" w:hAnsi="Century Gothic" w:cs="Arial"/>
          <w:sz w:val="28"/>
          <w:szCs w:val="28"/>
        </w:rPr>
        <w:t>Information;</w:t>
      </w:r>
      <w:r w:rsidR="00FF7310">
        <w:rPr>
          <w:rFonts w:ascii="Century Gothic" w:hAnsi="Century Gothic" w:cs="Arial"/>
          <w:sz w:val="28"/>
          <w:szCs w:val="28"/>
        </w:rPr>
        <w:t xml:space="preserve"> and</w:t>
      </w:r>
      <w:r w:rsidR="00A265FD">
        <w:rPr>
          <w:rFonts w:ascii="Century Gothic" w:hAnsi="Century Gothic" w:cs="Arial"/>
          <w:sz w:val="28"/>
          <w:szCs w:val="28"/>
        </w:rPr>
        <w:t xml:space="preserve"> (2) accused </w:t>
      </w:r>
      <w:r w:rsidR="00FF7310">
        <w:rPr>
          <w:rFonts w:ascii="Century Gothic" w:hAnsi="Century Gothic" w:cs="Arial"/>
          <w:sz w:val="28"/>
          <w:szCs w:val="28"/>
        </w:rPr>
        <w:t>failed to attend the Administrative Proceedings before CENRO Maco on March 14, 2019 instead, he was represented by his wife in the said Administrative Proceedings</w:t>
      </w:r>
      <w:r w:rsidR="00A265FD">
        <w:rPr>
          <w:rFonts w:ascii="Century Gothic" w:hAnsi="Century Gothic" w:cs="Arial"/>
          <w:sz w:val="28"/>
          <w:szCs w:val="28"/>
        </w:rPr>
        <w:t>.</w:t>
      </w:r>
      <w:r w:rsidR="00A265FD">
        <w:rPr>
          <w:rStyle w:val="FootnoteReference"/>
          <w:rFonts w:ascii="Century Gothic" w:hAnsi="Century Gothic" w:cs="Arial"/>
          <w:sz w:val="28"/>
          <w:szCs w:val="28"/>
        </w:rPr>
        <w:footnoteReference w:id="2"/>
      </w:r>
      <w:r w:rsidR="00A265FD">
        <w:rPr>
          <w:rFonts w:ascii="Century Gothic" w:hAnsi="Century Gothic" w:cs="Arial"/>
          <w:sz w:val="28"/>
          <w:szCs w:val="28"/>
        </w:rPr>
        <w:t xml:space="preserve"> </w:t>
      </w:r>
      <w:r w:rsidR="004D5294">
        <w:rPr>
          <w:rFonts w:ascii="Century Gothic" w:hAnsi="Century Gothic" w:cs="Arial"/>
          <w:sz w:val="28"/>
          <w:szCs w:val="28"/>
        </w:rPr>
        <w:t xml:space="preserve"> </w:t>
      </w:r>
    </w:p>
    <w:p w14:paraId="4006A54C" w14:textId="77777777" w:rsidR="001A604D" w:rsidRDefault="001A604D" w:rsidP="00B25F64">
      <w:pPr>
        <w:spacing w:line="360" w:lineRule="auto"/>
        <w:jc w:val="both"/>
        <w:rPr>
          <w:rFonts w:ascii="Century Gothic" w:hAnsi="Century Gothic" w:cs="Arial"/>
          <w:sz w:val="28"/>
          <w:szCs w:val="28"/>
        </w:rPr>
      </w:pPr>
    </w:p>
    <w:p w14:paraId="6E0B8561" w14:textId="25E50CC9" w:rsidR="00FF7310" w:rsidRDefault="00E16765" w:rsidP="00FF7310">
      <w:pPr>
        <w:jc w:val="both"/>
        <w:rPr>
          <w:rFonts w:ascii="Century Gothic" w:hAnsi="Century Gothic" w:cs="Arial"/>
          <w:sz w:val="28"/>
          <w:szCs w:val="28"/>
        </w:rPr>
      </w:pPr>
      <w:r>
        <w:rPr>
          <w:rFonts w:ascii="Century Gothic" w:hAnsi="Century Gothic" w:cs="Arial"/>
          <w:sz w:val="28"/>
          <w:szCs w:val="28"/>
        </w:rPr>
        <w:tab/>
        <w:t>Tr</w:t>
      </w:r>
      <w:r w:rsidR="00EC66B0">
        <w:rPr>
          <w:rFonts w:ascii="Century Gothic" w:hAnsi="Century Gothic" w:cs="Arial"/>
          <w:sz w:val="28"/>
          <w:szCs w:val="28"/>
        </w:rPr>
        <w:t xml:space="preserve">ial ensued, and the prosecution was able to present </w:t>
      </w:r>
      <w:r w:rsidR="00FF7310">
        <w:rPr>
          <w:rFonts w:ascii="Century Gothic" w:hAnsi="Century Gothic" w:cs="Arial"/>
          <w:sz w:val="28"/>
          <w:szCs w:val="28"/>
        </w:rPr>
        <w:t xml:space="preserve">seven (7) </w:t>
      </w:r>
      <w:r w:rsidR="00EC66B0">
        <w:rPr>
          <w:rFonts w:ascii="Century Gothic" w:hAnsi="Century Gothic" w:cs="Arial"/>
          <w:sz w:val="28"/>
          <w:szCs w:val="28"/>
        </w:rPr>
        <w:t>witness</w:t>
      </w:r>
      <w:r w:rsidR="00FF7310">
        <w:rPr>
          <w:rFonts w:ascii="Century Gothic" w:hAnsi="Century Gothic" w:cs="Arial"/>
          <w:sz w:val="28"/>
          <w:szCs w:val="28"/>
        </w:rPr>
        <w:t xml:space="preserve">es, namely: Bernardino C. Vargas, Johnny Lopez, Efraim W. </w:t>
      </w:r>
      <w:proofErr w:type="spellStart"/>
      <w:r w:rsidR="00FF7310">
        <w:rPr>
          <w:rFonts w:ascii="Century Gothic" w:hAnsi="Century Gothic" w:cs="Arial"/>
          <w:sz w:val="28"/>
          <w:szCs w:val="28"/>
        </w:rPr>
        <w:t>Peńalas</w:t>
      </w:r>
      <w:proofErr w:type="spellEnd"/>
      <w:r w:rsidR="00FF7310">
        <w:rPr>
          <w:rFonts w:ascii="Century Gothic" w:hAnsi="Century Gothic" w:cs="Arial"/>
          <w:sz w:val="28"/>
          <w:szCs w:val="28"/>
        </w:rPr>
        <w:t xml:space="preserve">, </w:t>
      </w:r>
      <w:proofErr w:type="spellStart"/>
      <w:r w:rsidR="00FF7310">
        <w:rPr>
          <w:rFonts w:ascii="Century Gothic" w:hAnsi="Century Gothic" w:cs="Arial"/>
          <w:sz w:val="28"/>
          <w:szCs w:val="28"/>
        </w:rPr>
        <w:t>Amelda</w:t>
      </w:r>
      <w:proofErr w:type="spellEnd"/>
      <w:r w:rsidR="00FF7310">
        <w:rPr>
          <w:rFonts w:ascii="Century Gothic" w:hAnsi="Century Gothic" w:cs="Arial"/>
          <w:sz w:val="28"/>
          <w:szCs w:val="28"/>
        </w:rPr>
        <w:t xml:space="preserve"> Vera Cruz, </w:t>
      </w:r>
      <w:proofErr w:type="spellStart"/>
      <w:r w:rsidR="00FF7310">
        <w:rPr>
          <w:rFonts w:ascii="Century Gothic" w:hAnsi="Century Gothic" w:cs="Arial"/>
          <w:sz w:val="28"/>
          <w:szCs w:val="28"/>
        </w:rPr>
        <w:t>M</w:t>
      </w:r>
      <w:r w:rsidR="000325C8">
        <w:rPr>
          <w:rFonts w:ascii="Century Gothic" w:hAnsi="Century Gothic" w:cs="Arial"/>
          <w:sz w:val="28"/>
          <w:szCs w:val="28"/>
        </w:rPr>
        <w:t>a</w:t>
      </w:r>
      <w:r w:rsidR="00FF7310">
        <w:rPr>
          <w:rFonts w:ascii="Century Gothic" w:hAnsi="Century Gothic" w:cs="Arial"/>
          <w:sz w:val="28"/>
          <w:szCs w:val="28"/>
        </w:rPr>
        <w:t>lvin</w:t>
      </w:r>
      <w:proofErr w:type="spellEnd"/>
      <w:r w:rsidR="00FF7310">
        <w:rPr>
          <w:rFonts w:ascii="Century Gothic" w:hAnsi="Century Gothic" w:cs="Arial"/>
          <w:sz w:val="28"/>
          <w:szCs w:val="28"/>
        </w:rPr>
        <w:t xml:space="preserve"> Deli-Deli, PSSG Hamedan B. </w:t>
      </w:r>
      <w:proofErr w:type="spellStart"/>
      <w:r w:rsidR="00FF7310">
        <w:rPr>
          <w:rFonts w:ascii="Century Gothic" w:hAnsi="Century Gothic" w:cs="Arial"/>
          <w:sz w:val="28"/>
          <w:szCs w:val="28"/>
        </w:rPr>
        <w:t>Ajiji</w:t>
      </w:r>
      <w:proofErr w:type="spellEnd"/>
      <w:r w:rsidR="00FF7310">
        <w:rPr>
          <w:rFonts w:ascii="Century Gothic" w:hAnsi="Century Gothic" w:cs="Arial"/>
          <w:sz w:val="28"/>
          <w:szCs w:val="28"/>
        </w:rPr>
        <w:t xml:space="preserve">, and </w:t>
      </w:r>
      <w:proofErr w:type="spellStart"/>
      <w:r w:rsidR="00FF7310">
        <w:rPr>
          <w:rFonts w:ascii="Century Gothic" w:hAnsi="Century Gothic" w:cs="Arial"/>
          <w:sz w:val="28"/>
          <w:szCs w:val="28"/>
        </w:rPr>
        <w:t>Jodil</w:t>
      </w:r>
      <w:proofErr w:type="spellEnd"/>
      <w:r w:rsidR="00FF7310">
        <w:rPr>
          <w:rFonts w:ascii="Century Gothic" w:hAnsi="Century Gothic" w:cs="Arial"/>
          <w:sz w:val="28"/>
          <w:szCs w:val="28"/>
        </w:rPr>
        <w:t xml:space="preserve"> </w:t>
      </w:r>
      <w:proofErr w:type="spellStart"/>
      <w:r w:rsidR="00FF7310">
        <w:rPr>
          <w:rFonts w:ascii="Century Gothic" w:hAnsi="Century Gothic" w:cs="Arial"/>
          <w:sz w:val="28"/>
          <w:szCs w:val="28"/>
        </w:rPr>
        <w:t>Magdagay</w:t>
      </w:r>
      <w:proofErr w:type="spellEnd"/>
      <w:r w:rsidR="00FF7310">
        <w:rPr>
          <w:rFonts w:ascii="Century Gothic" w:hAnsi="Century Gothic" w:cs="Arial"/>
          <w:sz w:val="28"/>
          <w:szCs w:val="28"/>
        </w:rPr>
        <w:t xml:space="preserve">. </w:t>
      </w:r>
    </w:p>
    <w:p w14:paraId="2955A4FA" w14:textId="77777777" w:rsidR="00FF7310" w:rsidRDefault="00FF7310" w:rsidP="00B25F64">
      <w:pPr>
        <w:spacing w:line="360" w:lineRule="auto"/>
        <w:jc w:val="both"/>
        <w:rPr>
          <w:rFonts w:ascii="Century Gothic" w:hAnsi="Century Gothic" w:cs="Arial"/>
          <w:sz w:val="28"/>
          <w:szCs w:val="28"/>
        </w:rPr>
      </w:pPr>
    </w:p>
    <w:p w14:paraId="67596A02" w14:textId="3AB32B86" w:rsidR="00501227" w:rsidRDefault="00FF7310" w:rsidP="00356C71">
      <w:pPr>
        <w:ind w:firstLine="709"/>
        <w:jc w:val="both"/>
        <w:rPr>
          <w:rFonts w:ascii="Century Gothic" w:hAnsi="Century Gothic" w:cs="Arial"/>
          <w:sz w:val="28"/>
          <w:szCs w:val="28"/>
        </w:rPr>
      </w:pPr>
      <w:r>
        <w:rPr>
          <w:rFonts w:ascii="Century Gothic" w:hAnsi="Century Gothic" w:cs="Arial"/>
          <w:sz w:val="28"/>
          <w:szCs w:val="28"/>
        </w:rPr>
        <w:t>On October 1, 2020, the prosecution presented its first witness</w:t>
      </w:r>
      <w:r w:rsidR="00EC085E">
        <w:rPr>
          <w:rFonts w:ascii="Century Gothic" w:hAnsi="Century Gothic" w:cs="Arial"/>
          <w:sz w:val="28"/>
          <w:szCs w:val="28"/>
        </w:rPr>
        <w:t>: Bernardino C. Vargas (Forester Vargas, for brevity),</w:t>
      </w:r>
      <w:r>
        <w:rPr>
          <w:rFonts w:ascii="Century Gothic" w:hAnsi="Century Gothic" w:cs="Arial"/>
          <w:sz w:val="28"/>
          <w:szCs w:val="28"/>
        </w:rPr>
        <w:t xml:space="preserve"> </w:t>
      </w:r>
      <w:r w:rsidR="00EC085E" w:rsidRPr="00EC085E">
        <w:rPr>
          <w:rFonts w:ascii="Century Gothic" w:hAnsi="Century Gothic" w:cs="Arial"/>
          <w:sz w:val="28"/>
          <w:szCs w:val="28"/>
        </w:rPr>
        <w:t xml:space="preserve">Forester III </w:t>
      </w:r>
      <w:r w:rsidR="00EC085E">
        <w:rPr>
          <w:rFonts w:ascii="Century Gothic" w:hAnsi="Century Gothic" w:cs="Arial"/>
          <w:sz w:val="28"/>
          <w:szCs w:val="28"/>
        </w:rPr>
        <w:t>of the Community Environment and Natural Resources Office (</w:t>
      </w:r>
      <w:r w:rsidR="00EC085E" w:rsidRPr="00EC085E">
        <w:rPr>
          <w:rFonts w:ascii="Century Gothic" w:hAnsi="Century Gothic" w:cs="Arial"/>
          <w:sz w:val="28"/>
          <w:szCs w:val="28"/>
        </w:rPr>
        <w:t>CENRO</w:t>
      </w:r>
      <w:r w:rsidR="00EC085E">
        <w:rPr>
          <w:rFonts w:ascii="Century Gothic" w:hAnsi="Century Gothic" w:cs="Arial"/>
          <w:sz w:val="28"/>
          <w:szCs w:val="28"/>
        </w:rPr>
        <w:t>),</w:t>
      </w:r>
      <w:r w:rsidR="00EC085E" w:rsidRPr="00EC085E">
        <w:rPr>
          <w:rFonts w:ascii="Century Gothic" w:hAnsi="Century Gothic" w:cs="Arial"/>
          <w:sz w:val="28"/>
          <w:szCs w:val="28"/>
        </w:rPr>
        <w:t xml:space="preserve"> Maco</w:t>
      </w:r>
      <w:r w:rsidR="00EC085E">
        <w:rPr>
          <w:rFonts w:ascii="Century Gothic" w:hAnsi="Century Gothic" w:cs="Arial"/>
          <w:sz w:val="28"/>
          <w:szCs w:val="28"/>
        </w:rPr>
        <w:t>, Compostela Valley (now Davao de Oro)</w:t>
      </w:r>
      <w:r w:rsidR="006752A7">
        <w:rPr>
          <w:rFonts w:ascii="Century Gothic" w:hAnsi="Century Gothic" w:cs="Arial"/>
          <w:sz w:val="28"/>
          <w:szCs w:val="28"/>
        </w:rPr>
        <w:t xml:space="preserve"> and the Chief of the Forest Protection unit of the said office</w:t>
      </w:r>
      <w:r w:rsidR="00EC085E">
        <w:rPr>
          <w:rFonts w:ascii="Century Gothic" w:hAnsi="Century Gothic" w:cs="Arial"/>
          <w:sz w:val="28"/>
          <w:szCs w:val="28"/>
        </w:rPr>
        <w:t xml:space="preserve">. He identified the following documents: </w:t>
      </w:r>
      <w:r w:rsidR="006752A7">
        <w:rPr>
          <w:rFonts w:ascii="Century Gothic" w:hAnsi="Century Gothic" w:cs="Arial"/>
          <w:sz w:val="28"/>
          <w:szCs w:val="28"/>
        </w:rPr>
        <w:t>S</w:t>
      </w:r>
      <w:r w:rsidR="006752A7" w:rsidRPr="006752A7">
        <w:rPr>
          <w:rFonts w:ascii="Century Gothic" w:hAnsi="Century Gothic" w:cs="Arial"/>
          <w:sz w:val="28"/>
          <w:szCs w:val="28"/>
        </w:rPr>
        <w:t xml:space="preserve">ummary of </w:t>
      </w:r>
      <w:r w:rsidR="00501227">
        <w:rPr>
          <w:rFonts w:ascii="Century Gothic" w:hAnsi="Century Gothic" w:cs="Arial"/>
          <w:sz w:val="28"/>
          <w:szCs w:val="28"/>
        </w:rPr>
        <w:t xml:space="preserve">the </w:t>
      </w:r>
      <w:r w:rsidR="006752A7" w:rsidRPr="006752A7">
        <w:rPr>
          <w:rFonts w:ascii="Century Gothic" w:hAnsi="Century Gothic" w:cs="Arial"/>
          <w:sz w:val="28"/>
          <w:szCs w:val="28"/>
        </w:rPr>
        <w:t>Administrative Proceedings</w:t>
      </w:r>
      <w:r w:rsidR="00501227">
        <w:rPr>
          <w:rFonts w:ascii="Century Gothic" w:hAnsi="Century Gothic" w:cs="Arial"/>
          <w:sz w:val="28"/>
          <w:szCs w:val="28"/>
        </w:rPr>
        <w:t xml:space="preserve"> on the Case</w:t>
      </w:r>
      <w:r w:rsidR="006752A7" w:rsidRPr="006752A7">
        <w:rPr>
          <w:rFonts w:ascii="Century Gothic" w:hAnsi="Century Gothic" w:cs="Arial"/>
          <w:sz w:val="28"/>
          <w:szCs w:val="28"/>
        </w:rPr>
        <w:t xml:space="preserve"> No. 021319</w:t>
      </w:r>
      <w:r w:rsidR="006752A7">
        <w:rPr>
          <w:rFonts w:ascii="Century Gothic" w:hAnsi="Century Gothic" w:cs="Arial"/>
          <w:sz w:val="28"/>
          <w:szCs w:val="28"/>
        </w:rPr>
        <w:t>,</w:t>
      </w:r>
      <w:r w:rsidR="00501227">
        <w:rPr>
          <w:rStyle w:val="FootnoteReference"/>
          <w:rFonts w:ascii="Century Gothic" w:hAnsi="Century Gothic" w:cs="Arial"/>
          <w:sz w:val="28"/>
          <w:szCs w:val="28"/>
        </w:rPr>
        <w:footnoteReference w:id="3"/>
      </w:r>
      <w:r w:rsidR="006752A7">
        <w:rPr>
          <w:rFonts w:ascii="Century Gothic" w:hAnsi="Century Gothic" w:cs="Arial"/>
          <w:sz w:val="28"/>
          <w:szCs w:val="28"/>
        </w:rPr>
        <w:t xml:space="preserve"> </w:t>
      </w:r>
      <w:r w:rsidR="006752A7">
        <w:rPr>
          <w:rFonts w:ascii="Century Gothic" w:hAnsi="Century Gothic"/>
          <w:sz w:val="28"/>
          <w:szCs w:val="28"/>
        </w:rPr>
        <w:t>Custody of Seized Items,</w:t>
      </w:r>
      <w:r w:rsidR="00501227">
        <w:rPr>
          <w:rStyle w:val="FootnoteReference"/>
          <w:rFonts w:ascii="Century Gothic" w:hAnsi="Century Gothic"/>
          <w:sz w:val="28"/>
          <w:szCs w:val="28"/>
        </w:rPr>
        <w:footnoteReference w:id="4"/>
      </w:r>
      <w:r w:rsidR="006752A7">
        <w:rPr>
          <w:rFonts w:ascii="Century Gothic" w:hAnsi="Century Gothic"/>
          <w:sz w:val="28"/>
          <w:szCs w:val="28"/>
        </w:rPr>
        <w:t xml:space="preserve"> and Apprehension Receipt</w:t>
      </w:r>
      <w:r w:rsidR="006752A7">
        <w:rPr>
          <w:rFonts w:ascii="Century Gothic" w:hAnsi="Century Gothic" w:cs="Arial"/>
          <w:sz w:val="28"/>
          <w:szCs w:val="28"/>
        </w:rPr>
        <w:t>.</w:t>
      </w:r>
      <w:r w:rsidR="00501227">
        <w:rPr>
          <w:rStyle w:val="FootnoteReference"/>
          <w:rFonts w:ascii="Century Gothic" w:hAnsi="Century Gothic" w:cs="Arial"/>
          <w:sz w:val="28"/>
          <w:szCs w:val="28"/>
        </w:rPr>
        <w:footnoteReference w:id="5"/>
      </w:r>
      <w:r w:rsidR="006752A7">
        <w:rPr>
          <w:rFonts w:ascii="Century Gothic" w:hAnsi="Century Gothic" w:cs="Arial"/>
          <w:sz w:val="28"/>
          <w:szCs w:val="28"/>
        </w:rPr>
        <w:t xml:space="preserve"> He testified that </w:t>
      </w:r>
      <w:r w:rsidR="006752A7" w:rsidRPr="006752A7">
        <w:rPr>
          <w:rFonts w:ascii="Century Gothic" w:hAnsi="Century Gothic" w:cs="Arial"/>
          <w:b/>
          <w:sz w:val="28"/>
          <w:szCs w:val="28"/>
        </w:rPr>
        <w:t>(1)</w:t>
      </w:r>
      <w:r w:rsidR="006752A7">
        <w:rPr>
          <w:rFonts w:ascii="Century Gothic" w:hAnsi="Century Gothic" w:cs="Arial"/>
          <w:sz w:val="28"/>
          <w:szCs w:val="28"/>
        </w:rPr>
        <w:t xml:space="preserve"> he was the one who filed the present case against accused and the chairperson of the administrative proceedings conducted for this case</w:t>
      </w:r>
      <w:r w:rsidR="00501227">
        <w:rPr>
          <w:rFonts w:ascii="Century Gothic" w:hAnsi="Century Gothic" w:cs="Arial"/>
          <w:sz w:val="28"/>
          <w:szCs w:val="28"/>
        </w:rPr>
        <w:t xml:space="preserve"> with Johnny Lopez and Efraim W. </w:t>
      </w:r>
      <w:proofErr w:type="spellStart"/>
      <w:r w:rsidR="00501227">
        <w:rPr>
          <w:rFonts w:ascii="Century Gothic" w:hAnsi="Century Gothic" w:cs="Arial"/>
          <w:sz w:val="28"/>
          <w:szCs w:val="28"/>
        </w:rPr>
        <w:t>Peńalas</w:t>
      </w:r>
      <w:proofErr w:type="spellEnd"/>
      <w:r w:rsidR="00501227">
        <w:rPr>
          <w:rFonts w:ascii="Century Gothic" w:hAnsi="Century Gothic" w:cs="Arial"/>
          <w:sz w:val="28"/>
          <w:szCs w:val="28"/>
        </w:rPr>
        <w:t xml:space="preserve"> as panel members</w:t>
      </w:r>
      <w:r w:rsidR="006752A7">
        <w:rPr>
          <w:rFonts w:ascii="Century Gothic" w:hAnsi="Century Gothic" w:cs="Arial"/>
          <w:sz w:val="28"/>
          <w:szCs w:val="28"/>
        </w:rPr>
        <w:t xml:space="preserve">; </w:t>
      </w:r>
      <w:r w:rsidR="006752A7" w:rsidRPr="006752A7">
        <w:rPr>
          <w:rFonts w:ascii="Century Gothic" w:hAnsi="Century Gothic" w:cs="Arial"/>
          <w:b/>
          <w:sz w:val="28"/>
          <w:szCs w:val="28"/>
        </w:rPr>
        <w:t>(2)</w:t>
      </w:r>
      <w:r w:rsidR="006752A7">
        <w:rPr>
          <w:rFonts w:ascii="Century Gothic" w:hAnsi="Century Gothic" w:cs="Arial"/>
          <w:sz w:val="28"/>
          <w:szCs w:val="28"/>
        </w:rPr>
        <w:t xml:space="preserve"> </w:t>
      </w:r>
      <w:r w:rsidR="00356C71">
        <w:rPr>
          <w:rFonts w:ascii="Century Gothic" w:hAnsi="Century Gothic" w:cs="Arial"/>
          <w:sz w:val="28"/>
          <w:szCs w:val="28"/>
        </w:rPr>
        <w:t xml:space="preserve">their office conducted three proceedings in this case; </w:t>
      </w:r>
      <w:r w:rsidR="00356C71" w:rsidRPr="00356C71">
        <w:rPr>
          <w:rFonts w:ascii="Century Gothic" w:hAnsi="Century Gothic" w:cs="Arial"/>
          <w:b/>
          <w:sz w:val="28"/>
          <w:szCs w:val="28"/>
        </w:rPr>
        <w:t>(3)</w:t>
      </w:r>
      <w:r w:rsidR="00356C71">
        <w:rPr>
          <w:rFonts w:ascii="Century Gothic" w:hAnsi="Century Gothic" w:cs="Arial"/>
          <w:sz w:val="28"/>
          <w:szCs w:val="28"/>
        </w:rPr>
        <w:t xml:space="preserve"> </w:t>
      </w:r>
      <w:r w:rsidR="00501227">
        <w:rPr>
          <w:rFonts w:ascii="Century Gothic" w:hAnsi="Century Gothic" w:cs="Arial"/>
          <w:sz w:val="28"/>
          <w:szCs w:val="28"/>
        </w:rPr>
        <w:t>in all the proceedings, o</w:t>
      </w:r>
      <w:r w:rsidR="00501227" w:rsidRPr="00501227">
        <w:rPr>
          <w:rFonts w:ascii="Century Gothic" w:hAnsi="Century Gothic" w:cs="Arial"/>
          <w:sz w:val="28"/>
          <w:szCs w:val="28"/>
        </w:rPr>
        <w:t>nly the truck driver, truck owner</w:t>
      </w:r>
      <w:r w:rsidR="00501227">
        <w:rPr>
          <w:rFonts w:ascii="Century Gothic" w:hAnsi="Century Gothic" w:cs="Arial"/>
          <w:sz w:val="28"/>
          <w:szCs w:val="28"/>
        </w:rPr>
        <w:t xml:space="preserve"> and </w:t>
      </w:r>
      <w:r w:rsidR="00501227" w:rsidRPr="00501227">
        <w:rPr>
          <w:rFonts w:ascii="Century Gothic" w:hAnsi="Century Gothic" w:cs="Arial"/>
          <w:sz w:val="28"/>
          <w:szCs w:val="28"/>
        </w:rPr>
        <w:t>apprehending officer</w:t>
      </w:r>
      <w:r w:rsidR="00501227">
        <w:rPr>
          <w:rFonts w:ascii="Century Gothic" w:hAnsi="Century Gothic" w:cs="Arial"/>
          <w:sz w:val="28"/>
          <w:szCs w:val="28"/>
        </w:rPr>
        <w:t xml:space="preserve"> were present; and </w:t>
      </w:r>
      <w:r w:rsidR="00501227" w:rsidRPr="00501227">
        <w:rPr>
          <w:rFonts w:ascii="Century Gothic" w:hAnsi="Century Gothic" w:cs="Arial"/>
          <w:b/>
          <w:sz w:val="28"/>
          <w:szCs w:val="28"/>
        </w:rPr>
        <w:t>(</w:t>
      </w:r>
      <w:r w:rsidR="00356C71">
        <w:rPr>
          <w:rFonts w:ascii="Century Gothic" w:hAnsi="Century Gothic" w:cs="Arial"/>
          <w:b/>
          <w:sz w:val="28"/>
          <w:szCs w:val="28"/>
        </w:rPr>
        <w:t>4</w:t>
      </w:r>
      <w:r w:rsidR="00501227" w:rsidRPr="00501227">
        <w:rPr>
          <w:rFonts w:ascii="Century Gothic" w:hAnsi="Century Gothic" w:cs="Arial"/>
          <w:b/>
          <w:sz w:val="28"/>
          <w:szCs w:val="28"/>
        </w:rPr>
        <w:t>)</w:t>
      </w:r>
      <w:r w:rsidR="00501227">
        <w:rPr>
          <w:rFonts w:ascii="Century Gothic" w:hAnsi="Century Gothic" w:cs="Arial"/>
          <w:sz w:val="28"/>
          <w:szCs w:val="28"/>
        </w:rPr>
        <w:t xml:space="preserve"> the wife of </w:t>
      </w:r>
      <w:r w:rsidR="00501227">
        <w:rPr>
          <w:rFonts w:ascii="Century Gothic" w:hAnsi="Century Gothic" w:cs="Arial"/>
          <w:sz w:val="28"/>
          <w:szCs w:val="28"/>
        </w:rPr>
        <w:lastRenderedPageBreak/>
        <w:t>accused only attended once, but witness could not remember the reason w</w:t>
      </w:r>
      <w:r w:rsidR="00356C71">
        <w:rPr>
          <w:rFonts w:ascii="Century Gothic" w:hAnsi="Century Gothic" w:cs="Arial"/>
          <w:sz w:val="28"/>
          <w:szCs w:val="28"/>
        </w:rPr>
        <w:t>hy the accused failed to attend</w:t>
      </w:r>
      <w:r w:rsidR="00501227">
        <w:rPr>
          <w:rFonts w:ascii="Century Gothic" w:hAnsi="Century Gothic" w:cs="Arial"/>
          <w:sz w:val="28"/>
          <w:szCs w:val="28"/>
        </w:rPr>
        <w:t>.</w:t>
      </w:r>
      <w:r w:rsidR="00501227">
        <w:rPr>
          <w:rStyle w:val="FootnoteReference"/>
          <w:rFonts w:ascii="Century Gothic" w:hAnsi="Century Gothic" w:cs="Arial"/>
          <w:sz w:val="28"/>
          <w:szCs w:val="28"/>
        </w:rPr>
        <w:footnoteReference w:id="6"/>
      </w:r>
      <w:r w:rsidR="00501227">
        <w:rPr>
          <w:rFonts w:ascii="Century Gothic" w:hAnsi="Century Gothic" w:cs="Arial"/>
          <w:sz w:val="28"/>
          <w:szCs w:val="28"/>
        </w:rPr>
        <w:t xml:space="preserve"> </w:t>
      </w:r>
    </w:p>
    <w:p w14:paraId="27555C68" w14:textId="77777777" w:rsidR="00B25F64" w:rsidRDefault="00B25F64" w:rsidP="00B25F64">
      <w:pPr>
        <w:spacing w:line="360" w:lineRule="auto"/>
        <w:jc w:val="both"/>
        <w:rPr>
          <w:rFonts w:ascii="Century Gothic" w:hAnsi="Century Gothic" w:cs="Arial"/>
          <w:sz w:val="28"/>
          <w:szCs w:val="28"/>
        </w:rPr>
      </w:pPr>
    </w:p>
    <w:p w14:paraId="2259A4F6" w14:textId="2171D717" w:rsidR="00501227" w:rsidRDefault="00356C71" w:rsidP="00FF7310">
      <w:pPr>
        <w:ind w:firstLine="709"/>
        <w:jc w:val="both"/>
        <w:rPr>
          <w:rFonts w:ascii="Century Gothic" w:hAnsi="Century Gothic" w:cs="Arial"/>
          <w:sz w:val="28"/>
          <w:szCs w:val="28"/>
        </w:rPr>
      </w:pPr>
      <w:r>
        <w:rPr>
          <w:rFonts w:ascii="Century Gothic" w:hAnsi="Century Gothic" w:cs="Arial"/>
          <w:sz w:val="28"/>
          <w:szCs w:val="28"/>
        </w:rPr>
        <w:t xml:space="preserve">Thereafter, the prosecution presented its second witness: Johnny Lopez (Officer Lopez) who is the </w:t>
      </w:r>
      <w:r w:rsidRPr="00356C71">
        <w:rPr>
          <w:rFonts w:ascii="Century Gothic" w:hAnsi="Century Gothic" w:cs="Arial"/>
          <w:sz w:val="28"/>
          <w:szCs w:val="28"/>
        </w:rPr>
        <w:t>Assistant Forest Protection Officer of CENRO Maco</w:t>
      </w:r>
      <w:r>
        <w:rPr>
          <w:rFonts w:ascii="Century Gothic" w:hAnsi="Century Gothic" w:cs="Arial"/>
          <w:sz w:val="28"/>
          <w:szCs w:val="28"/>
        </w:rPr>
        <w:t xml:space="preserve">. He also identified the same documents already identified by Forester Vargas. He testified that </w:t>
      </w:r>
      <w:r w:rsidRPr="00356C71">
        <w:rPr>
          <w:rFonts w:ascii="Century Gothic" w:hAnsi="Century Gothic" w:cs="Arial"/>
          <w:b/>
          <w:sz w:val="28"/>
          <w:szCs w:val="28"/>
        </w:rPr>
        <w:t>(1)</w:t>
      </w:r>
      <w:r>
        <w:rPr>
          <w:rFonts w:ascii="Century Gothic" w:hAnsi="Century Gothic" w:cs="Arial"/>
          <w:sz w:val="28"/>
          <w:szCs w:val="28"/>
        </w:rPr>
        <w:t xml:space="preserve"> he is a member of the committee who heard the case of accused; </w:t>
      </w:r>
      <w:r w:rsidR="004A28E0" w:rsidRPr="004A28E0">
        <w:rPr>
          <w:rFonts w:ascii="Century Gothic" w:hAnsi="Century Gothic" w:cs="Arial"/>
          <w:b/>
          <w:sz w:val="28"/>
          <w:szCs w:val="28"/>
        </w:rPr>
        <w:t>(2)</w:t>
      </w:r>
      <w:r w:rsidR="004A28E0">
        <w:rPr>
          <w:rFonts w:ascii="Century Gothic" w:hAnsi="Century Gothic" w:cs="Arial"/>
          <w:sz w:val="28"/>
          <w:szCs w:val="28"/>
        </w:rPr>
        <w:t xml:space="preserve"> they heard the case only once for the reason that they failed to send the letter to accused considering that the place of accused is far; </w:t>
      </w:r>
      <w:r w:rsidR="004A28E0" w:rsidRPr="004A28E0">
        <w:rPr>
          <w:rFonts w:ascii="Century Gothic" w:hAnsi="Century Gothic" w:cs="Arial"/>
          <w:b/>
          <w:sz w:val="28"/>
          <w:szCs w:val="28"/>
        </w:rPr>
        <w:t>(3)</w:t>
      </w:r>
      <w:r w:rsidR="004A28E0">
        <w:rPr>
          <w:rFonts w:ascii="Century Gothic" w:hAnsi="Century Gothic" w:cs="Arial"/>
          <w:sz w:val="28"/>
          <w:szCs w:val="28"/>
        </w:rPr>
        <w:t xml:space="preserve"> the wife of accused allegedly told them</w:t>
      </w:r>
      <w:r>
        <w:rPr>
          <w:rFonts w:ascii="Century Gothic" w:hAnsi="Century Gothic" w:cs="Arial"/>
          <w:sz w:val="28"/>
          <w:szCs w:val="28"/>
        </w:rPr>
        <w:t xml:space="preserve"> </w:t>
      </w:r>
      <w:r w:rsidR="004A28E0">
        <w:rPr>
          <w:rFonts w:ascii="Century Gothic" w:hAnsi="Century Gothic" w:cs="Arial"/>
          <w:sz w:val="28"/>
          <w:szCs w:val="28"/>
        </w:rPr>
        <w:t xml:space="preserve">that it was accused who cut the tree in Barangay </w:t>
      </w:r>
      <w:proofErr w:type="spellStart"/>
      <w:r w:rsidR="004A28E0">
        <w:rPr>
          <w:rFonts w:ascii="Century Gothic" w:hAnsi="Century Gothic" w:cs="Arial"/>
          <w:sz w:val="28"/>
          <w:szCs w:val="28"/>
        </w:rPr>
        <w:t>Sangab</w:t>
      </w:r>
      <w:proofErr w:type="spellEnd"/>
      <w:r w:rsidR="004A28E0">
        <w:rPr>
          <w:rFonts w:ascii="Century Gothic" w:hAnsi="Century Gothic" w:cs="Arial"/>
          <w:sz w:val="28"/>
          <w:szCs w:val="28"/>
        </w:rPr>
        <w:t xml:space="preserve">, Maco, but witness could not remember from whom accused bought the log bolts; </w:t>
      </w:r>
      <w:r w:rsidR="004A28E0" w:rsidRPr="004A28E0">
        <w:rPr>
          <w:rFonts w:ascii="Century Gothic" w:hAnsi="Century Gothic" w:cs="Arial"/>
          <w:b/>
          <w:sz w:val="28"/>
          <w:szCs w:val="28"/>
        </w:rPr>
        <w:t>(4)</w:t>
      </w:r>
      <w:r w:rsidR="004A28E0">
        <w:rPr>
          <w:rFonts w:ascii="Century Gothic" w:hAnsi="Century Gothic" w:cs="Arial"/>
          <w:sz w:val="28"/>
          <w:szCs w:val="28"/>
        </w:rPr>
        <w:t xml:space="preserve"> the wife of accused told them that accused could not attend as he was busy with work; </w:t>
      </w:r>
      <w:r w:rsidR="004A28E0" w:rsidRPr="004A28E0">
        <w:rPr>
          <w:rFonts w:ascii="Century Gothic" w:hAnsi="Century Gothic" w:cs="Arial"/>
          <w:b/>
          <w:sz w:val="28"/>
          <w:szCs w:val="28"/>
        </w:rPr>
        <w:t>(5)</w:t>
      </w:r>
      <w:r w:rsidR="004A28E0">
        <w:rPr>
          <w:rFonts w:ascii="Century Gothic" w:hAnsi="Century Gothic" w:cs="Arial"/>
          <w:b/>
          <w:sz w:val="28"/>
          <w:szCs w:val="28"/>
        </w:rPr>
        <w:t xml:space="preserve"> </w:t>
      </w:r>
      <w:r w:rsidR="004A28E0">
        <w:rPr>
          <w:rFonts w:ascii="Century Gothic" w:hAnsi="Century Gothic" w:cs="Arial"/>
          <w:sz w:val="28"/>
          <w:szCs w:val="28"/>
        </w:rPr>
        <w:t xml:space="preserve">witness found based on the testimony of the driver and the military who apprehended that accused was the one who cut the Falcata log bolts so they recommended for the filing of the case and the confiscation of the log bolts in favor of the government; </w:t>
      </w:r>
      <w:r w:rsidR="004A28E0" w:rsidRPr="004A28E0">
        <w:rPr>
          <w:rFonts w:ascii="Century Gothic" w:hAnsi="Century Gothic" w:cs="Arial"/>
          <w:b/>
          <w:sz w:val="28"/>
          <w:szCs w:val="28"/>
        </w:rPr>
        <w:t>(6)</w:t>
      </w:r>
      <w:r w:rsidR="004A28E0">
        <w:rPr>
          <w:rFonts w:ascii="Century Gothic" w:hAnsi="Century Gothic" w:cs="Arial"/>
          <w:sz w:val="28"/>
          <w:szCs w:val="28"/>
        </w:rPr>
        <w:t xml:space="preserve"> he is the evidence custodian of the confiscated log bolts which were turned over to him by Maco Municipal Police Station; and </w:t>
      </w:r>
      <w:r w:rsidR="004A28E0" w:rsidRPr="004A28E0">
        <w:rPr>
          <w:rFonts w:ascii="Century Gothic" w:hAnsi="Century Gothic" w:cs="Arial"/>
          <w:b/>
          <w:sz w:val="28"/>
          <w:szCs w:val="28"/>
        </w:rPr>
        <w:t>(7)</w:t>
      </w:r>
      <w:r w:rsidR="004A28E0">
        <w:rPr>
          <w:rFonts w:ascii="Century Gothic" w:hAnsi="Century Gothic" w:cs="Arial"/>
          <w:sz w:val="28"/>
          <w:szCs w:val="28"/>
        </w:rPr>
        <w:t xml:space="preserve"> his co-workers surnamed </w:t>
      </w:r>
      <w:proofErr w:type="spellStart"/>
      <w:r w:rsidR="004A28E0" w:rsidRPr="004A28E0">
        <w:rPr>
          <w:rFonts w:ascii="Century Gothic" w:hAnsi="Century Gothic" w:cs="Arial"/>
          <w:sz w:val="28"/>
          <w:szCs w:val="28"/>
        </w:rPr>
        <w:t>Batara</w:t>
      </w:r>
      <w:proofErr w:type="spellEnd"/>
      <w:r w:rsidR="004A28E0" w:rsidRPr="004A28E0">
        <w:rPr>
          <w:rFonts w:ascii="Century Gothic" w:hAnsi="Century Gothic" w:cs="Arial"/>
          <w:sz w:val="28"/>
          <w:szCs w:val="28"/>
        </w:rPr>
        <w:t xml:space="preserve">, Pasay and </w:t>
      </w:r>
      <w:proofErr w:type="spellStart"/>
      <w:r w:rsidR="004A28E0" w:rsidRPr="004A28E0">
        <w:rPr>
          <w:rFonts w:ascii="Century Gothic" w:hAnsi="Century Gothic" w:cs="Arial"/>
          <w:sz w:val="28"/>
          <w:szCs w:val="28"/>
        </w:rPr>
        <w:t>Peñalas</w:t>
      </w:r>
      <w:proofErr w:type="spellEnd"/>
      <w:r w:rsidR="004A28E0">
        <w:rPr>
          <w:rFonts w:ascii="Century Gothic" w:hAnsi="Century Gothic" w:cs="Arial"/>
          <w:sz w:val="28"/>
          <w:szCs w:val="28"/>
        </w:rPr>
        <w:t xml:space="preserve"> conducted the scaling of the products.</w:t>
      </w:r>
      <w:r w:rsidR="000325C8">
        <w:rPr>
          <w:rStyle w:val="FootnoteReference"/>
          <w:rFonts w:ascii="Century Gothic" w:hAnsi="Century Gothic" w:cs="Arial"/>
          <w:sz w:val="28"/>
          <w:szCs w:val="28"/>
        </w:rPr>
        <w:footnoteReference w:id="7"/>
      </w:r>
      <w:r w:rsidR="004A28E0">
        <w:rPr>
          <w:rFonts w:ascii="Century Gothic" w:hAnsi="Century Gothic" w:cs="Arial"/>
          <w:sz w:val="28"/>
          <w:szCs w:val="28"/>
        </w:rPr>
        <w:t xml:space="preserve"> </w:t>
      </w:r>
    </w:p>
    <w:p w14:paraId="101B1DDD" w14:textId="4941E9D3" w:rsidR="00501227" w:rsidRDefault="00501227" w:rsidP="00B25F64">
      <w:pPr>
        <w:spacing w:line="360" w:lineRule="auto"/>
        <w:jc w:val="both"/>
        <w:rPr>
          <w:rFonts w:ascii="Century Gothic" w:hAnsi="Century Gothic" w:cs="Arial"/>
          <w:sz w:val="28"/>
          <w:szCs w:val="28"/>
        </w:rPr>
      </w:pPr>
    </w:p>
    <w:p w14:paraId="5D1F964D" w14:textId="2066CBD0" w:rsidR="000325C8" w:rsidRDefault="004A28E0" w:rsidP="00B25F64">
      <w:pPr>
        <w:ind w:firstLine="709"/>
        <w:jc w:val="both"/>
        <w:rPr>
          <w:rFonts w:ascii="Century Gothic" w:hAnsi="Century Gothic" w:cs="Arial"/>
          <w:sz w:val="28"/>
          <w:szCs w:val="28"/>
        </w:rPr>
      </w:pPr>
      <w:r>
        <w:rPr>
          <w:rFonts w:ascii="Century Gothic" w:hAnsi="Century Gothic" w:cs="Arial"/>
          <w:sz w:val="28"/>
          <w:szCs w:val="28"/>
        </w:rPr>
        <w:t xml:space="preserve">On cross-examination on </w:t>
      </w:r>
      <w:r w:rsidR="00EC3916">
        <w:rPr>
          <w:rFonts w:ascii="Century Gothic" w:hAnsi="Century Gothic" w:cs="Arial"/>
          <w:sz w:val="28"/>
          <w:szCs w:val="28"/>
        </w:rPr>
        <w:t xml:space="preserve">March 4, 2021, Officer Lopez </w:t>
      </w:r>
      <w:r w:rsidR="0098328B">
        <w:rPr>
          <w:rFonts w:ascii="Century Gothic" w:hAnsi="Century Gothic" w:cs="Arial"/>
          <w:sz w:val="28"/>
          <w:szCs w:val="28"/>
        </w:rPr>
        <w:t xml:space="preserve">further </w:t>
      </w:r>
      <w:r w:rsidR="00EC3916">
        <w:rPr>
          <w:rFonts w:ascii="Century Gothic" w:hAnsi="Century Gothic" w:cs="Arial"/>
          <w:sz w:val="28"/>
          <w:szCs w:val="28"/>
        </w:rPr>
        <w:t xml:space="preserve">testified </w:t>
      </w:r>
      <w:r w:rsidR="00EC3916" w:rsidRPr="00EC3916">
        <w:rPr>
          <w:rFonts w:ascii="Century Gothic" w:hAnsi="Century Gothic" w:cs="Arial"/>
          <w:b/>
          <w:sz w:val="28"/>
          <w:szCs w:val="28"/>
        </w:rPr>
        <w:t>(1)</w:t>
      </w:r>
      <w:r w:rsidR="00EC3916">
        <w:rPr>
          <w:rFonts w:ascii="Century Gothic" w:hAnsi="Century Gothic" w:cs="Arial"/>
          <w:sz w:val="28"/>
          <w:szCs w:val="28"/>
        </w:rPr>
        <w:t xml:space="preserve"> </w:t>
      </w:r>
      <w:r w:rsidR="00EC3916" w:rsidRPr="00EC3916">
        <w:rPr>
          <w:rFonts w:ascii="Century Gothic" w:hAnsi="Century Gothic" w:cs="Arial"/>
          <w:sz w:val="28"/>
          <w:szCs w:val="28"/>
        </w:rPr>
        <w:t xml:space="preserve">on February 13, 2019, the driver </w:t>
      </w:r>
      <w:proofErr w:type="spellStart"/>
      <w:r w:rsidR="00EC3916" w:rsidRPr="00EC3916">
        <w:rPr>
          <w:rFonts w:ascii="Century Gothic" w:hAnsi="Century Gothic" w:cs="Arial"/>
          <w:sz w:val="28"/>
          <w:szCs w:val="28"/>
        </w:rPr>
        <w:t>Jodil</w:t>
      </w:r>
      <w:proofErr w:type="spellEnd"/>
      <w:r w:rsidR="00EC3916" w:rsidRPr="00EC3916">
        <w:rPr>
          <w:rFonts w:ascii="Century Gothic" w:hAnsi="Century Gothic" w:cs="Arial"/>
          <w:sz w:val="28"/>
          <w:szCs w:val="28"/>
        </w:rPr>
        <w:t xml:space="preserve"> </w:t>
      </w:r>
      <w:proofErr w:type="spellStart"/>
      <w:r w:rsidR="00EC3916" w:rsidRPr="00EC3916">
        <w:rPr>
          <w:rFonts w:ascii="Century Gothic" w:hAnsi="Century Gothic" w:cs="Arial"/>
          <w:sz w:val="28"/>
          <w:szCs w:val="28"/>
        </w:rPr>
        <w:t>Magdagay</w:t>
      </w:r>
      <w:proofErr w:type="spellEnd"/>
      <w:r w:rsidR="00EC3916" w:rsidRPr="00EC3916">
        <w:rPr>
          <w:rFonts w:ascii="Century Gothic" w:hAnsi="Century Gothic" w:cs="Arial"/>
          <w:sz w:val="28"/>
          <w:szCs w:val="28"/>
        </w:rPr>
        <w:t xml:space="preserve"> together with Sergio </w:t>
      </w:r>
      <w:proofErr w:type="spellStart"/>
      <w:r w:rsidR="00EC3916" w:rsidRPr="00EC3916">
        <w:rPr>
          <w:rFonts w:ascii="Century Gothic" w:hAnsi="Century Gothic" w:cs="Arial"/>
          <w:sz w:val="28"/>
          <w:szCs w:val="28"/>
        </w:rPr>
        <w:t>Ragusta</w:t>
      </w:r>
      <w:proofErr w:type="spellEnd"/>
      <w:r w:rsidR="00EC3916" w:rsidRPr="00EC3916">
        <w:rPr>
          <w:rFonts w:ascii="Century Gothic" w:hAnsi="Century Gothic" w:cs="Arial"/>
          <w:sz w:val="28"/>
          <w:szCs w:val="28"/>
        </w:rPr>
        <w:t xml:space="preserve">, Lloyd </w:t>
      </w:r>
      <w:proofErr w:type="spellStart"/>
      <w:r w:rsidR="00EC3916" w:rsidRPr="00EC3916">
        <w:rPr>
          <w:rFonts w:ascii="Century Gothic" w:hAnsi="Century Gothic" w:cs="Arial"/>
          <w:sz w:val="28"/>
          <w:szCs w:val="28"/>
        </w:rPr>
        <w:t>Carpentero</w:t>
      </w:r>
      <w:proofErr w:type="spellEnd"/>
      <w:r w:rsidR="00EC3916" w:rsidRPr="00EC3916">
        <w:rPr>
          <w:rFonts w:ascii="Century Gothic" w:hAnsi="Century Gothic" w:cs="Arial"/>
          <w:sz w:val="28"/>
          <w:szCs w:val="28"/>
        </w:rPr>
        <w:t xml:space="preserve"> and Jimmy </w:t>
      </w:r>
      <w:proofErr w:type="spellStart"/>
      <w:r w:rsidR="00204C37">
        <w:rPr>
          <w:rFonts w:ascii="Century Gothic" w:hAnsi="Century Gothic" w:cs="Arial"/>
          <w:sz w:val="28"/>
          <w:szCs w:val="28"/>
        </w:rPr>
        <w:t>J</w:t>
      </w:r>
      <w:r w:rsidR="00EC3916" w:rsidRPr="00EC3916">
        <w:rPr>
          <w:rFonts w:ascii="Century Gothic" w:hAnsi="Century Gothic" w:cs="Arial"/>
          <w:sz w:val="28"/>
          <w:szCs w:val="28"/>
        </w:rPr>
        <w:t>inayon</w:t>
      </w:r>
      <w:proofErr w:type="spellEnd"/>
      <w:r w:rsidR="00EC3916" w:rsidRPr="00EC3916">
        <w:rPr>
          <w:rFonts w:ascii="Century Gothic" w:hAnsi="Century Gothic" w:cs="Arial"/>
          <w:sz w:val="28"/>
          <w:szCs w:val="28"/>
        </w:rPr>
        <w:t xml:space="preserve"> were arrested by the members of the Philippine Army</w:t>
      </w:r>
      <w:r w:rsidR="00EC3916">
        <w:rPr>
          <w:rFonts w:ascii="Century Gothic" w:hAnsi="Century Gothic" w:cs="Arial"/>
          <w:sz w:val="28"/>
          <w:szCs w:val="28"/>
        </w:rPr>
        <w:t xml:space="preserve"> b</w:t>
      </w:r>
      <w:r w:rsidR="00EC3916" w:rsidRPr="00EC3916">
        <w:rPr>
          <w:rFonts w:ascii="Century Gothic" w:hAnsi="Century Gothic" w:cs="Arial"/>
          <w:sz w:val="28"/>
          <w:szCs w:val="28"/>
        </w:rPr>
        <w:t xml:space="preserve">ased on the reports from PNP Maco coming from </w:t>
      </w:r>
      <w:r w:rsidR="00EC3916">
        <w:rPr>
          <w:rFonts w:ascii="Century Gothic" w:hAnsi="Century Gothic" w:cs="Arial"/>
          <w:sz w:val="28"/>
          <w:szCs w:val="28"/>
        </w:rPr>
        <w:t xml:space="preserve">the </w:t>
      </w:r>
      <w:r w:rsidR="00EC3916" w:rsidRPr="00EC3916">
        <w:rPr>
          <w:rFonts w:ascii="Century Gothic" w:hAnsi="Century Gothic" w:cs="Arial"/>
          <w:sz w:val="28"/>
          <w:szCs w:val="28"/>
        </w:rPr>
        <w:t>71st I</w:t>
      </w:r>
      <w:r w:rsidR="00EC3916">
        <w:rPr>
          <w:rFonts w:ascii="Century Gothic" w:hAnsi="Century Gothic" w:cs="Arial"/>
          <w:sz w:val="28"/>
          <w:szCs w:val="28"/>
        </w:rPr>
        <w:t xml:space="preserve">nfantry </w:t>
      </w:r>
      <w:r w:rsidR="00EC3916" w:rsidRPr="00EC3916">
        <w:rPr>
          <w:rFonts w:ascii="Century Gothic" w:hAnsi="Century Gothic" w:cs="Arial"/>
          <w:sz w:val="28"/>
          <w:szCs w:val="28"/>
        </w:rPr>
        <w:t>B</w:t>
      </w:r>
      <w:r w:rsidR="00EC3916">
        <w:rPr>
          <w:rFonts w:ascii="Century Gothic" w:hAnsi="Century Gothic" w:cs="Arial"/>
          <w:sz w:val="28"/>
          <w:szCs w:val="28"/>
        </w:rPr>
        <w:t>rigade that</w:t>
      </w:r>
      <w:r w:rsidR="00EC3916" w:rsidRPr="00EC3916">
        <w:rPr>
          <w:rFonts w:ascii="Century Gothic" w:hAnsi="Century Gothic" w:cs="Arial"/>
          <w:sz w:val="28"/>
          <w:szCs w:val="28"/>
        </w:rPr>
        <w:t xml:space="preserve"> an ISUZU forward truck bearing plate no. GJJ1551 owned by Melvin </w:t>
      </w:r>
      <w:proofErr w:type="spellStart"/>
      <w:r w:rsidR="00EC3916" w:rsidRPr="00EC3916">
        <w:rPr>
          <w:rFonts w:ascii="Century Gothic" w:hAnsi="Century Gothic" w:cs="Arial"/>
          <w:sz w:val="28"/>
          <w:szCs w:val="28"/>
        </w:rPr>
        <w:t>Delideli</w:t>
      </w:r>
      <w:proofErr w:type="spellEnd"/>
      <w:r w:rsidR="00EC3916" w:rsidRPr="00EC3916">
        <w:rPr>
          <w:rFonts w:ascii="Century Gothic" w:hAnsi="Century Gothic" w:cs="Arial"/>
          <w:sz w:val="28"/>
          <w:szCs w:val="28"/>
        </w:rPr>
        <w:t xml:space="preserve"> was intersected </w:t>
      </w:r>
      <w:r w:rsidR="00EC3916">
        <w:rPr>
          <w:rFonts w:ascii="Century Gothic" w:hAnsi="Century Gothic" w:cs="Arial"/>
          <w:sz w:val="28"/>
          <w:szCs w:val="28"/>
        </w:rPr>
        <w:t>for</w:t>
      </w:r>
      <w:r w:rsidR="00EC3916" w:rsidRPr="00EC3916">
        <w:rPr>
          <w:rFonts w:ascii="Century Gothic" w:hAnsi="Century Gothic" w:cs="Arial"/>
          <w:sz w:val="28"/>
          <w:szCs w:val="28"/>
        </w:rPr>
        <w:t xml:space="preserve"> allegedly </w:t>
      </w:r>
      <w:r w:rsidR="00EC3916">
        <w:rPr>
          <w:rFonts w:ascii="Century Gothic" w:hAnsi="Century Gothic" w:cs="Arial"/>
          <w:sz w:val="28"/>
          <w:szCs w:val="28"/>
        </w:rPr>
        <w:t>carrying</w:t>
      </w:r>
      <w:r w:rsidR="00EC3916" w:rsidRPr="00EC3916">
        <w:rPr>
          <w:rFonts w:ascii="Century Gothic" w:hAnsi="Century Gothic" w:cs="Arial"/>
          <w:sz w:val="28"/>
          <w:szCs w:val="28"/>
        </w:rPr>
        <w:t xml:space="preserve"> forest products without permit</w:t>
      </w:r>
      <w:r w:rsidR="00EC3916">
        <w:rPr>
          <w:rFonts w:ascii="Century Gothic" w:hAnsi="Century Gothic" w:cs="Arial"/>
          <w:sz w:val="28"/>
          <w:szCs w:val="28"/>
        </w:rPr>
        <w:t xml:space="preserve">; </w:t>
      </w:r>
      <w:r w:rsidR="00EC3916" w:rsidRPr="00EC3916">
        <w:rPr>
          <w:rFonts w:ascii="Century Gothic" w:hAnsi="Century Gothic" w:cs="Arial"/>
          <w:b/>
          <w:sz w:val="28"/>
          <w:szCs w:val="28"/>
        </w:rPr>
        <w:t>(2)</w:t>
      </w:r>
      <w:r w:rsidR="00EC3916">
        <w:rPr>
          <w:rFonts w:ascii="Century Gothic" w:hAnsi="Century Gothic" w:cs="Arial"/>
          <w:sz w:val="28"/>
          <w:szCs w:val="28"/>
        </w:rPr>
        <w:t xml:space="preserve"> it was based on said report that an administrative hearing was conducted;</w:t>
      </w:r>
      <w:r w:rsidR="00EC3916" w:rsidRPr="00EC3916">
        <w:rPr>
          <w:rFonts w:ascii="Century Gothic" w:hAnsi="Century Gothic" w:cs="Arial"/>
          <w:b/>
          <w:sz w:val="28"/>
          <w:szCs w:val="28"/>
        </w:rPr>
        <w:t xml:space="preserve"> (3)</w:t>
      </w:r>
      <w:r w:rsidR="00EC3916">
        <w:rPr>
          <w:rFonts w:ascii="Century Gothic" w:hAnsi="Century Gothic" w:cs="Arial"/>
          <w:sz w:val="28"/>
          <w:szCs w:val="28"/>
        </w:rPr>
        <w:t xml:space="preserve"> d</w:t>
      </w:r>
      <w:r w:rsidR="00EC3916" w:rsidRPr="00EC3916">
        <w:rPr>
          <w:rFonts w:ascii="Century Gothic" w:hAnsi="Century Gothic" w:cs="Arial"/>
          <w:sz w:val="28"/>
          <w:szCs w:val="28"/>
        </w:rPr>
        <w:t xml:space="preserve">uring that hearing, it was established that those persons that I mentioned earlier </w:t>
      </w:r>
      <w:proofErr w:type="spellStart"/>
      <w:r w:rsidR="00EC3916" w:rsidRPr="00EC3916">
        <w:rPr>
          <w:rFonts w:ascii="Century Gothic" w:hAnsi="Century Gothic" w:cs="Arial"/>
          <w:sz w:val="28"/>
          <w:szCs w:val="28"/>
        </w:rPr>
        <w:t>Jodil</w:t>
      </w:r>
      <w:proofErr w:type="spellEnd"/>
      <w:r w:rsidR="00EC3916" w:rsidRPr="00EC3916">
        <w:rPr>
          <w:rFonts w:ascii="Century Gothic" w:hAnsi="Century Gothic" w:cs="Arial"/>
          <w:sz w:val="28"/>
          <w:szCs w:val="28"/>
        </w:rPr>
        <w:t xml:space="preserve"> </w:t>
      </w:r>
      <w:proofErr w:type="spellStart"/>
      <w:r w:rsidR="00EC3916" w:rsidRPr="00EC3916">
        <w:rPr>
          <w:rFonts w:ascii="Century Gothic" w:hAnsi="Century Gothic" w:cs="Arial"/>
          <w:sz w:val="28"/>
          <w:szCs w:val="28"/>
        </w:rPr>
        <w:t>Magdagay</w:t>
      </w:r>
      <w:proofErr w:type="spellEnd"/>
      <w:r w:rsidR="00EC3916" w:rsidRPr="00EC3916">
        <w:rPr>
          <w:rFonts w:ascii="Century Gothic" w:hAnsi="Century Gothic" w:cs="Arial"/>
          <w:sz w:val="28"/>
          <w:szCs w:val="28"/>
        </w:rPr>
        <w:t xml:space="preserve">, Sergio </w:t>
      </w:r>
      <w:proofErr w:type="spellStart"/>
      <w:r w:rsidR="00EC3916" w:rsidRPr="00EC3916">
        <w:rPr>
          <w:rFonts w:ascii="Century Gothic" w:hAnsi="Century Gothic" w:cs="Arial"/>
          <w:sz w:val="28"/>
          <w:szCs w:val="28"/>
        </w:rPr>
        <w:t>Ragusta</w:t>
      </w:r>
      <w:proofErr w:type="spellEnd"/>
      <w:r w:rsidR="00EC3916" w:rsidRPr="00EC3916">
        <w:rPr>
          <w:rFonts w:ascii="Century Gothic" w:hAnsi="Century Gothic" w:cs="Arial"/>
          <w:sz w:val="28"/>
          <w:szCs w:val="28"/>
        </w:rPr>
        <w:t xml:space="preserve">, Lloyd </w:t>
      </w:r>
      <w:proofErr w:type="spellStart"/>
      <w:r w:rsidR="00EC3916" w:rsidRPr="00EC3916">
        <w:rPr>
          <w:rFonts w:ascii="Century Gothic" w:hAnsi="Century Gothic" w:cs="Arial"/>
          <w:sz w:val="28"/>
          <w:szCs w:val="28"/>
        </w:rPr>
        <w:t>Carpentero</w:t>
      </w:r>
      <w:proofErr w:type="spellEnd"/>
      <w:r w:rsidR="00EC3916" w:rsidRPr="00EC3916">
        <w:rPr>
          <w:rFonts w:ascii="Century Gothic" w:hAnsi="Century Gothic" w:cs="Arial"/>
          <w:sz w:val="28"/>
          <w:szCs w:val="28"/>
        </w:rPr>
        <w:t xml:space="preserve"> and Jimmy </w:t>
      </w:r>
      <w:proofErr w:type="spellStart"/>
      <w:r w:rsidR="00204C37">
        <w:rPr>
          <w:rFonts w:ascii="Century Gothic" w:hAnsi="Century Gothic" w:cs="Arial"/>
          <w:sz w:val="28"/>
          <w:szCs w:val="28"/>
        </w:rPr>
        <w:t>J</w:t>
      </w:r>
      <w:r w:rsidR="00EC3916" w:rsidRPr="00EC3916">
        <w:rPr>
          <w:rFonts w:ascii="Century Gothic" w:hAnsi="Century Gothic" w:cs="Arial"/>
          <w:sz w:val="28"/>
          <w:szCs w:val="28"/>
        </w:rPr>
        <w:t>inayon</w:t>
      </w:r>
      <w:proofErr w:type="spellEnd"/>
      <w:r w:rsidR="00EC3916" w:rsidRPr="00EC3916">
        <w:rPr>
          <w:rFonts w:ascii="Century Gothic" w:hAnsi="Century Gothic" w:cs="Arial"/>
          <w:sz w:val="28"/>
          <w:szCs w:val="28"/>
        </w:rPr>
        <w:t xml:space="preserve"> were found in possession of the forest products</w:t>
      </w:r>
      <w:r w:rsidR="00EC3916">
        <w:rPr>
          <w:rFonts w:ascii="Century Gothic" w:hAnsi="Century Gothic" w:cs="Arial"/>
          <w:sz w:val="28"/>
          <w:szCs w:val="28"/>
        </w:rPr>
        <w:t xml:space="preserve">; </w:t>
      </w:r>
      <w:r w:rsidR="00EC3916" w:rsidRPr="00EC3916">
        <w:rPr>
          <w:rFonts w:ascii="Century Gothic" w:hAnsi="Century Gothic" w:cs="Arial"/>
          <w:b/>
          <w:sz w:val="28"/>
          <w:szCs w:val="28"/>
        </w:rPr>
        <w:t>(4)</w:t>
      </w:r>
      <w:r w:rsidR="00EC3916">
        <w:rPr>
          <w:rFonts w:ascii="Century Gothic" w:hAnsi="Century Gothic" w:cs="Arial"/>
          <w:sz w:val="28"/>
          <w:szCs w:val="28"/>
        </w:rPr>
        <w:t xml:space="preserve"> d</w:t>
      </w:r>
      <w:r w:rsidR="00EC3916" w:rsidRPr="00EC3916">
        <w:rPr>
          <w:rFonts w:ascii="Century Gothic" w:hAnsi="Century Gothic" w:cs="Arial"/>
          <w:sz w:val="28"/>
          <w:szCs w:val="28"/>
        </w:rPr>
        <w:t xml:space="preserve">uring the hearing, these persons </w:t>
      </w:r>
      <w:proofErr w:type="spellStart"/>
      <w:r w:rsidR="00EC3916" w:rsidRPr="00EC3916">
        <w:rPr>
          <w:rFonts w:ascii="Century Gothic" w:hAnsi="Century Gothic" w:cs="Arial"/>
          <w:sz w:val="28"/>
          <w:szCs w:val="28"/>
        </w:rPr>
        <w:t>Jodil</w:t>
      </w:r>
      <w:proofErr w:type="spellEnd"/>
      <w:r w:rsidR="00EC3916" w:rsidRPr="00EC3916">
        <w:rPr>
          <w:rFonts w:ascii="Century Gothic" w:hAnsi="Century Gothic" w:cs="Arial"/>
          <w:sz w:val="28"/>
          <w:szCs w:val="28"/>
        </w:rPr>
        <w:t xml:space="preserve">, Sergio, Lloyd, and Jimmy were invited to </w:t>
      </w:r>
      <w:r w:rsidR="00EC3916">
        <w:rPr>
          <w:rFonts w:ascii="Century Gothic" w:hAnsi="Century Gothic" w:cs="Arial"/>
          <w:sz w:val="28"/>
          <w:szCs w:val="28"/>
        </w:rPr>
        <w:t>their</w:t>
      </w:r>
      <w:r w:rsidR="00EC3916" w:rsidRPr="00EC3916">
        <w:rPr>
          <w:rFonts w:ascii="Century Gothic" w:hAnsi="Century Gothic" w:cs="Arial"/>
          <w:sz w:val="28"/>
          <w:szCs w:val="28"/>
        </w:rPr>
        <w:t xml:space="preserve"> office</w:t>
      </w:r>
      <w:r w:rsidR="00EC3916">
        <w:rPr>
          <w:rFonts w:ascii="Century Gothic" w:hAnsi="Century Gothic" w:cs="Arial"/>
          <w:sz w:val="28"/>
          <w:szCs w:val="28"/>
        </w:rPr>
        <w:t xml:space="preserve">, but only </w:t>
      </w:r>
      <w:proofErr w:type="spellStart"/>
      <w:r w:rsidR="00EC3916">
        <w:rPr>
          <w:rFonts w:ascii="Century Gothic" w:hAnsi="Century Gothic" w:cs="Arial"/>
          <w:sz w:val="28"/>
          <w:szCs w:val="28"/>
        </w:rPr>
        <w:t>Jodil</w:t>
      </w:r>
      <w:proofErr w:type="spellEnd"/>
      <w:r w:rsidR="00EC3916">
        <w:rPr>
          <w:rFonts w:ascii="Century Gothic" w:hAnsi="Century Gothic" w:cs="Arial"/>
          <w:sz w:val="28"/>
          <w:szCs w:val="28"/>
        </w:rPr>
        <w:t xml:space="preserve"> who is the truck driver attended; </w:t>
      </w:r>
      <w:r w:rsidR="00EC3916" w:rsidRPr="00EC3916">
        <w:rPr>
          <w:rFonts w:ascii="Century Gothic" w:hAnsi="Century Gothic" w:cs="Arial"/>
          <w:b/>
          <w:sz w:val="28"/>
          <w:szCs w:val="28"/>
        </w:rPr>
        <w:t>(5)</w:t>
      </w:r>
      <w:r w:rsidR="00EC3916" w:rsidRPr="00EC3916">
        <w:rPr>
          <w:rFonts w:ascii="Century Gothic" w:hAnsi="Century Gothic" w:cs="Arial"/>
          <w:sz w:val="28"/>
          <w:szCs w:val="28"/>
        </w:rPr>
        <w:t xml:space="preserve"> </w:t>
      </w:r>
      <w:r w:rsidR="00EC3916">
        <w:rPr>
          <w:rFonts w:ascii="Century Gothic" w:hAnsi="Century Gothic" w:cs="Arial"/>
          <w:sz w:val="28"/>
          <w:szCs w:val="28"/>
        </w:rPr>
        <w:t xml:space="preserve">it was during the hearing that the name of accused was brought up, as testified to by the truck driver </w:t>
      </w:r>
      <w:proofErr w:type="spellStart"/>
      <w:r w:rsidR="00EC3916">
        <w:rPr>
          <w:rFonts w:ascii="Century Gothic" w:hAnsi="Century Gothic" w:cs="Arial"/>
          <w:sz w:val="28"/>
          <w:szCs w:val="28"/>
        </w:rPr>
        <w:t>Jodil</w:t>
      </w:r>
      <w:proofErr w:type="spellEnd"/>
      <w:r w:rsidR="00EC3916">
        <w:rPr>
          <w:rFonts w:ascii="Century Gothic" w:hAnsi="Century Gothic" w:cs="Arial"/>
          <w:sz w:val="28"/>
          <w:szCs w:val="28"/>
        </w:rPr>
        <w:t xml:space="preserve">; </w:t>
      </w:r>
      <w:r w:rsidR="00EC3916" w:rsidRPr="00EC3916">
        <w:rPr>
          <w:rFonts w:ascii="Century Gothic" w:hAnsi="Century Gothic" w:cs="Arial"/>
          <w:b/>
          <w:sz w:val="28"/>
          <w:szCs w:val="28"/>
        </w:rPr>
        <w:t>(6)</w:t>
      </w:r>
      <w:r w:rsidR="00EC3916">
        <w:rPr>
          <w:rFonts w:ascii="Century Gothic" w:hAnsi="Century Gothic" w:cs="Arial"/>
          <w:sz w:val="28"/>
          <w:szCs w:val="28"/>
        </w:rPr>
        <w:t xml:space="preserve"> their office filed a case against accused based on the testimony of the truck driver and the </w:t>
      </w:r>
      <w:r w:rsidR="000325C8">
        <w:rPr>
          <w:rFonts w:ascii="Century Gothic" w:hAnsi="Century Gothic" w:cs="Arial"/>
          <w:sz w:val="28"/>
          <w:szCs w:val="28"/>
        </w:rPr>
        <w:lastRenderedPageBreak/>
        <w:t>admission of the wife of accused that it was her husband who cut the subject log bolts;</w:t>
      </w:r>
      <w:r w:rsidR="000325C8" w:rsidRPr="000325C8">
        <w:rPr>
          <w:rFonts w:ascii="Century Gothic" w:hAnsi="Century Gothic" w:cs="Arial"/>
          <w:b/>
          <w:sz w:val="28"/>
          <w:szCs w:val="28"/>
        </w:rPr>
        <w:t xml:space="preserve"> (7)</w:t>
      </w:r>
      <w:r w:rsidR="001A604D">
        <w:rPr>
          <w:rFonts w:ascii="Century Gothic" w:hAnsi="Century Gothic" w:cs="Arial"/>
          <w:sz w:val="28"/>
          <w:szCs w:val="28"/>
        </w:rPr>
        <w:t xml:space="preserve"> </w:t>
      </w:r>
      <w:r w:rsidR="000325C8">
        <w:rPr>
          <w:rFonts w:ascii="Century Gothic" w:hAnsi="Century Gothic" w:cs="Arial"/>
          <w:sz w:val="28"/>
          <w:szCs w:val="28"/>
        </w:rPr>
        <w:t xml:space="preserve">when asked why her husband could not attend the hearing, the wife allegedly said that her husband was afraid to come; </w:t>
      </w:r>
      <w:r w:rsidR="000325C8" w:rsidRPr="000325C8">
        <w:rPr>
          <w:rFonts w:ascii="Century Gothic" w:hAnsi="Century Gothic" w:cs="Arial"/>
          <w:b/>
          <w:sz w:val="28"/>
          <w:szCs w:val="28"/>
        </w:rPr>
        <w:t>(8)</w:t>
      </w:r>
      <w:r w:rsidR="000325C8">
        <w:rPr>
          <w:rFonts w:ascii="Century Gothic" w:hAnsi="Century Gothic" w:cs="Arial"/>
          <w:sz w:val="28"/>
          <w:szCs w:val="28"/>
        </w:rPr>
        <w:t xml:space="preserve"> the wife did not execute a sworn statement to that effect; </w:t>
      </w:r>
      <w:r w:rsidR="000325C8" w:rsidRPr="000325C8">
        <w:rPr>
          <w:rFonts w:ascii="Century Gothic" w:hAnsi="Century Gothic" w:cs="Arial"/>
          <w:b/>
          <w:sz w:val="28"/>
          <w:szCs w:val="28"/>
        </w:rPr>
        <w:t>(9)</w:t>
      </w:r>
      <w:r w:rsidR="000325C8">
        <w:rPr>
          <w:rFonts w:ascii="Century Gothic" w:hAnsi="Century Gothic" w:cs="Arial"/>
          <w:sz w:val="28"/>
          <w:szCs w:val="28"/>
        </w:rPr>
        <w:t xml:space="preserve"> when asked, he confirmed that their office did not file cases against </w:t>
      </w:r>
      <w:proofErr w:type="spellStart"/>
      <w:r w:rsidR="000325C8" w:rsidRPr="00EC3916">
        <w:rPr>
          <w:rFonts w:ascii="Century Gothic" w:hAnsi="Century Gothic" w:cs="Arial"/>
          <w:sz w:val="28"/>
          <w:szCs w:val="28"/>
        </w:rPr>
        <w:t>Jodil</w:t>
      </w:r>
      <w:proofErr w:type="spellEnd"/>
      <w:r w:rsidR="000325C8" w:rsidRPr="00EC3916">
        <w:rPr>
          <w:rFonts w:ascii="Century Gothic" w:hAnsi="Century Gothic" w:cs="Arial"/>
          <w:sz w:val="28"/>
          <w:szCs w:val="28"/>
        </w:rPr>
        <w:t xml:space="preserve"> </w:t>
      </w:r>
      <w:proofErr w:type="spellStart"/>
      <w:r w:rsidR="000325C8" w:rsidRPr="00EC3916">
        <w:rPr>
          <w:rFonts w:ascii="Century Gothic" w:hAnsi="Century Gothic" w:cs="Arial"/>
          <w:sz w:val="28"/>
          <w:szCs w:val="28"/>
        </w:rPr>
        <w:t>Magdagay</w:t>
      </w:r>
      <w:proofErr w:type="spellEnd"/>
      <w:r w:rsidR="000325C8" w:rsidRPr="00EC3916">
        <w:rPr>
          <w:rFonts w:ascii="Century Gothic" w:hAnsi="Century Gothic" w:cs="Arial"/>
          <w:sz w:val="28"/>
          <w:szCs w:val="28"/>
        </w:rPr>
        <w:t xml:space="preserve">, Sergio </w:t>
      </w:r>
      <w:proofErr w:type="spellStart"/>
      <w:r w:rsidR="000325C8" w:rsidRPr="00EC3916">
        <w:rPr>
          <w:rFonts w:ascii="Century Gothic" w:hAnsi="Century Gothic" w:cs="Arial"/>
          <w:sz w:val="28"/>
          <w:szCs w:val="28"/>
        </w:rPr>
        <w:t>Ragusta</w:t>
      </w:r>
      <w:proofErr w:type="spellEnd"/>
      <w:r w:rsidR="000325C8" w:rsidRPr="00EC3916">
        <w:rPr>
          <w:rFonts w:ascii="Century Gothic" w:hAnsi="Century Gothic" w:cs="Arial"/>
          <w:sz w:val="28"/>
          <w:szCs w:val="28"/>
        </w:rPr>
        <w:t xml:space="preserve">, Lloyd </w:t>
      </w:r>
      <w:proofErr w:type="spellStart"/>
      <w:r w:rsidR="000325C8" w:rsidRPr="00EC3916">
        <w:rPr>
          <w:rFonts w:ascii="Century Gothic" w:hAnsi="Century Gothic" w:cs="Arial"/>
          <w:sz w:val="28"/>
          <w:szCs w:val="28"/>
        </w:rPr>
        <w:t>Carpentero</w:t>
      </w:r>
      <w:proofErr w:type="spellEnd"/>
      <w:r w:rsidR="000325C8" w:rsidRPr="00EC3916">
        <w:rPr>
          <w:rFonts w:ascii="Century Gothic" w:hAnsi="Century Gothic" w:cs="Arial"/>
          <w:sz w:val="28"/>
          <w:szCs w:val="28"/>
        </w:rPr>
        <w:t xml:space="preserve"> and Jimmy </w:t>
      </w:r>
      <w:proofErr w:type="spellStart"/>
      <w:r w:rsidR="00FC22F6">
        <w:rPr>
          <w:rFonts w:ascii="Century Gothic" w:hAnsi="Century Gothic" w:cs="Arial"/>
          <w:sz w:val="28"/>
          <w:szCs w:val="28"/>
        </w:rPr>
        <w:t>J</w:t>
      </w:r>
      <w:r w:rsidR="000325C8" w:rsidRPr="00EC3916">
        <w:rPr>
          <w:rFonts w:ascii="Century Gothic" w:hAnsi="Century Gothic" w:cs="Arial"/>
          <w:sz w:val="28"/>
          <w:szCs w:val="28"/>
        </w:rPr>
        <w:t>inayon</w:t>
      </w:r>
      <w:proofErr w:type="spellEnd"/>
      <w:r w:rsidR="000325C8" w:rsidRPr="00EC3916">
        <w:rPr>
          <w:rFonts w:ascii="Century Gothic" w:hAnsi="Century Gothic" w:cs="Arial"/>
          <w:sz w:val="28"/>
          <w:szCs w:val="28"/>
        </w:rPr>
        <w:t xml:space="preserve"> were found in possession of the forest products</w:t>
      </w:r>
      <w:r w:rsidR="000325C8">
        <w:rPr>
          <w:rFonts w:ascii="Century Gothic" w:hAnsi="Century Gothic" w:cs="Arial"/>
          <w:sz w:val="28"/>
          <w:szCs w:val="28"/>
        </w:rPr>
        <w:t xml:space="preserve">; and </w:t>
      </w:r>
      <w:r w:rsidR="000325C8" w:rsidRPr="000325C8">
        <w:rPr>
          <w:rFonts w:ascii="Century Gothic" w:hAnsi="Century Gothic" w:cs="Arial"/>
          <w:b/>
          <w:sz w:val="28"/>
          <w:szCs w:val="28"/>
        </w:rPr>
        <w:t>(10)</w:t>
      </w:r>
      <w:r w:rsidR="000325C8">
        <w:rPr>
          <w:rFonts w:ascii="Century Gothic" w:hAnsi="Century Gothic" w:cs="Arial"/>
          <w:sz w:val="28"/>
          <w:szCs w:val="28"/>
        </w:rPr>
        <w:t xml:space="preserve"> he had no personal knowledge of the fact that accused actually committed the offense.</w:t>
      </w:r>
      <w:r w:rsidR="000325C8">
        <w:rPr>
          <w:rStyle w:val="FootnoteReference"/>
          <w:rFonts w:ascii="Century Gothic" w:hAnsi="Century Gothic" w:cs="Arial"/>
          <w:sz w:val="28"/>
          <w:szCs w:val="28"/>
        </w:rPr>
        <w:footnoteReference w:id="8"/>
      </w:r>
      <w:r w:rsidR="000325C8">
        <w:rPr>
          <w:rFonts w:ascii="Century Gothic" w:hAnsi="Century Gothic" w:cs="Arial"/>
          <w:sz w:val="28"/>
          <w:szCs w:val="28"/>
        </w:rPr>
        <w:t xml:space="preserve"> On clarificatory, Officer Lopez admitted that the truck was not owned by the accused, but by </w:t>
      </w:r>
      <w:proofErr w:type="spellStart"/>
      <w:r w:rsidR="000325C8">
        <w:rPr>
          <w:rFonts w:ascii="Century Gothic" w:hAnsi="Century Gothic" w:cs="Arial"/>
          <w:sz w:val="28"/>
          <w:szCs w:val="28"/>
        </w:rPr>
        <w:t>Malvin</w:t>
      </w:r>
      <w:proofErr w:type="spellEnd"/>
      <w:r w:rsidR="000325C8">
        <w:rPr>
          <w:rFonts w:ascii="Century Gothic" w:hAnsi="Century Gothic" w:cs="Arial"/>
          <w:sz w:val="28"/>
          <w:szCs w:val="28"/>
        </w:rPr>
        <w:t xml:space="preserve"> Deli-Deli.</w:t>
      </w:r>
      <w:r w:rsidR="000325C8">
        <w:rPr>
          <w:rStyle w:val="FootnoteReference"/>
          <w:rFonts w:ascii="Century Gothic" w:hAnsi="Century Gothic" w:cs="Arial"/>
          <w:sz w:val="28"/>
          <w:szCs w:val="28"/>
        </w:rPr>
        <w:footnoteReference w:id="9"/>
      </w:r>
      <w:r w:rsidR="000325C8">
        <w:rPr>
          <w:rFonts w:ascii="Century Gothic" w:hAnsi="Century Gothic" w:cs="Arial"/>
          <w:sz w:val="28"/>
          <w:szCs w:val="28"/>
        </w:rPr>
        <w:t xml:space="preserve"> </w:t>
      </w:r>
    </w:p>
    <w:p w14:paraId="509871B5" w14:textId="147B66B3" w:rsidR="000325C8" w:rsidRDefault="000325C8" w:rsidP="00B25F64">
      <w:pPr>
        <w:spacing w:line="360" w:lineRule="auto"/>
        <w:jc w:val="both"/>
        <w:rPr>
          <w:rFonts w:ascii="Century Gothic" w:hAnsi="Century Gothic" w:cs="Arial"/>
          <w:sz w:val="28"/>
          <w:szCs w:val="28"/>
        </w:rPr>
      </w:pPr>
      <w:r>
        <w:rPr>
          <w:rFonts w:ascii="Century Gothic" w:hAnsi="Century Gothic" w:cs="Arial"/>
          <w:sz w:val="28"/>
          <w:szCs w:val="28"/>
        </w:rPr>
        <w:t xml:space="preserve"> </w:t>
      </w:r>
    </w:p>
    <w:p w14:paraId="10568124" w14:textId="30C3A5C9" w:rsidR="00B97845" w:rsidRDefault="000325C8" w:rsidP="00EC3916">
      <w:pPr>
        <w:ind w:firstLine="709"/>
        <w:jc w:val="both"/>
        <w:rPr>
          <w:rFonts w:ascii="Century Gothic" w:hAnsi="Century Gothic" w:cs="Arial"/>
          <w:sz w:val="28"/>
          <w:szCs w:val="28"/>
        </w:rPr>
      </w:pPr>
      <w:r>
        <w:rPr>
          <w:rFonts w:ascii="Century Gothic" w:hAnsi="Century Gothic" w:cs="Arial"/>
          <w:sz w:val="28"/>
          <w:szCs w:val="28"/>
        </w:rPr>
        <w:t xml:space="preserve">On </w:t>
      </w:r>
      <w:r w:rsidR="00640970">
        <w:rPr>
          <w:rFonts w:ascii="Century Gothic" w:hAnsi="Century Gothic" w:cs="Arial"/>
          <w:sz w:val="28"/>
          <w:szCs w:val="28"/>
        </w:rPr>
        <w:t xml:space="preserve">May 4, 2021, the prosecution presented its third witness: Efraim W. </w:t>
      </w:r>
      <w:proofErr w:type="spellStart"/>
      <w:r w:rsidR="00640970">
        <w:rPr>
          <w:rFonts w:ascii="Century Gothic" w:hAnsi="Century Gothic" w:cs="Arial"/>
          <w:sz w:val="28"/>
          <w:szCs w:val="28"/>
        </w:rPr>
        <w:t>Peńalas</w:t>
      </w:r>
      <w:proofErr w:type="spellEnd"/>
      <w:r w:rsidR="00640970">
        <w:rPr>
          <w:rFonts w:ascii="Century Gothic" w:hAnsi="Century Gothic" w:cs="Arial"/>
          <w:sz w:val="28"/>
          <w:szCs w:val="28"/>
        </w:rPr>
        <w:t xml:space="preserve"> </w:t>
      </w:r>
      <w:r w:rsidR="00B97845">
        <w:rPr>
          <w:rFonts w:ascii="Century Gothic" w:hAnsi="Century Gothic" w:cs="Arial"/>
          <w:sz w:val="28"/>
          <w:szCs w:val="28"/>
        </w:rPr>
        <w:t xml:space="preserve">(Officer </w:t>
      </w:r>
      <w:proofErr w:type="spellStart"/>
      <w:r w:rsidR="00B97845">
        <w:rPr>
          <w:rFonts w:ascii="Century Gothic" w:hAnsi="Century Gothic" w:cs="Arial"/>
          <w:sz w:val="28"/>
          <w:szCs w:val="28"/>
        </w:rPr>
        <w:t>Peńalas</w:t>
      </w:r>
      <w:proofErr w:type="spellEnd"/>
      <w:r w:rsidR="00B97845">
        <w:rPr>
          <w:rFonts w:ascii="Century Gothic" w:hAnsi="Century Gothic" w:cs="Arial"/>
          <w:sz w:val="28"/>
          <w:szCs w:val="28"/>
        </w:rPr>
        <w:t xml:space="preserve">) </w:t>
      </w:r>
      <w:r w:rsidR="00640970">
        <w:rPr>
          <w:rFonts w:ascii="Century Gothic" w:hAnsi="Century Gothic" w:cs="Arial"/>
          <w:sz w:val="28"/>
          <w:szCs w:val="28"/>
        </w:rPr>
        <w:t xml:space="preserve">who is one </w:t>
      </w:r>
      <w:r w:rsidR="00640970" w:rsidRPr="00640970">
        <w:rPr>
          <w:rFonts w:ascii="Century Gothic" w:hAnsi="Century Gothic" w:cs="Arial"/>
          <w:sz w:val="28"/>
          <w:szCs w:val="28"/>
        </w:rPr>
        <w:t xml:space="preserve">of the CENRO personnel who was part of the team who conducted scaling and investigation </w:t>
      </w:r>
      <w:r w:rsidR="00640970">
        <w:rPr>
          <w:rFonts w:ascii="Century Gothic" w:hAnsi="Century Gothic" w:cs="Arial"/>
          <w:sz w:val="28"/>
          <w:szCs w:val="28"/>
        </w:rPr>
        <w:t>in this</w:t>
      </w:r>
      <w:r w:rsidR="00640970" w:rsidRPr="00640970">
        <w:rPr>
          <w:rFonts w:ascii="Century Gothic" w:hAnsi="Century Gothic" w:cs="Arial"/>
          <w:sz w:val="28"/>
          <w:szCs w:val="28"/>
        </w:rPr>
        <w:t xml:space="preserve"> case</w:t>
      </w:r>
      <w:r w:rsidR="00640970">
        <w:rPr>
          <w:rFonts w:ascii="Century Gothic" w:hAnsi="Century Gothic" w:cs="Arial"/>
          <w:sz w:val="28"/>
          <w:szCs w:val="28"/>
        </w:rPr>
        <w:t>. He identified the following documents: Joint Affidavit;</w:t>
      </w:r>
      <w:r w:rsidR="00640970">
        <w:rPr>
          <w:rStyle w:val="FootnoteReference"/>
          <w:rFonts w:ascii="Century Gothic" w:hAnsi="Century Gothic" w:cs="Arial"/>
          <w:sz w:val="28"/>
          <w:szCs w:val="28"/>
        </w:rPr>
        <w:footnoteReference w:id="10"/>
      </w:r>
      <w:r w:rsidR="00640970">
        <w:rPr>
          <w:rFonts w:ascii="Century Gothic" w:hAnsi="Century Gothic" w:cs="Arial"/>
          <w:sz w:val="28"/>
          <w:szCs w:val="28"/>
        </w:rPr>
        <w:t xml:space="preserve"> S</w:t>
      </w:r>
      <w:r w:rsidR="00640970" w:rsidRPr="006752A7">
        <w:rPr>
          <w:rFonts w:ascii="Century Gothic" w:hAnsi="Century Gothic" w:cs="Arial"/>
          <w:sz w:val="28"/>
          <w:szCs w:val="28"/>
        </w:rPr>
        <w:t xml:space="preserve">ummary of </w:t>
      </w:r>
      <w:r w:rsidR="00640970">
        <w:rPr>
          <w:rFonts w:ascii="Century Gothic" w:hAnsi="Century Gothic" w:cs="Arial"/>
          <w:sz w:val="28"/>
          <w:szCs w:val="28"/>
        </w:rPr>
        <w:t xml:space="preserve">the </w:t>
      </w:r>
      <w:r w:rsidR="00640970" w:rsidRPr="006752A7">
        <w:rPr>
          <w:rFonts w:ascii="Century Gothic" w:hAnsi="Century Gothic" w:cs="Arial"/>
          <w:sz w:val="28"/>
          <w:szCs w:val="28"/>
        </w:rPr>
        <w:t>Administrative Proceedings</w:t>
      </w:r>
      <w:r w:rsidR="00640970">
        <w:rPr>
          <w:rFonts w:ascii="Century Gothic" w:hAnsi="Century Gothic" w:cs="Arial"/>
          <w:sz w:val="28"/>
          <w:szCs w:val="28"/>
        </w:rPr>
        <w:t xml:space="preserve"> on the Case</w:t>
      </w:r>
      <w:r w:rsidR="00640970" w:rsidRPr="006752A7">
        <w:rPr>
          <w:rFonts w:ascii="Century Gothic" w:hAnsi="Century Gothic" w:cs="Arial"/>
          <w:sz w:val="28"/>
          <w:szCs w:val="28"/>
        </w:rPr>
        <w:t xml:space="preserve"> No. 021319</w:t>
      </w:r>
      <w:r w:rsidR="00640970">
        <w:rPr>
          <w:rStyle w:val="FootnoteReference"/>
          <w:rFonts w:ascii="Century Gothic" w:hAnsi="Century Gothic" w:cs="Arial"/>
          <w:sz w:val="28"/>
          <w:szCs w:val="28"/>
        </w:rPr>
        <w:footnoteReference w:id="11"/>
      </w:r>
      <w:r w:rsidR="00640970">
        <w:rPr>
          <w:rFonts w:ascii="Century Gothic" w:hAnsi="Century Gothic" w:cs="Arial"/>
          <w:sz w:val="28"/>
          <w:szCs w:val="28"/>
        </w:rPr>
        <w:t xml:space="preserve"> previously identified by the two witnesses; Turn-Over of Apprehended Forest Products at New Visayas, Maco, Compostela Valley;</w:t>
      </w:r>
      <w:r w:rsidR="00640970">
        <w:rPr>
          <w:rStyle w:val="FootnoteReference"/>
          <w:rFonts w:ascii="Century Gothic" w:hAnsi="Century Gothic" w:cs="Arial"/>
          <w:sz w:val="28"/>
          <w:szCs w:val="28"/>
        </w:rPr>
        <w:footnoteReference w:id="12"/>
      </w:r>
      <w:r w:rsidR="00640970">
        <w:rPr>
          <w:rFonts w:ascii="Century Gothic" w:hAnsi="Century Gothic" w:cs="Arial"/>
          <w:sz w:val="28"/>
          <w:szCs w:val="28"/>
        </w:rPr>
        <w:t xml:space="preserve"> Tally Sheet on Apprehended Forest Products;</w:t>
      </w:r>
      <w:r w:rsidR="00640970">
        <w:rPr>
          <w:rStyle w:val="FootnoteReference"/>
          <w:rFonts w:ascii="Century Gothic" w:hAnsi="Century Gothic" w:cs="Arial"/>
          <w:sz w:val="28"/>
          <w:szCs w:val="28"/>
        </w:rPr>
        <w:footnoteReference w:id="13"/>
      </w:r>
      <w:r w:rsidR="00640970">
        <w:rPr>
          <w:rFonts w:ascii="Century Gothic" w:hAnsi="Century Gothic" w:cs="Arial"/>
          <w:sz w:val="28"/>
          <w:szCs w:val="28"/>
        </w:rPr>
        <w:t xml:space="preserve"> and pictures showing the truck loaded with Falcata log bolts.</w:t>
      </w:r>
      <w:r w:rsidR="00640970">
        <w:rPr>
          <w:rStyle w:val="FootnoteReference"/>
          <w:rFonts w:ascii="Century Gothic" w:hAnsi="Century Gothic" w:cs="Arial"/>
          <w:sz w:val="28"/>
          <w:szCs w:val="28"/>
        </w:rPr>
        <w:footnoteReference w:id="14"/>
      </w:r>
      <w:r w:rsidR="00640970">
        <w:rPr>
          <w:rFonts w:ascii="Century Gothic" w:hAnsi="Century Gothic" w:cs="Arial"/>
          <w:sz w:val="28"/>
          <w:szCs w:val="28"/>
        </w:rPr>
        <w:t xml:space="preserve"> He also identified the accused and testified that </w:t>
      </w:r>
      <w:r w:rsidR="00B35ACB" w:rsidRPr="00B35ACB">
        <w:rPr>
          <w:rFonts w:ascii="Century Gothic" w:hAnsi="Century Gothic" w:cs="Arial"/>
          <w:b/>
          <w:bCs/>
          <w:sz w:val="28"/>
          <w:szCs w:val="28"/>
        </w:rPr>
        <w:t>(1)</w:t>
      </w:r>
      <w:r w:rsidR="000F08FA">
        <w:rPr>
          <w:rFonts w:ascii="Century Gothic" w:hAnsi="Century Gothic" w:cs="Arial"/>
          <w:sz w:val="28"/>
          <w:szCs w:val="28"/>
        </w:rPr>
        <w:t xml:space="preserve"> </w:t>
      </w:r>
      <w:r w:rsidR="0010310E">
        <w:rPr>
          <w:rFonts w:ascii="Century Gothic" w:hAnsi="Century Gothic" w:cs="Arial"/>
          <w:sz w:val="28"/>
          <w:szCs w:val="28"/>
        </w:rPr>
        <w:t xml:space="preserve">in their investigation, they gathered </w:t>
      </w:r>
      <w:r w:rsidR="00B97845">
        <w:rPr>
          <w:rFonts w:ascii="Century Gothic" w:hAnsi="Century Gothic" w:cs="Arial"/>
          <w:sz w:val="28"/>
          <w:szCs w:val="28"/>
        </w:rPr>
        <w:t xml:space="preserve">information from </w:t>
      </w:r>
      <w:r w:rsidR="00B97845" w:rsidRPr="00B97845">
        <w:rPr>
          <w:rFonts w:ascii="Century Gothic" w:hAnsi="Century Gothic" w:cs="Arial"/>
          <w:sz w:val="28"/>
          <w:szCs w:val="28"/>
        </w:rPr>
        <w:t>the police, Philippine Army and barangay</w:t>
      </w:r>
      <w:r w:rsidR="00B97845">
        <w:rPr>
          <w:rFonts w:ascii="Century Gothic" w:hAnsi="Century Gothic" w:cs="Arial"/>
          <w:sz w:val="28"/>
          <w:szCs w:val="28"/>
        </w:rPr>
        <w:t xml:space="preserve"> to determine the real perpetrator in this case;</w:t>
      </w:r>
      <w:r w:rsidR="001A6C29">
        <w:rPr>
          <w:rFonts w:ascii="Century Gothic" w:hAnsi="Century Gothic" w:cs="Arial"/>
          <w:sz w:val="28"/>
          <w:szCs w:val="28"/>
        </w:rPr>
        <w:t xml:space="preserve"> </w:t>
      </w:r>
      <w:r w:rsidR="001A6C29" w:rsidRPr="001A6C29">
        <w:rPr>
          <w:rFonts w:ascii="Century Gothic" w:hAnsi="Century Gothic" w:cs="Arial"/>
          <w:b/>
          <w:bCs/>
          <w:sz w:val="28"/>
          <w:szCs w:val="28"/>
        </w:rPr>
        <w:t>(2)</w:t>
      </w:r>
      <w:r w:rsidR="001A6C29">
        <w:rPr>
          <w:rFonts w:ascii="Century Gothic" w:hAnsi="Century Gothic" w:cs="Arial"/>
          <w:b/>
          <w:bCs/>
          <w:sz w:val="28"/>
          <w:szCs w:val="28"/>
        </w:rPr>
        <w:t xml:space="preserve"> </w:t>
      </w:r>
      <w:r w:rsidR="00B97845">
        <w:rPr>
          <w:rFonts w:ascii="Century Gothic" w:hAnsi="Century Gothic" w:cs="Arial"/>
          <w:bCs/>
          <w:sz w:val="28"/>
          <w:szCs w:val="28"/>
        </w:rPr>
        <w:t xml:space="preserve">after the administrative proceeding, they identified the accused as the perpetrator; </w:t>
      </w:r>
      <w:r w:rsidR="00B97845" w:rsidRPr="00B97845">
        <w:rPr>
          <w:rFonts w:ascii="Century Gothic" w:hAnsi="Century Gothic" w:cs="Arial"/>
          <w:b/>
          <w:bCs/>
          <w:sz w:val="28"/>
          <w:szCs w:val="28"/>
        </w:rPr>
        <w:t>(3)</w:t>
      </w:r>
      <w:r w:rsidR="00B97845">
        <w:rPr>
          <w:rFonts w:ascii="Century Gothic" w:hAnsi="Century Gothic" w:cs="Arial"/>
          <w:bCs/>
          <w:sz w:val="28"/>
          <w:szCs w:val="28"/>
        </w:rPr>
        <w:t xml:space="preserve"> he admitted that it was the </w:t>
      </w:r>
      <w:r w:rsidR="00B97845" w:rsidRPr="00B97845">
        <w:rPr>
          <w:rFonts w:ascii="Century Gothic" w:hAnsi="Century Gothic" w:cs="Arial"/>
          <w:bCs/>
          <w:sz w:val="28"/>
          <w:szCs w:val="28"/>
        </w:rPr>
        <w:t>71st I</w:t>
      </w:r>
      <w:r w:rsidR="00B97845">
        <w:rPr>
          <w:rFonts w:ascii="Century Gothic" w:hAnsi="Century Gothic" w:cs="Arial"/>
          <w:bCs/>
          <w:sz w:val="28"/>
          <w:szCs w:val="28"/>
        </w:rPr>
        <w:t xml:space="preserve">nfantry </w:t>
      </w:r>
      <w:r w:rsidR="00B97845" w:rsidRPr="00B97845">
        <w:rPr>
          <w:rFonts w:ascii="Century Gothic" w:hAnsi="Century Gothic" w:cs="Arial"/>
          <w:bCs/>
          <w:sz w:val="28"/>
          <w:szCs w:val="28"/>
        </w:rPr>
        <w:t>B</w:t>
      </w:r>
      <w:r w:rsidR="00B97845">
        <w:rPr>
          <w:rFonts w:ascii="Century Gothic" w:hAnsi="Century Gothic" w:cs="Arial"/>
          <w:bCs/>
          <w:sz w:val="28"/>
          <w:szCs w:val="28"/>
        </w:rPr>
        <w:t>rigade</w:t>
      </w:r>
      <w:r w:rsidR="00B97845" w:rsidRPr="00B97845">
        <w:rPr>
          <w:rFonts w:ascii="Century Gothic" w:hAnsi="Century Gothic" w:cs="Arial"/>
          <w:bCs/>
          <w:sz w:val="28"/>
          <w:szCs w:val="28"/>
        </w:rPr>
        <w:t xml:space="preserve">, Philippine Army </w:t>
      </w:r>
      <w:r w:rsidR="00B97845">
        <w:rPr>
          <w:rFonts w:ascii="Century Gothic" w:hAnsi="Century Gothic" w:cs="Arial"/>
          <w:bCs/>
          <w:sz w:val="28"/>
          <w:szCs w:val="28"/>
        </w:rPr>
        <w:t xml:space="preserve">who apprehended the forest products; </w:t>
      </w:r>
      <w:r w:rsidR="00B97845" w:rsidRPr="00B97845">
        <w:rPr>
          <w:rFonts w:ascii="Century Gothic" w:hAnsi="Century Gothic" w:cs="Arial"/>
          <w:b/>
          <w:bCs/>
          <w:sz w:val="28"/>
          <w:szCs w:val="28"/>
        </w:rPr>
        <w:t>(4)</w:t>
      </w:r>
      <w:r w:rsidR="00B97845">
        <w:rPr>
          <w:rFonts w:ascii="Century Gothic" w:hAnsi="Century Gothic" w:cs="Arial"/>
          <w:bCs/>
          <w:sz w:val="28"/>
          <w:szCs w:val="28"/>
        </w:rPr>
        <w:t xml:space="preserve"> it was </w:t>
      </w:r>
      <w:r w:rsidR="00B97845">
        <w:rPr>
          <w:rFonts w:ascii="Century Gothic" w:hAnsi="Century Gothic" w:cs="Arial"/>
          <w:sz w:val="28"/>
          <w:szCs w:val="28"/>
        </w:rPr>
        <w:t xml:space="preserve">PSSG Hamedan B. </w:t>
      </w:r>
      <w:proofErr w:type="spellStart"/>
      <w:r w:rsidR="00B97845">
        <w:rPr>
          <w:rFonts w:ascii="Century Gothic" w:hAnsi="Century Gothic" w:cs="Arial"/>
          <w:sz w:val="28"/>
          <w:szCs w:val="28"/>
        </w:rPr>
        <w:t>Ajiji</w:t>
      </w:r>
      <w:proofErr w:type="spellEnd"/>
      <w:r w:rsidR="00B97845" w:rsidRPr="001A6C29">
        <w:rPr>
          <w:rFonts w:ascii="Century Gothic" w:hAnsi="Century Gothic" w:cs="Arial"/>
          <w:sz w:val="28"/>
          <w:szCs w:val="28"/>
        </w:rPr>
        <w:t xml:space="preserve"> </w:t>
      </w:r>
      <w:r w:rsidR="00B97845">
        <w:rPr>
          <w:rFonts w:ascii="Century Gothic" w:hAnsi="Century Gothic" w:cs="Arial"/>
          <w:sz w:val="28"/>
          <w:szCs w:val="28"/>
        </w:rPr>
        <w:t xml:space="preserve">of PNP Maco who requested his presence to conduct scaling of the confiscated forest products; </w:t>
      </w:r>
      <w:r w:rsidR="00B97845" w:rsidRPr="00B97845">
        <w:rPr>
          <w:rFonts w:ascii="Century Gothic" w:hAnsi="Century Gothic" w:cs="Arial"/>
          <w:b/>
          <w:sz w:val="28"/>
          <w:szCs w:val="28"/>
        </w:rPr>
        <w:t>(5)</w:t>
      </w:r>
      <w:r w:rsidR="00B97845">
        <w:rPr>
          <w:rFonts w:ascii="Century Gothic" w:hAnsi="Century Gothic" w:cs="Arial"/>
          <w:sz w:val="28"/>
          <w:szCs w:val="28"/>
        </w:rPr>
        <w:t xml:space="preserve"> it was PNP Maco who turned over the forest products to CENRO Maco; and </w:t>
      </w:r>
      <w:r w:rsidR="00B97845" w:rsidRPr="00B97845">
        <w:rPr>
          <w:rFonts w:ascii="Century Gothic" w:hAnsi="Century Gothic" w:cs="Arial"/>
          <w:b/>
          <w:sz w:val="28"/>
          <w:szCs w:val="28"/>
        </w:rPr>
        <w:t>(6)</w:t>
      </w:r>
      <w:r w:rsidR="00B97845">
        <w:rPr>
          <w:rFonts w:ascii="Century Gothic" w:hAnsi="Century Gothic" w:cs="Arial"/>
          <w:sz w:val="28"/>
          <w:szCs w:val="28"/>
        </w:rPr>
        <w:t xml:space="preserve"> the transportation of the forest products was not covered by a permit.</w:t>
      </w:r>
      <w:r w:rsidR="0098328B">
        <w:rPr>
          <w:rStyle w:val="FootnoteReference"/>
          <w:rFonts w:ascii="Century Gothic" w:hAnsi="Century Gothic" w:cs="Arial"/>
          <w:sz w:val="28"/>
          <w:szCs w:val="28"/>
        </w:rPr>
        <w:footnoteReference w:id="15"/>
      </w:r>
    </w:p>
    <w:p w14:paraId="10E8B4B3" w14:textId="77777777" w:rsidR="00B97845" w:rsidRDefault="00B97845" w:rsidP="00B25F64">
      <w:pPr>
        <w:spacing w:line="360" w:lineRule="auto"/>
        <w:jc w:val="both"/>
        <w:rPr>
          <w:rFonts w:ascii="Century Gothic" w:hAnsi="Century Gothic" w:cs="Arial"/>
          <w:sz w:val="28"/>
          <w:szCs w:val="28"/>
        </w:rPr>
      </w:pPr>
    </w:p>
    <w:p w14:paraId="73E9CC92" w14:textId="493C19D1" w:rsidR="00DC6822" w:rsidRPr="00DC6822" w:rsidRDefault="00B97845" w:rsidP="00DC6822">
      <w:pPr>
        <w:ind w:firstLine="709"/>
        <w:jc w:val="both"/>
        <w:rPr>
          <w:rFonts w:ascii="Century Gothic" w:hAnsi="Century Gothic"/>
          <w:sz w:val="28"/>
          <w:szCs w:val="28"/>
        </w:rPr>
      </w:pPr>
      <w:r>
        <w:rPr>
          <w:rFonts w:ascii="Century Gothic" w:hAnsi="Century Gothic" w:cs="Arial"/>
          <w:sz w:val="28"/>
          <w:szCs w:val="28"/>
        </w:rPr>
        <w:t xml:space="preserve">On cross-examination, </w:t>
      </w:r>
      <w:r w:rsidR="0098328B">
        <w:rPr>
          <w:rFonts w:ascii="Century Gothic" w:hAnsi="Century Gothic" w:cs="Arial"/>
          <w:sz w:val="28"/>
          <w:szCs w:val="28"/>
        </w:rPr>
        <w:t xml:space="preserve">Officer </w:t>
      </w:r>
      <w:proofErr w:type="spellStart"/>
      <w:r w:rsidR="0098328B">
        <w:rPr>
          <w:rFonts w:ascii="Century Gothic" w:hAnsi="Century Gothic" w:cs="Arial"/>
          <w:sz w:val="28"/>
          <w:szCs w:val="28"/>
        </w:rPr>
        <w:t>Peńalas</w:t>
      </w:r>
      <w:proofErr w:type="spellEnd"/>
      <w:r w:rsidR="0098328B">
        <w:rPr>
          <w:rFonts w:ascii="Century Gothic" w:hAnsi="Century Gothic" w:cs="Arial"/>
          <w:sz w:val="28"/>
          <w:szCs w:val="28"/>
        </w:rPr>
        <w:t xml:space="preserve"> further testified that</w:t>
      </w:r>
      <w:r>
        <w:rPr>
          <w:rFonts w:ascii="Century Gothic" w:hAnsi="Century Gothic" w:cs="Arial"/>
          <w:sz w:val="28"/>
          <w:szCs w:val="28"/>
        </w:rPr>
        <w:t xml:space="preserve"> </w:t>
      </w:r>
      <w:r w:rsidRPr="00B97845">
        <w:rPr>
          <w:rFonts w:ascii="Century Gothic" w:hAnsi="Century Gothic" w:cs="Arial"/>
          <w:b/>
          <w:sz w:val="28"/>
          <w:szCs w:val="28"/>
        </w:rPr>
        <w:t>(</w:t>
      </w:r>
      <w:r w:rsidR="0098328B">
        <w:rPr>
          <w:rFonts w:ascii="Century Gothic" w:hAnsi="Century Gothic" w:cs="Arial"/>
          <w:b/>
          <w:sz w:val="28"/>
          <w:szCs w:val="28"/>
        </w:rPr>
        <w:t>1</w:t>
      </w:r>
      <w:r w:rsidRPr="00B97845">
        <w:rPr>
          <w:rFonts w:ascii="Century Gothic" w:hAnsi="Century Gothic" w:cs="Arial"/>
          <w:b/>
          <w:sz w:val="28"/>
          <w:szCs w:val="28"/>
        </w:rPr>
        <w:t>)</w:t>
      </w:r>
      <w:r>
        <w:rPr>
          <w:rFonts w:ascii="Century Gothic" w:hAnsi="Century Gothic" w:cs="Arial"/>
          <w:sz w:val="28"/>
          <w:szCs w:val="28"/>
        </w:rPr>
        <w:t xml:space="preserve"> </w:t>
      </w:r>
      <w:r w:rsidR="00DA039E">
        <w:rPr>
          <w:rFonts w:ascii="Century Gothic" w:hAnsi="Century Gothic" w:cs="Arial"/>
          <w:sz w:val="28"/>
          <w:szCs w:val="28"/>
        </w:rPr>
        <w:t>when the truck</w:t>
      </w:r>
      <w:r w:rsidR="00DC6822">
        <w:rPr>
          <w:rFonts w:ascii="Century Gothic" w:hAnsi="Century Gothic" w:cs="Arial"/>
          <w:sz w:val="28"/>
          <w:szCs w:val="28"/>
        </w:rPr>
        <w:t xml:space="preserve"> owned by Deli-deli which was </w:t>
      </w:r>
      <w:r w:rsidR="00DA039E">
        <w:rPr>
          <w:rFonts w:ascii="Century Gothic" w:hAnsi="Century Gothic" w:cs="Arial"/>
          <w:sz w:val="28"/>
          <w:szCs w:val="28"/>
        </w:rPr>
        <w:t xml:space="preserve">loaded with Falcata logs was confiscated, </w:t>
      </w:r>
      <w:r w:rsidR="00DC6822">
        <w:rPr>
          <w:rFonts w:ascii="Century Gothic" w:hAnsi="Century Gothic" w:cs="Arial"/>
          <w:sz w:val="28"/>
          <w:szCs w:val="28"/>
        </w:rPr>
        <w:t>the 71</w:t>
      </w:r>
      <w:r w:rsidR="00DC6822" w:rsidRPr="00DC6822">
        <w:rPr>
          <w:rFonts w:ascii="Century Gothic" w:hAnsi="Century Gothic" w:cs="Arial"/>
          <w:sz w:val="28"/>
          <w:szCs w:val="28"/>
          <w:vertAlign w:val="superscript"/>
        </w:rPr>
        <w:t>st</w:t>
      </w:r>
      <w:r w:rsidR="00DC6822">
        <w:rPr>
          <w:rFonts w:ascii="Century Gothic" w:hAnsi="Century Gothic" w:cs="Arial"/>
          <w:sz w:val="28"/>
          <w:szCs w:val="28"/>
        </w:rPr>
        <w:t xml:space="preserve"> Infantry Brigade apprehended </w:t>
      </w:r>
      <w:r w:rsidR="00DA039E">
        <w:rPr>
          <w:rFonts w:ascii="Century Gothic" w:hAnsi="Century Gothic" w:cs="Arial"/>
          <w:sz w:val="28"/>
          <w:szCs w:val="28"/>
        </w:rPr>
        <w:t xml:space="preserve">the </w:t>
      </w:r>
      <w:r w:rsidR="00DC6822">
        <w:rPr>
          <w:rFonts w:ascii="Century Gothic" w:hAnsi="Century Gothic" w:cs="Arial"/>
          <w:sz w:val="28"/>
          <w:szCs w:val="28"/>
        </w:rPr>
        <w:t xml:space="preserve">driver </w:t>
      </w:r>
      <w:proofErr w:type="spellStart"/>
      <w:r w:rsidR="00DA039E" w:rsidRPr="00DA039E">
        <w:rPr>
          <w:rFonts w:ascii="Century Gothic" w:hAnsi="Century Gothic" w:cs="Arial"/>
          <w:sz w:val="28"/>
          <w:szCs w:val="28"/>
        </w:rPr>
        <w:t>Jodil</w:t>
      </w:r>
      <w:proofErr w:type="spellEnd"/>
      <w:r w:rsidR="00DA039E" w:rsidRPr="00DA039E">
        <w:rPr>
          <w:rFonts w:ascii="Century Gothic" w:hAnsi="Century Gothic" w:cs="Arial"/>
          <w:sz w:val="28"/>
          <w:szCs w:val="28"/>
        </w:rPr>
        <w:t xml:space="preserve"> S. </w:t>
      </w:r>
      <w:proofErr w:type="spellStart"/>
      <w:r w:rsidR="00DA039E" w:rsidRPr="00DA039E">
        <w:rPr>
          <w:rFonts w:ascii="Century Gothic" w:hAnsi="Century Gothic" w:cs="Arial"/>
          <w:sz w:val="28"/>
          <w:szCs w:val="28"/>
        </w:rPr>
        <w:t>Magdagay</w:t>
      </w:r>
      <w:proofErr w:type="spellEnd"/>
      <w:r w:rsidR="00DC6822">
        <w:rPr>
          <w:rFonts w:ascii="Century Gothic" w:hAnsi="Century Gothic" w:cs="Arial"/>
          <w:sz w:val="28"/>
          <w:szCs w:val="28"/>
        </w:rPr>
        <w:t xml:space="preserve"> and other persons, </w:t>
      </w:r>
      <w:r w:rsidR="00DC6822">
        <w:rPr>
          <w:rFonts w:ascii="Century Gothic" w:hAnsi="Century Gothic" w:cs="Arial"/>
          <w:sz w:val="28"/>
          <w:szCs w:val="28"/>
        </w:rPr>
        <w:lastRenderedPageBreak/>
        <w:t xml:space="preserve">namely: </w:t>
      </w:r>
      <w:r w:rsidR="00DC6822" w:rsidRPr="00DC6822">
        <w:rPr>
          <w:rFonts w:ascii="Century Gothic" w:hAnsi="Century Gothic" w:cs="Arial"/>
          <w:sz w:val="28"/>
          <w:szCs w:val="28"/>
        </w:rPr>
        <w:t xml:space="preserve">Sergio </w:t>
      </w:r>
      <w:proofErr w:type="spellStart"/>
      <w:r w:rsidR="00DC6822" w:rsidRPr="00DC6822">
        <w:rPr>
          <w:rFonts w:ascii="Century Gothic" w:hAnsi="Century Gothic" w:cs="Arial"/>
          <w:sz w:val="28"/>
          <w:szCs w:val="28"/>
        </w:rPr>
        <w:t>Ragusta</w:t>
      </w:r>
      <w:proofErr w:type="spellEnd"/>
      <w:r w:rsidR="00DC6822" w:rsidRPr="00DC6822">
        <w:rPr>
          <w:rFonts w:ascii="Century Gothic" w:hAnsi="Century Gothic" w:cs="Arial"/>
          <w:sz w:val="28"/>
          <w:szCs w:val="28"/>
        </w:rPr>
        <w:t xml:space="preserve">, Lloyd </w:t>
      </w:r>
      <w:proofErr w:type="spellStart"/>
      <w:r w:rsidR="00DC6822" w:rsidRPr="00DC6822">
        <w:rPr>
          <w:rFonts w:ascii="Century Gothic" w:hAnsi="Century Gothic" w:cs="Arial"/>
          <w:sz w:val="28"/>
          <w:szCs w:val="28"/>
        </w:rPr>
        <w:t>Carpentero</w:t>
      </w:r>
      <w:proofErr w:type="spellEnd"/>
      <w:r w:rsidR="00DC6822" w:rsidRPr="00DC6822">
        <w:rPr>
          <w:rFonts w:ascii="Century Gothic" w:hAnsi="Century Gothic" w:cs="Arial"/>
          <w:sz w:val="28"/>
          <w:szCs w:val="28"/>
        </w:rPr>
        <w:t xml:space="preserve"> and Jimmy </w:t>
      </w:r>
      <w:proofErr w:type="spellStart"/>
      <w:r w:rsidR="00FC22F6">
        <w:rPr>
          <w:rFonts w:ascii="Century Gothic" w:hAnsi="Century Gothic" w:cs="Arial"/>
          <w:sz w:val="28"/>
          <w:szCs w:val="28"/>
        </w:rPr>
        <w:t>J</w:t>
      </w:r>
      <w:bookmarkStart w:id="2" w:name="_GoBack"/>
      <w:bookmarkEnd w:id="2"/>
      <w:r w:rsidR="00DC6822" w:rsidRPr="00DC6822">
        <w:rPr>
          <w:rFonts w:ascii="Century Gothic" w:hAnsi="Century Gothic" w:cs="Arial"/>
          <w:sz w:val="28"/>
          <w:szCs w:val="28"/>
        </w:rPr>
        <w:t>inayon</w:t>
      </w:r>
      <w:proofErr w:type="spellEnd"/>
      <w:r w:rsidR="00DC6822">
        <w:rPr>
          <w:rFonts w:ascii="Century Gothic" w:hAnsi="Century Gothic" w:cs="Arial"/>
          <w:sz w:val="28"/>
          <w:szCs w:val="28"/>
        </w:rPr>
        <w:t xml:space="preserve"> who were found in possession of the said forest products; </w:t>
      </w:r>
      <w:r w:rsidR="001A6C29" w:rsidRPr="001A6C29">
        <w:rPr>
          <w:rFonts w:ascii="Century Gothic" w:hAnsi="Century Gothic"/>
          <w:b/>
          <w:bCs/>
          <w:sz w:val="28"/>
          <w:szCs w:val="28"/>
        </w:rPr>
        <w:t>(2)</w:t>
      </w:r>
      <w:r w:rsidR="001A6C29">
        <w:rPr>
          <w:rFonts w:ascii="Century Gothic" w:hAnsi="Century Gothic"/>
          <w:sz w:val="28"/>
          <w:szCs w:val="28"/>
        </w:rPr>
        <w:t xml:space="preserve"> </w:t>
      </w:r>
      <w:r w:rsidR="00DC6822">
        <w:rPr>
          <w:rFonts w:ascii="Century Gothic" w:hAnsi="Century Gothic"/>
          <w:sz w:val="28"/>
          <w:szCs w:val="28"/>
        </w:rPr>
        <w:t xml:space="preserve">based on the summary proceeding, it was </w:t>
      </w:r>
      <w:r w:rsidR="00DC6822">
        <w:rPr>
          <w:rFonts w:ascii="Century Gothic" w:hAnsi="Century Gothic" w:cs="Arial"/>
          <w:sz w:val="28"/>
          <w:szCs w:val="28"/>
        </w:rPr>
        <w:t xml:space="preserve">Deli-deli who </w:t>
      </w:r>
      <w:r w:rsidR="00DC6822">
        <w:rPr>
          <w:rFonts w:ascii="Century Gothic" w:hAnsi="Century Gothic"/>
          <w:sz w:val="28"/>
          <w:szCs w:val="28"/>
        </w:rPr>
        <w:t xml:space="preserve">instructed the truck driver </w:t>
      </w:r>
      <w:proofErr w:type="spellStart"/>
      <w:r w:rsidR="00DC6822" w:rsidRPr="00DA039E">
        <w:rPr>
          <w:rFonts w:ascii="Century Gothic" w:hAnsi="Century Gothic" w:cs="Arial"/>
          <w:sz w:val="28"/>
          <w:szCs w:val="28"/>
        </w:rPr>
        <w:t>Jodil</w:t>
      </w:r>
      <w:proofErr w:type="spellEnd"/>
      <w:r w:rsidR="00DC6822" w:rsidRPr="00DA039E">
        <w:rPr>
          <w:rFonts w:ascii="Century Gothic" w:hAnsi="Century Gothic" w:cs="Arial"/>
          <w:sz w:val="28"/>
          <w:szCs w:val="28"/>
        </w:rPr>
        <w:t xml:space="preserve"> S. </w:t>
      </w:r>
      <w:proofErr w:type="spellStart"/>
      <w:r w:rsidR="00DC6822" w:rsidRPr="00DA039E">
        <w:rPr>
          <w:rFonts w:ascii="Century Gothic" w:hAnsi="Century Gothic" w:cs="Arial"/>
          <w:sz w:val="28"/>
          <w:szCs w:val="28"/>
        </w:rPr>
        <w:t>Magdagay</w:t>
      </w:r>
      <w:proofErr w:type="spellEnd"/>
      <w:r w:rsidR="00DC6822">
        <w:rPr>
          <w:rFonts w:ascii="Century Gothic" w:hAnsi="Century Gothic" w:cs="Arial"/>
          <w:sz w:val="28"/>
          <w:szCs w:val="28"/>
        </w:rPr>
        <w:t xml:space="preserve"> </w:t>
      </w:r>
      <w:r w:rsidR="00DC6822">
        <w:rPr>
          <w:rFonts w:ascii="Century Gothic" w:hAnsi="Century Gothic"/>
          <w:sz w:val="28"/>
          <w:szCs w:val="28"/>
        </w:rPr>
        <w:t xml:space="preserve">to load, carry and transport those Falcata logs; </w:t>
      </w:r>
      <w:r w:rsidR="00DC6822" w:rsidRPr="00DC6822">
        <w:rPr>
          <w:rFonts w:ascii="Century Gothic" w:hAnsi="Century Gothic"/>
          <w:b/>
          <w:sz w:val="28"/>
          <w:szCs w:val="28"/>
        </w:rPr>
        <w:t>(3)</w:t>
      </w:r>
      <w:r w:rsidR="00DC6822">
        <w:rPr>
          <w:rFonts w:ascii="Century Gothic" w:hAnsi="Century Gothic"/>
          <w:b/>
          <w:sz w:val="28"/>
          <w:szCs w:val="28"/>
        </w:rPr>
        <w:t xml:space="preserve"> </w:t>
      </w:r>
      <w:r w:rsidR="00DC6822" w:rsidRPr="00DC6822">
        <w:rPr>
          <w:rFonts w:ascii="Century Gothic" w:hAnsi="Century Gothic"/>
          <w:sz w:val="28"/>
          <w:szCs w:val="28"/>
        </w:rPr>
        <w:t>based on the Administrative Report, it was the accused who owned the Falcata logs</w:t>
      </w:r>
      <w:r w:rsidR="00DC6822">
        <w:rPr>
          <w:rFonts w:ascii="Century Gothic" w:hAnsi="Century Gothic"/>
          <w:sz w:val="28"/>
          <w:szCs w:val="28"/>
        </w:rPr>
        <w:t xml:space="preserve">, but admitted they do not have any document to prove the same; </w:t>
      </w:r>
      <w:r w:rsidR="00DC6822" w:rsidRPr="00DC6822">
        <w:rPr>
          <w:rFonts w:ascii="Century Gothic" w:hAnsi="Century Gothic"/>
          <w:b/>
          <w:sz w:val="28"/>
          <w:szCs w:val="28"/>
        </w:rPr>
        <w:t>(4)</w:t>
      </w:r>
      <w:r w:rsidR="00DC6822">
        <w:rPr>
          <w:rFonts w:ascii="Century Gothic" w:hAnsi="Century Gothic"/>
          <w:sz w:val="28"/>
          <w:szCs w:val="28"/>
        </w:rPr>
        <w:t xml:space="preserve"> they also do not have any document to prove the transaction between the accused and Deli-deli; and </w:t>
      </w:r>
      <w:r w:rsidR="00DC6822" w:rsidRPr="00DC6822">
        <w:rPr>
          <w:rFonts w:ascii="Century Gothic" w:hAnsi="Century Gothic"/>
          <w:b/>
          <w:sz w:val="28"/>
          <w:szCs w:val="28"/>
        </w:rPr>
        <w:t>(5)</w:t>
      </w:r>
      <w:r w:rsidR="00DC6822">
        <w:rPr>
          <w:rFonts w:ascii="Century Gothic" w:hAnsi="Century Gothic"/>
          <w:b/>
          <w:sz w:val="28"/>
          <w:szCs w:val="28"/>
        </w:rPr>
        <w:t xml:space="preserve"> </w:t>
      </w:r>
      <w:r w:rsidR="00DC6822">
        <w:rPr>
          <w:rFonts w:ascii="Century Gothic" w:hAnsi="Century Gothic"/>
          <w:sz w:val="28"/>
          <w:szCs w:val="28"/>
        </w:rPr>
        <w:t>the wife of accused executed an affidavit or sworn statement, but he has no knowledge of whether it was attached to their records or subscribed by a notary public.</w:t>
      </w:r>
      <w:r w:rsidR="00DC6822">
        <w:rPr>
          <w:rStyle w:val="FootnoteReference"/>
          <w:rFonts w:ascii="Century Gothic" w:hAnsi="Century Gothic"/>
          <w:sz w:val="28"/>
          <w:szCs w:val="28"/>
        </w:rPr>
        <w:footnoteReference w:id="16"/>
      </w:r>
      <w:r w:rsidR="00DC6822">
        <w:rPr>
          <w:rFonts w:ascii="Century Gothic" w:hAnsi="Century Gothic"/>
          <w:sz w:val="28"/>
          <w:szCs w:val="28"/>
        </w:rPr>
        <w:t xml:space="preserve"> </w:t>
      </w:r>
    </w:p>
    <w:p w14:paraId="72F0EC53" w14:textId="77777777" w:rsidR="00DC6822" w:rsidRDefault="00DC6822" w:rsidP="00B25F64">
      <w:pPr>
        <w:spacing w:line="360" w:lineRule="auto"/>
        <w:jc w:val="both"/>
        <w:rPr>
          <w:rFonts w:ascii="Century Gothic" w:hAnsi="Century Gothic"/>
          <w:sz w:val="28"/>
          <w:szCs w:val="28"/>
        </w:rPr>
      </w:pPr>
    </w:p>
    <w:p w14:paraId="5E552D6E" w14:textId="79667D11" w:rsidR="003B395F" w:rsidRDefault="00DC6822" w:rsidP="00DC6822">
      <w:pPr>
        <w:ind w:firstLine="709"/>
        <w:jc w:val="both"/>
        <w:rPr>
          <w:rFonts w:ascii="Century Gothic" w:hAnsi="Century Gothic"/>
          <w:sz w:val="28"/>
          <w:szCs w:val="28"/>
        </w:rPr>
      </w:pPr>
      <w:r>
        <w:rPr>
          <w:rFonts w:ascii="Century Gothic" w:hAnsi="Century Gothic"/>
          <w:sz w:val="28"/>
          <w:szCs w:val="28"/>
        </w:rPr>
        <w:t xml:space="preserve">On August 3, 2021, the prosecution presented its fourth witness: </w:t>
      </w:r>
      <w:proofErr w:type="spellStart"/>
      <w:r>
        <w:rPr>
          <w:rFonts w:ascii="Century Gothic" w:hAnsi="Century Gothic"/>
          <w:sz w:val="28"/>
          <w:szCs w:val="28"/>
        </w:rPr>
        <w:t>Amelda</w:t>
      </w:r>
      <w:proofErr w:type="spellEnd"/>
      <w:r>
        <w:rPr>
          <w:rFonts w:ascii="Century Gothic" w:hAnsi="Century Gothic"/>
          <w:sz w:val="28"/>
          <w:szCs w:val="28"/>
        </w:rPr>
        <w:t xml:space="preserve"> Vera Cruz, the former </w:t>
      </w:r>
      <w:r w:rsidRPr="00DC6822">
        <w:rPr>
          <w:rFonts w:ascii="Century Gothic" w:hAnsi="Century Gothic"/>
          <w:sz w:val="28"/>
          <w:szCs w:val="28"/>
        </w:rPr>
        <w:t xml:space="preserve">Community Environment and Natural Resources Officer </w:t>
      </w:r>
      <w:r w:rsidR="003B395F">
        <w:rPr>
          <w:rFonts w:ascii="Century Gothic" w:hAnsi="Century Gothic"/>
          <w:sz w:val="28"/>
          <w:szCs w:val="28"/>
        </w:rPr>
        <w:t xml:space="preserve">(CENRO) </w:t>
      </w:r>
      <w:r w:rsidRPr="00DC6822">
        <w:rPr>
          <w:rFonts w:ascii="Century Gothic" w:hAnsi="Century Gothic"/>
          <w:sz w:val="28"/>
          <w:szCs w:val="28"/>
        </w:rPr>
        <w:t>of DENR CENRO-Maco</w:t>
      </w:r>
      <w:r w:rsidR="003B395F">
        <w:rPr>
          <w:rFonts w:ascii="Century Gothic" w:hAnsi="Century Gothic"/>
          <w:sz w:val="28"/>
          <w:szCs w:val="28"/>
        </w:rPr>
        <w:t>, and is currently the CENRO of</w:t>
      </w:r>
      <w:r w:rsidR="003B395F" w:rsidRPr="003B395F">
        <w:rPr>
          <w:rFonts w:ascii="Century Gothic" w:hAnsi="Century Gothic"/>
          <w:sz w:val="28"/>
          <w:szCs w:val="28"/>
        </w:rPr>
        <w:t xml:space="preserve"> DENR CENRO-Panabo</w:t>
      </w:r>
      <w:r w:rsidR="003B395F">
        <w:rPr>
          <w:rFonts w:ascii="Century Gothic" w:hAnsi="Century Gothic"/>
          <w:sz w:val="28"/>
          <w:szCs w:val="28"/>
        </w:rPr>
        <w:t>. The prosecution and defense agreed to stipulate that she was the one who issued the Certification</w:t>
      </w:r>
      <w:r w:rsidR="005D14B1">
        <w:rPr>
          <w:rStyle w:val="FootnoteReference"/>
          <w:rFonts w:ascii="Century Gothic" w:hAnsi="Century Gothic"/>
          <w:sz w:val="28"/>
          <w:szCs w:val="28"/>
        </w:rPr>
        <w:footnoteReference w:id="17"/>
      </w:r>
      <w:r w:rsidR="003B395F">
        <w:rPr>
          <w:rFonts w:ascii="Century Gothic" w:hAnsi="Century Gothic"/>
          <w:sz w:val="28"/>
          <w:szCs w:val="28"/>
        </w:rPr>
        <w:t xml:space="preserve"> dated </w:t>
      </w:r>
      <w:r w:rsidR="003B395F" w:rsidRPr="003B395F">
        <w:rPr>
          <w:rFonts w:ascii="Century Gothic" w:hAnsi="Century Gothic"/>
          <w:sz w:val="28"/>
          <w:szCs w:val="28"/>
        </w:rPr>
        <w:t xml:space="preserve">June 25, 2019 to the effect that the accused Renee </w:t>
      </w:r>
      <w:proofErr w:type="spellStart"/>
      <w:r w:rsidR="003B395F" w:rsidRPr="003B395F">
        <w:rPr>
          <w:rFonts w:ascii="Century Gothic" w:hAnsi="Century Gothic"/>
          <w:sz w:val="28"/>
          <w:szCs w:val="28"/>
        </w:rPr>
        <w:t>Pallera</w:t>
      </w:r>
      <w:proofErr w:type="spellEnd"/>
      <w:r w:rsidR="003B395F" w:rsidRPr="003B395F">
        <w:rPr>
          <w:rFonts w:ascii="Century Gothic" w:hAnsi="Century Gothic"/>
          <w:sz w:val="28"/>
          <w:szCs w:val="28"/>
        </w:rPr>
        <w:t xml:space="preserve"> </w:t>
      </w:r>
      <w:proofErr w:type="spellStart"/>
      <w:r w:rsidR="003B395F" w:rsidRPr="003B395F">
        <w:rPr>
          <w:rFonts w:ascii="Century Gothic" w:hAnsi="Century Gothic"/>
          <w:sz w:val="28"/>
          <w:szCs w:val="28"/>
        </w:rPr>
        <w:t>Subricarey</w:t>
      </w:r>
      <w:proofErr w:type="spellEnd"/>
      <w:r w:rsidR="003B395F" w:rsidRPr="003B395F">
        <w:rPr>
          <w:rFonts w:ascii="Century Gothic" w:hAnsi="Century Gothic"/>
          <w:sz w:val="28"/>
          <w:szCs w:val="28"/>
        </w:rPr>
        <w:t xml:space="preserve"> did not file and request a permit to transport logs</w:t>
      </w:r>
      <w:r w:rsidR="003B395F">
        <w:rPr>
          <w:rFonts w:ascii="Century Gothic" w:hAnsi="Century Gothic"/>
          <w:sz w:val="28"/>
          <w:szCs w:val="28"/>
        </w:rPr>
        <w:t>.</w:t>
      </w:r>
      <w:r w:rsidR="003B395F">
        <w:rPr>
          <w:rStyle w:val="FootnoteReference"/>
          <w:rFonts w:ascii="Century Gothic" w:hAnsi="Century Gothic"/>
          <w:sz w:val="28"/>
          <w:szCs w:val="28"/>
        </w:rPr>
        <w:footnoteReference w:id="18"/>
      </w:r>
    </w:p>
    <w:p w14:paraId="03EF2009" w14:textId="07ACA841" w:rsidR="003B395F" w:rsidRDefault="003B395F" w:rsidP="00B25F64">
      <w:pPr>
        <w:spacing w:line="360" w:lineRule="auto"/>
        <w:jc w:val="both"/>
        <w:rPr>
          <w:rFonts w:ascii="Century Gothic" w:hAnsi="Century Gothic"/>
          <w:sz w:val="28"/>
          <w:szCs w:val="28"/>
        </w:rPr>
      </w:pPr>
    </w:p>
    <w:p w14:paraId="05BF74D2" w14:textId="4C37A0B3" w:rsidR="003B395F" w:rsidRDefault="003B395F" w:rsidP="00DC6822">
      <w:pPr>
        <w:ind w:firstLine="709"/>
        <w:jc w:val="both"/>
        <w:rPr>
          <w:rFonts w:ascii="Century Gothic" w:hAnsi="Century Gothic"/>
          <w:sz w:val="28"/>
          <w:szCs w:val="28"/>
        </w:rPr>
      </w:pPr>
      <w:r>
        <w:rPr>
          <w:rFonts w:ascii="Century Gothic" w:hAnsi="Century Gothic"/>
          <w:sz w:val="28"/>
          <w:szCs w:val="28"/>
        </w:rPr>
        <w:t xml:space="preserve">Thereafter, the prosecution presented its fifth witness who is the truck owner </w:t>
      </w:r>
      <w:proofErr w:type="spellStart"/>
      <w:r>
        <w:rPr>
          <w:rFonts w:ascii="Century Gothic" w:hAnsi="Century Gothic"/>
          <w:sz w:val="28"/>
          <w:szCs w:val="28"/>
        </w:rPr>
        <w:t>Malvin</w:t>
      </w:r>
      <w:proofErr w:type="spellEnd"/>
      <w:r>
        <w:rPr>
          <w:rFonts w:ascii="Century Gothic" w:hAnsi="Century Gothic"/>
          <w:sz w:val="28"/>
          <w:szCs w:val="28"/>
        </w:rPr>
        <w:t xml:space="preserve"> Deli-deli who identified the Affidavit</w:t>
      </w:r>
      <w:r>
        <w:rPr>
          <w:rStyle w:val="FootnoteReference"/>
          <w:rFonts w:ascii="Century Gothic" w:hAnsi="Century Gothic"/>
          <w:sz w:val="28"/>
          <w:szCs w:val="28"/>
        </w:rPr>
        <w:footnoteReference w:id="19"/>
      </w:r>
      <w:r>
        <w:rPr>
          <w:rFonts w:ascii="Century Gothic" w:hAnsi="Century Gothic"/>
          <w:sz w:val="28"/>
          <w:szCs w:val="28"/>
        </w:rPr>
        <w:t xml:space="preserve"> he executed, and testified that </w:t>
      </w:r>
      <w:r w:rsidRPr="003B395F">
        <w:rPr>
          <w:rFonts w:ascii="Century Gothic" w:hAnsi="Century Gothic"/>
          <w:b/>
          <w:sz w:val="28"/>
          <w:szCs w:val="28"/>
        </w:rPr>
        <w:t>(1)</w:t>
      </w:r>
      <w:r>
        <w:rPr>
          <w:rFonts w:ascii="Century Gothic" w:hAnsi="Century Gothic"/>
          <w:sz w:val="28"/>
          <w:szCs w:val="28"/>
        </w:rPr>
        <w:t xml:space="preserve"> he does not personally know the accused and knew him only during the apprehension of his truck when the accused called him over the phone, introduced himself as Renee </w:t>
      </w:r>
      <w:proofErr w:type="spellStart"/>
      <w:r>
        <w:rPr>
          <w:rFonts w:ascii="Century Gothic" w:hAnsi="Century Gothic"/>
          <w:sz w:val="28"/>
          <w:szCs w:val="28"/>
        </w:rPr>
        <w:t>Pallera</w:t>
      </w:r>
      <w:proofErr w:type="spellEnd"/>
      <w:r>
        <w:rPr>
          <w:rFonts w:ascii="Century Gothic" w:hAnsi="Century Gothic"/>
          <w:sz w:val="28"/>
          <w:szCs w:val="28"/>
        </w:rPr>
        <w:t xml:space="preserve"> </w:t>
      </w:r>
      <w:proofErr w:type="spellStart"/>
      <w:r>
        <w:rPr>
          <w:rFonts w:ascii="Century Gothic" w:hAnsi="Century Gothic"/>
          <w:sz w:val="28"/>
          <w:szCs w:val="28"/>
        </w:rPr>
        <w:t>Subricarey</w:t>
      </w:r>
      <w:proofErr w:type="spellEnd"/>
      <w:r>
        <w:rPr>
          <w:rFonts w:ascii="Century Gothic" w:hAnsi="Century Gothic"/>
          <w:sz w:val="28"/>
          <w:szCs w:val="28"/>
        </w:rPr>
        <w:t xml:space="preserve"> and informed him that his truck was apprehended; </w:t>
      </w:r>
      <w:r w:rsidRPr="003B395F">
        <w:rPr>
          <w:rFonts w:ascii="Century Gothic" w:hAnsi="Century Gothic"/>
          <w:b/>
          <w:sz w:val="28"/>
          <w:szCs w:val="28"/>
        </w:rPr>
        <w:t>(2)</w:t>
      </w:r>
      <w:r>
        <w:rPr>
          <w:rFonts w:ascii="Century Gothic" w:hAnsi="Century Gothic"/>
          <w:sz w:val="28"/>
          <w:szCs w:val="28"/>
        </w:rPr>
        <w:t xml:space="preserve"> he called </w:t>
      </w:r>
      <w:proofErr w:type="spellStart"/>
      <w:r>
        <w:rPr>
          <w:rFonts w:ascii="Century Gothic" w:hAnsi="Century Gothic"/>
          <w:sz w:val="28"/>
          <w:szCs w:val="28"/>
        </w:rPr>
        <w:t>Jodil</w:t>
      </w:r>
      <w:proofErr w:type="spellEnd"/>
      <w:r>
        <w:rPr>
          <w:rFonts w:ascii="Century Gothic" w:hAnsi="Century Gothic"/>
          <w:sz w:val="28"/>
          <w:szCs w:val="28"/>
        </w:rPr>
        <w:t xml:space="preserve"> S. </w:t>
      </w:r>
      <w:proofErr w:type="spellStart"/>
      <w:r>
        <w:rPr>
          <w:rFonts w:ascii="Century Gothic" w:hAnsi="Century Gothic"/>
          <w:sz w:val="28"/>
          <w:szCs w:val="28"/>
        </w:rPr>
        <w:t>Magdagay</w:t>
      </w:r>
      <w:proofErr w:type="spellEnd"/>
      <w:r w:rsidR="00024F2E">
        <w:rPr>
          <w:rFonts w:ascii="Century Gothic" w:hAnsi="Century Gothic"/>
          <w:sz w:val="28"/>
          <w:szCs w:val="28"/>
        </w:rPr>
        <w:t xml:space="preserve"> whom he employed as his extra driver</w:t>
      </w:r>
      <w:r>
        <w:rPr>
          <w:rFonts w:ascii="Century Gothic" w:hAnsi="Century Gothic"/>
          <w:sz w:val="28"/>
          <w:szCs w:val="28"/>
        </w:rPr>
        <w:t xml:space="preserve"> who told him that the truck was confiscated as they loaded Falcata logs; </w:t>
      </w:r>
      <w:r w:rsidRPr="003B395F">
        <w:rPr>
          <w:rFonts w:ascii="Century Gothic" w:hAnsi="Century Gothic"/>
          <w:b/>
          <w:sz w:val="28"/>
          <w:szCs w:val="28"/>
        </w:rPr>
        <w:t>(3)</w:t>
      </w:r>
      <w:r>
        <w:rPr>
          <w:rFonts w:ascii="Century Gothic" w:hAnsi="Century Gothic"/>
          <w:sz w:val="28"/>
          <w:szCs w:val="28"/>
        </w:rPr>
        <w:t xml:space="preserve"> </w:t>
      </w:r>
      <w:r w:rsidR="00024F2E">
        <w:rPr>
          <w:rFonts w:ascii="Century Gothic" w:hAnsi="Century Gothic"/>
          <w:sz w:val="28"/>
          <w:szCs w:val="28"/>
        </w:rPr>
        <w:t xml:space="preserve">he thought that they were loading corn considering that </w:t>
      </w:r>
      <w:proofErr w:type="spellStart"/>
      <w:r w:rsidR="00024F2E">
        <w:rPr>
          <w:rFonts w:ascii="Century Gothic" w:hAnsi="Century Gothic"/>
          <w:sz w:val="28"/>
          <w:szCs w:val="28"/>
        </w:rPr>
        <w:t>Jodil</w:t>
      </w:r>
      <w:proofErr w:type="spellEnd"/>
      <w:r w:rsidR="00024F2E">
        <w:rPr>
          <w:rFonts w:ascii="Century Gothic" w:hAnsi="Century Gothic"/>
          <w:sz w:val="28"/>
          <w:szCs w:val="28"/>
        </w:rPr>
        <w:t xml:space="preserve">, his helper and his original driver Antonio were talking about a corn loaded to his truck and he knows that the product of the area there is planted with corn referring to Barangay </w:t>
      </w:r>
      <w:proofErr w:type="spellStart"/>
      <w:r w:rsidR="00024F2E">
        <w:rPr>
          <w:rFonts w:ascii="Century Gothic" w:hAnsi="Century Gothic"/>
          <w:sz w:val="28"/>
          <w:szCs w:val="28"/>
        </w:rPr>
        <w:t>Sangab</w:t>
      </w:r>
      <w:proofErr w:type="spellEnd"/>
      <w:r w:rsidR="00024F2E">
        <w:rPr>
          <w:rFonts w:ascii="Century Gothic" w:hAnsi="Century Gothic"/>
          <w:sz w:val="28"/>
          <w:szCs w:val="28"/>
        </w:rPr>
        <w:t xml:space="preserve">, Maco; </w:t>
      </w:r>
      <w:r w:rsidR="00024F2E" w:rsidRPr="00024F2E">
        <w:rPr>
          <w:rFonts w:ascii="Century Gothic" w:hAnsi="Century Gothic"/>
          <w:b/>
          <w:sz w:val="28"/>
          <w:szCs w:val="28"/>
        </w:rPr>
        <w:t>(4)</w:t>
      </w:r>
      <w:r w:rsidR="00024F2E">
        <w:rPr>
          <w:rFonts w:ascii="Century Gothic" w:hAnsi="Century Gothic"/>
          <w:sz w:val="28"/>
          <w:szCs w:val="28"/>
        </w:rPr>
        <w:t xml:space="preserve"> he never met the accused; </w:t>
      </w:r>
      <w:r w:rsidR="00024F2E" w:rsidRPr="00024F2E">
        <w:rPr>
          <w:rFonts w:ascii="Century Gothic" w:hAnsi="Century Gothic"/>
          <w:b/>
          <w:sz w:val="28"/>
          <w:szCs w:val="28"/>
        </w:rPr>
        <w:t>(5)</w:t>
      </w:r>
      <w:r w:rsidR="00024F2E">
        <w:rPr>
          <w:rFonts w:ascii="Century Gothic" w:hAnsi="Century Gothic"/>
          <w:sz w:val="28"/>
          <w:szCs w:val="28"/>
        </w:rPr>
        <w:t xml:space="preserve"> it was </w:t>
      </w:r>
      <w:proofErr w:type="spellStart"/>
      <w:r w:rsidR="00024F2E">
        <w:rPr>
          <w:rFonts w:ascii="Century Gothic" w:hAnsi="Century Gothic"/>
          <w:sz w:val="28"/>
          <w:szCs w:val="28"/>
        </w:rPr>
        <w:t>Jodil</w:t>
      </w:r>
      <w:proofErr w:type="spellEnd"/>
      <w:r w:rsidR="00024F2E">
        <w:rPr>
          <w:rFonts w:ascii="Century Gothic" w:hAnsi="Century Gothic"/>
          <w:sz w:val="28"/>
          <w:szCs w:val="28"/>
        </w:rPr>
        <w:t xml:space="preserve"> and Antonio who approached him to hire the truck for Five Thousand Pesos (P5,000.00) and they will load something in </w:t>
      </w:r>
      <w:proofErr w:type="spellStart"/>
      <w:r w:rsidR="00024F2E">
        <w:rPr>
          <w:rFonts w:ascii="Century Gothic" w:hAnsi="Century Gothic"/>
          <w:sz w:val="28"/>
          <w:szCs w:val="28"/>
        </w:rPr>
        <w:t>Sangab</w:t>
      </w:r>
      <w:proofErr w:type="spellEnd"/>
      <w:r w:rsidR="00024F2E">
        <w:rPr>
          <w:rFonts w:ascii="Century Gothic" w:hAnsi="Century Gothic"/>
          <w:sz w:val="28"/>
          <w:szCs w:val="28"/>
        </w:rPr>
        <w:t xml:space="preserve">, Maco; </w:t>
      </w:r>
      <w:r w:rsidR="00024F2E" w:rsidRPr="00024F2E">
        <w:rPr>
          <w:rFonts w:ascii="Century Gothic" w:hAnsi="Century Gothic"/>
          <w:b/>
          <w:sz w:val="28"/>
          <w:szCs w:val="28"/>
        </w:rPr>
        <w:t xml:space="preserve">(6) </w:t>
      </w:r>
      <w:r w:rsidR="00024F2E" w:rsidRPr="00024F2E">
        <w:rPr>
          <w:rFonts w:ascii="Century Gothic" w:hAnsi="Century Gothic"/>
          <w:sz w:val="28"/>
          <w:szCs w:val="28"/>
        </w:rPr>
        <w:t>h</w:t>
      </w:r>
      <w:r w:rsidR="00024F2E">
        <w:rPr>
          <w:rFonts w:ascii="Century Gothic" w:hAnsi="Century Gothic"/>
          <w:sz w:val="28"/>
          <w:szCs w:val="28"/>
        </w:rPr>
        <w:t>e attended the hearing b</w:t>
      </w:r>
      <w:r w:rsidR="00024F2E" w:rsidRPr="00024F2E">
        <w:rPr>
          <w:rFonts w:ascii="Century Gothic" w:hAnsi="Century Gothic"/>
          <w:sz w:val="28"/>
          <w:szCs w:val="28"/>
        </w:rPr>
        <w:t>e</w:t>
      </w:r>
      <w:r w:rsidR="00024F2E">
        <w:rPr>
          <w:rFonts w:ascii="Century Gothic" w:hAnsi="Century Gothic"/>
          <w:sz w:val="28"/>
          <w:szCs w:val="28"/>
        </w:rPr>
        <w:t xml:space="preserve">fore CENRO Maco four times; and </w:t>
      </w:r>
      <w:r w:rsidR="00024F2E" w:rsidRPr="00024F2E">
        <w:rPr>
          <w:rFonts w:ascii="Century Gothic" w:hAnsi="Century Gothic"/>
          <w:b/>
          <w:sz w:val="28"/>
          <w:szCs w:val="28"/>
        </w:rPr>
        <w:t>(7)</w:t>
      </w:r>
      <w:r w:rsidR="00024F2E">
        <w:rPr>
          <w:rFonts w:ascii="Century Gothic" w:hAnsi="Century Gothic"/>
          <w:b/>
          <w:sz w:val="28"/>
          <w:szCs w:val="28"/>
        </w:rPr>
        <w:t xml:space="preserve"> </w:t>
      </w:r>
      <w:r w:rsidR="00024F2E" w:rsidRPr="00024F2E">
        <w:rPr>
          <w:rFonts w:ascii="Century Gothic" w:hAnsi="Century Gothic"/>
          <w:sz w:val="28"/>
          <w:szCs w:val="28"/>
        </w:rPr>
        <w:t xml:space="preserve">JODIL did not attend, as well as </w:t>
      </w:r>
      <w:r w:rsidR="00024F2E">
        <w:rPr>
          <w:rFonts w:ascii="Century Gothic" w:hAnsi="Century Gothic"/>
          <w:sz w:val="28"/>
          <w:szCs w:val="28"/>
        </w:rPr>
        <w:t xml:space="preserve">the accused. On cross-examination, he confirmed that </w:t>
      </w:r>
      <w:r w:rsidR="00024F2E" w:rsidRPr="00024F2E">
        <w:rPr>
          <w:rFonts w:ascii="Century Gothic" w:hAnsi="Century Gothic"/>
          <w:b/>
          <w:sz w:val="28"/>
          <w:szCs w:val="28"/>
        </w:rPr>
        <w:lastRenderedPageBreak/>
        <w:t>(8)</w:t>
      </w:r>
      <w:r w:rsidR="00024F2E">
        <w:rPr>
          <w:rFonts w:ascii="Century Gothic" w:hAnsi="Century Gothic"/>
          <w:sz w:val="28"/>
          <w:szCs w:val="28"/>
        </w:rPr>
        <w:t xml:space="preserve"> it was his original driver, Antonio, who hired his truck; </w:t>
      </w:r>
      <w:r w:rsidR="00024F2E" w:rsidRPr="00024F2E">
        <w:rPr>
          <w:rFonts w:ascii="Century Gothic" w:hAnsi="Century Gothic"/>
          <w:b/>
          <w:sz w:val="28"/>
          <w:szCs w:val="28"/>
        </w:rPr>
        <w:t>(9)</w:t>
      </w:r>
      <w:r w:rsidR="00024F2E">
        <w:rPr>
          <w:rFonts w:ascii="Century Gothic" w:hAnsi="Century Gothic"/>
          <w:sz w:val="28"/>
          <w:szCs w:val="28"/>
        </w:rPr>
        <w:t xml:space="preserve"> there was no document proving the transaction between him and Antonio;</w:t>
      </w:r>
      <w:r w:rsidR="00FF4AFF">
        <w:rPr>
          <w:rFonts w:ascii="Century Gothic" w:hAnsi="Century Gothic"/>
          <w:sz w:val="28"/>
          <w:szCs w:val="28"/>
        </w:rPr>
        <w:t xml:space="preserve"> and</w:t>
      </w:r>
      <w:r w:rsidR="00024F2E">
        <w:rPr>
          <w:rFonts w:ascii="Century Gothic" w:hAnsi="Century Gothic"/>
          <w:sz w:val="28"/>
          <w:szCs w:val="28"/>
        </w:rPr>
        <w:t xml:space="preserve"> </w:t>
      </w:r>
      <w:r w:rsidR="00024F2E" w:rsidRPr="00024F2E">
        <w:rPr>
          <w:rFonts w:ascii="Century Gothic" w:hAnsi="Century Gothic"/>
          <w:b/>
          <w:sz w:val="28"/>
          <w:szCs w:val="28"/>
        </w:rPr>
        <w:t>(10)</w:t>
      </w:r>
      <w:r w:rsidR="00024F2E">
        <w:rPr>
          <w:rFonts w:ascii="Century Gothic" w:hAnsi="Century Gothic"/>
          <w:sz w:val="28"/>
          <w:szCs w:val="28"/>
        </w:rPr>
        <w:t xml:space="preserve"> he only personally saw accused </w:t>
      </w:r>
      <w:r w:rsidR="004E6425">
        <w:rPr>
          <w:rFonts w:ascii="Century Gothic" w:hAnsi="Century Gothic"/>
          <w:sz w:val="28"/>
          <w:szCs w:val="28"/>
        </w:rPr>
        <w:t xml:space="preserve">for the first time </w:t>
      </w:r>
      <w:r w:rsidR="00024F2E">
        <w:rPr>
          <w:rFonts w:ascii="Century Gothic" w:hAnsi="Century Gothic"/>
          <w:sz w:val="28"/>
          <w:szCs w:val="28"/>
        </w:rPr>
        <w:t>during the court hearing</w:t>
      </w:r>
      <w:r w:rsidR="00FF4AFF">
        <w:rPr>
          <w:rFonts w:ascii="Century Gothic" w:hAnsi="Century Gothic"/>
          <w:sz w:val="28"/>
          <w:szCs w:val="28"/>
        </w:rPr>
        <w:t>.</w:t>
      </w:r>
      <w:r w:rsidR="007A78E9">
        <w:rPr>
          <w:rStyle w:val="FootnoteReference"/>
          <w:rFonts w:ascii="Century Gothic" w:hAnsi="Century Gothic"/>
          <w:sz w:val="28"/>
          <w:szCs w:val="28"/>
        </w:rPr>
        <w:footnoteReference w:id="20"/>
      </w:r>
      <w:r w:rsidR="00FF4AFF">
        <w:rPr>
          <w:rFonts w:ascii="Century Gothic" w:hAnsi="Century Gothic"/>
          <w:sz w:val="28"/>
          <w:szCs w:val="28"/>
        </w:rPr>
        <w:t xml:space="preserve"> </w:t>
      </w:r>
      <w:r w:rsidR="00024F2E">
        <w:rPr>
          <w:rFonts w:ascii="Century Gothic" w:hAnsi="Century Gothic"/>
          <w:sz w:val="28"/>
          <w:szCs w:val="28"/>
        </w:rPr>
        <w:t xml:space="preserve"> </w:t>
      </w:r>
    </w:p>
    <w:p w14:paraId="19E68ED7" w14:textId="3D0280E8" w:rsidR="007A78E9" w:rsidRDefault="007A78E9" w:rsidP="00B25F64">
      <w:pPr>
        <w:spacing w:line="360" w:lineRule="auto"/>
        <w:jc w:val="both"/>
        <w:rPr>
          <w:rFonts w:ascii="Century Gothic" w:hAnsi="Century Gothic"/>
          <w:sz w:val="28"/>
          <w:szCs w:val="28"/>
        </w:rPr>
      </w:pPr>
    </w:p>
    <w:p w14:paraId="06690088" w14:textId="77777777" w:rsidR="007A78E9" w:rsidRDefault="007A78E9" w:rsidP="007A78E9">
      <w:pPr>
        <w:ind w:firstLine="709"/>
        <w:jc w:val="both"/>
        <w:rPr>
          <w:rFonts w:ascii="Century Gothic" w:hAnsi="Century Gothic"/>
          <w:sz w:val="28"/>
          <w:szCs w:val="28"/>
        </w:rPr>
      </w:pPr>
      <w:r>
        <w:rPr>
          <w:rFonts w:ascii="Century Gothic" w:hAnsi="Century Gothic"/>
          <w:sz w:val="28"/>
          <w:szCs w:val="28"/>
        </w:rPr>
        <w:t xml:space="preserve">On November 25, 2021, before the prosecution presented its sixth witness: PSSG Hamedan B. </w:t>
      </w:r>
      <w:proofErr w:type="spellStart"/>
      <w:r>
        <w:rPr>
          <w:rFonts w:ascii="Century Gothic" w:hAnsi="Century Gothic"/>
          <w:sz w:val="28"/>
          <w:szCs w:val="28"/>
        </w:rPr>
        <w:t>Ajiji</w:t>
      </w:r>
      <w:proofErr w:type="spellEnd"/>
      <w:r>
        <w:rPr>
          <w:rFonts w:ascii="Century Gothic" w:hAnsi="Century Gothic"/>
          <w:sz w:val="28"/>
          <w:szCs w:val="28"/>
        </w:rPr>
        <w:t xml:space="preserve"> (PSSG </w:t>
      </w:r>
      <w:proofErr w:type="spellStart"/>
      <w:r>
        <w:rPr>
          <w:rFonts w:ascii="Century Gothic" w:hAnsi="Century Gothic"/>
          <w:sz w:val="28"/>
          <w:szCs w:val="28"/>
        </w:rPr>
        <w:t>Ajiji</w:t>
      </w:r>
      <w:proofErr w:type="spellEnd"/>
      <w:r>
        <w:rPr>
          <w:rFonts w:ascii="Century Gothic" w:hAnsi="Century Gothic"/>
          <w:sz w:val="28"/>
          <w:szCs w:val="28"/>
        </w:rPr>
        <w:t xml:space="preserve">), it agreed to stipulate with the defense the fact that it was </w:t>
      </w:r>
      <w:r>
        <w:rPr>
          <w:rFonts w:ascii="Century Gothic" w:hAnsi="Century Gothic"/>
          <w:sz w:val="28"/>
          <w:szCs w:val="28"/>
        </w:rPr>
        <w:t xml:space="preserve">PSSG </w:t>
      </w:r>
      <w:proofErr w:type="spellStart"/>
      <w:r>
        <w:rPr>
          <w:rFonts w:ascii="Century Gothic" w:hAnsi="Century Gothic"/>
          <w:sz w:val="28"/>
          <w:szCs w:val="28"/>
        </w:rPr>
        <w:t>Ajiji</w:t>
      </w:r>
      <w:proofErr w:type="spellEnd"/>
      <w:r>
        <w:rPr>
          <w:rFonts w:ascii="Century Gothic" w:hAnsi="Century Gothic"/>
          <w:sz w:val="28"/>
          <w:szCs w:val="28"/>
        </w:rPr>
        <w:t xml:space="preserve"> who recorded into the blotter the incident subject matter of this case and he extracted the same from the Police Blotter Book. PSSG </w:t>
      </w:r>
      <w:proofErr w:type="spellStart"/>
      <w:r>
        <w:rPr>
          <w:rFonts w:ascii="Century Gothic" w:hAnsi="Century Gothic"/>
          <w:sz w:val="28"/>
          <w:szCs w:val="28"/>
        </w:rPr>
        <w:t>Ajiji</w:t>
      </w:r>
      <w:proofErr w:type="spellEnd"/>
      <w:r>
        <w:rPr>
          <w:rFonts w:ascii="Century Gothic" w:hAnsi="Century Gothic"/>
          <w:sz w:val="28"/>
          <w:szCs w:val="28"/>
        </w:rPr>
        <w:t xml:space="preserve"> identified the excerpt copy of the Police Blotter with Entry Number 00456</w:t>
      </w:r>
      <w:r>
        <w:rPr>
          <w:rStyle w:val="FootnoteReference"/>
          <w:rFonts w:ascii="Century Gothic" w:hAnsi="Century Gothic"/>
          <w:sz w:val="28"/>
          <w:szCs w:val="28"/>
        </w:rPr>
        <w:footnoteReference w:id="21"/>
      </w:r>
      <w:r>
        <w:rPr>
          <w:rFonts w:ascii="Century Gothic" w:hAnsi="Century Gothic"/>
          <w:sz w:val="28"/>
          <w:szCs w:val="28"/>
        </w:rPr>
        <w:t xml:space="preserve"> dated February 13, 2019.</w:t>
      </w:r>
      <w:r>
        <w:rPr>
          <w:rStyle w:val="FootnoteReference"/>
          <w:rFonts w:ascii="Century Gothic" w:hAnsi="Century Gothic"/>
          <w:sz w:val="28"/>
          <w:szCs w:val="28"/>
        </w:rPr>
        <w:footnoteReference w:id="22"/>
      </w:r>
      <w:r>
        <w:rPr>
          <w:rFonts w:ascii="Century Gothic" w:hAnsi="Century Gothic"/>
          <w:sz w:val="28"/>
          <w:szCs w:val="28"/>
        </w:rPr>
        <w:t xml:space="preserve">  </w:t>
      </w:r>
      <w:r w:rsidR="001A6C29">
        <w:rPr>
          <w:rFonts w:ascii="Century Gothic" w:hAnsi="Century Gothic"/>
          <w:sz w:val="28"/>
          <w:szCs w:val="28"/>
        </w:rPr>
        <w:t xml:space="preserve"> </w:t>
      </w:r>
    </w:p>
    <w:p w14:paraId="6AB629A1" w14:textId="77777777" w:rsidR="007A78E9" w:rsidRDefault="007A78E9" w:rsidP="00B25F64">
      <w:pPr>
        <w:spacing w:line="360" w:lineRule="auto"/>
        <w:jc w:val="both"/>
        <w:rPr>
          <w:rFonts w:ascii="Century Gothic" w:hAnsi="Century Gothic" w:cs="Arial"/>
          <w:sz w:val="28"/>
          <w:szCs w:val="28"/>
        </w:rPr>
      </w:pPr>
    </w:p>
    <w:p w14:paraId="7A3AB9FE" w14:textId="6ECE55E8" w:rsidR="004E6425" w:rsidRPr="004E6425" w:rsidRDefault="005D14B1" w:rsidP="007A78E9">
      <w:pPr>
        <w:ind w:firstLine="709"/>
        <w:jc w:val="both"/>
        <w:rPr>
          <w:rFonts w:ascii="Century Gothic" w:hAnsi="Century Gothic" w:cs="Arial"/>
          <w:sz w:val="28"/>
          <w:szCs w:val="28"/>
        </w:rPr>
      </w:pPr>
      <w:r>
        <w:rPr>
          <w:rFonts w:ascii="Century Gothic" w:hAnsi="Century Gothic" w:cs="Arial"/>
          <w:sz w:val="28"/>
          <w:szCs w:val="28"/>
        </w:rPr>
        <w:t xml:space="preserve">On May 26, 2022, the prosecution presented the truck driver </w:t>
      </w:r>
      <w:proofErr w:type="spellStart"/>
      <w:r>
        <w:rPr>
          <w:rFonts w:ascii="Century Gothic" w:hAnsi="Century Gothic" w:cs="Arial"/>
          <w:sz w:val="28"/>
          <w:szCs w:val="28"/>
        </w:rPr>
        <w:t>Jodil</w:t>
      </w:r>
      <w:proofErr w:type="spellEnd"/>
      <w:r>
        <w:rPr>
          <w:rFonts w:ascii="Century Gothic" w:hAnsi="Century Gothic" w:cs="Arial"/>
          <w:sz w:val="28"/>
          <w:szCs w:val="28"/>
        </w:rPr>
        <w:t xml:space="preserve"> S. </w:t>
      </w:r>
      <w:proofErr w:type="spellStart"/>
      <w:r>
        <w:rPr>
          <w:rFonts w:ascii="Century Gothic" w:hAnsi="Century Gothic" w:cs="Arial"/>
          <w:sz w:val="28"/>
          <w:szCs w:val="28"/>
        </w:rPr>
        <w:t>Magdagay</w:t>
      </w:r>
      <w:proofErr w:type="spellEnd"/>
      <w:r>
        <w:rPr>
          <w:rFonts w:ascii="Century Gothic" w:hAnsi="Century Gothic" w:cs="Arial"/>
          <w:sz w:val="28"/>
          <w:szCs w:val="28"/>
        </w:rPr>
        <w:t xml:space="preserve"> as its seventh witness who identified the</w:t>
      </w:r>
      <w:r w:rsidR="004E6425">
        <w:rPr>
          <w:rFonts w:ascii="Century Gothic" w:hAnsi="Century Gothic" w:cs="Arial"/>
          <w:sz w:val="28"/>
          <w:szCs w:val="28"/>
        </w:rPr>
        <w:t xml:space="preserve"> picture</w:t>
      </w:r>
      <w:r w:rsidR="004E6425">
        <w:rPr>
          <w:rStyle w:val="FootnoteReference"/>
          <w:rFonts w:ascii="Century Gothic" w:hAnsi="Century Gothic" w:cs="Arial"/>
          <w:sz w:val="28"/>
          <w:szCs w:val="28"/>
        </w:rPr>
        <w:footnoteReference w:id="23"/>
      </w:r>
      <w:r w:rsidR="004E6425">
        <w:rPr>
          <w:rFonts w:ascii="Century Gothic" w:hAnsi="Century Gothic" w:cs="Arial"/>
          <w:sz w:val="28"/>
          <w:szCs w:val="28"/>
        </w:rPr>
        <w:t xml:space="preserve"> of the truck he was driving when he was arrested on February 13, 2019.</w:t>
      </w:r>
      <w:r w:rsidR="004E6425">
        <w:rPr>
          <w:rStyle w:val="FootnoteReference"/>
          <w:rFonts w:ascii="Century Gothic" w:hAnsi="Century Gothic" w:cs="Arial"/>
          <w:sz w:val="28"/>
          <w:szCs w:val="28"/>
        </w:rPr>
        <w:footnoteReference w:id="24"/>
      </w:r>
      <w:r w:rsidR="004E6425">
        <w:rPr>
          <w:rFonts w:ascii="Century Gothic" w:hAnsi="Century Gothic" w:cs="Arial"/>
          <w:sz w:val="28"/>
          <w:szCs w:val="28"/>
        </w:rPr>
        <w:t xml:space="preserve"> He testified that </w:t>
      </w:r>
      <w:r w:rsidR="004E6425" w:rsidRPr="004E6425">
        <w:rPr>
          <w:rFonts w:ascii="Century Gothic" w:hAnsi="Century Gothic" w:cs="Arial"/>
          <w:b/>
          <w:sz w:val="28"/>
          <w:szCs w:val="28"/>
        </w:rPr>
        <w:t xml:space="preserve">(1) </w:t>
      </w:r>
      <w:r w:rsidR="004E6425">
        <w:rPr>
          <w:rFonts w:ascii="Century Gothic" w:hAnsi="Century Gothic" w:cs="Arial"/>
          <w:sz w:val="28"/>
          <w:szCs w:val="28"/>
        </w:rPr>
        <w:t xml:space="preserve">he was the driver of the truck subject matter of this case and it was owned by </w:t>
      </w:r>
      <w:proofErr w:type="spellStart"/>
      <w:r w:rsidR="004E6425" w:rsidRPr="004E6425">
        <w:rPr>
          <w:rFonts w:ascii="Century Gothic" w:hAnsi="Century Gothic" w:cs="Arial"/>
          <w:sz w:val="28"/>
          <w:szCs w:val="28"/>
        </w:rPr>
        <w:t>Malvin</w:t>
      </w:r>
      <w:proofErr w:type="spellEnd"/>
      <w:r w:rsidR="004E6425" w:rsidRPr="004E6425">
        <w:rPr>
          <w:rFonts w:ascii="Century Gothic" w:hAnsi="Century Gothic" w:cs="Arial"/>
          <w:sz w:val="28"/>
          <w:szCs w:val="28"/>
        </w:rPr>
        <w:t xml:space="preserve"> Deli-deli</w:t>
      </w:r>
      <w:r w:rsidR="004E6425">
        <w:rPr>
          <w:rFonts w:ascii="Century Gothic" w:hAnsi="Century Gothic" w:cs="Arial"/>
          <w:sz w:val="28"/>
          <w:szCs w:val="28"/>
        </w:rPr>
        <w:t xml:space="preserve">; </w:t>
      </w:r>
      <w:r w:rsidR="004E6425" w:rsidRPr="004E6425">
        <w:rPr>
          <w:rFonts w:ascii="Century Gothic" w:hAnsi="Century Gothic" w:cs="Arial"/>
          <w:b/>
          <w:sz w:val="28"/>
          <w:szCs w:val="28"/>
        </w:rPr>
        <w:t>(2)</w:t>
      </w:r>
      <w:r w:rsidR="004E6425">
        <w:rPr>
          <w:rFonts w:ascii="Century Gothic" w:hAnsi="Century Gothic" w:cs="Arial"/>
          <w:sz w:val="28"/>
          <w:szCs w:val="28"/>
        </w:rPr>
        <w:t xml:space="preserve"> he first worked with the latter for two years as helper then he transferred to another employer, but at the time of the incident, Deli-deli asked him to drive his truck from the mountain going to Tagum City; </w:t>
      </w:r>
      <w:r w:rsidR="004E6425" w:rsidRPr="004E6425">
        <w:rPr>
          <w:rFonts w:ascii="Century Gothic" w:hAnsi="Century Gothic" w:cs="Arial"/>
          <w:b/>
          <w:sz w:val="28"/>
          <w:szCs w:val="28"/>
        </w:rPr>
        <w:t>(3)</w:t>
      </w:r>
      <w:r w:rsidR="004E6425">
        <w:rPr>
          <w:rFonts w:ascii="Century Gothic" w:hAnsi="Century Gothic" w:cs="Arial"/>
          <w:b/>
          <w:sz w:val="28"/>
          <w:szCs w:val="28"/>
        </w:rPr>
        <w:t xml:space="preserve"> </w:t>
      </w:r>
      <w:r w:rsidR="00C244FD" w:rsidRPr="00C244FD">
        <w:rPr>
          <w:rFonts w:ascii="Century Gothic" w:hAnsi="Century Gothic" w:cs="Arial"/>
          <w:sz w:val="28"/>
          <w:szCs w:val="28"/>
        </w:rPr>
        <w:t xml:space="preserve">upon seeing </w:t>
      </w:r>
      <w:r w:rsidR="00C244FD">
        <w:rPr>
          <w:rFonts w:ascii="Century Gothic" w:hAnsi="Century Gothic" w:cs="Arial"/>
          <w:sz w:val="28"/>
          <w:szCs w:val="28"/>
        </w:rPr>
        <w:t xml:space="preserve">the truck loaded with logs, he called </w:t>
      </w:r>
      <w:proofErr w:type="spellStart"/>
      <w:r w:rsidR="00C244FD">
        <w:rPr>
          <w:rFonts w:ascii="Century Gothic" w:hAnsi="Century Gothic" w:cs="Arial"/>
          <w:sz w:val="28"/>
          <w:szCs w:val="28"/>
        </w:rPr>
        <w:t>Malvin</w:t>
      </w:r>
      <w:proofErr w:type="spellEnd"/>
      <w:r w:rsidR="00C244FD">
        <w:rPr>
          <w:rFonts w:ascii="Century Gothic" w:hAnsi="Century Gothic" w:cs="Arial"/>
          <w:sz w:val="28"/>
          <w:szCs w:val="28"/>
        </w:rPr>
        <w:t xml:space="preserve"> Deli-deli who instructed him to drive the truck going downhill and told him it had an escort;</w:t>
      </w:r>
      <w:r w:rsidR="00C244FD" w:rsidRPr="00C244FD">
        <w:rPr>
          <w:rFonts w:ascii="Century Gothic" w:hAnsi="Century Gothic" w:cs="Arial"/>
          <w:b/>
          <w:sz w:val="28"/>
          <w:szCs w:val="28"/>
        </w:rPr>
        <w:t xml:space="preserve"> (4)</w:t>
      </w:r>
      <w:r w:rsidR="00C244FD">
        <w:rPr>
          <w:rFonts w:ascii="Century Gothic" w:hAnsi="Century Gothic" w:cs="Arial"/>
          <w:sz w:val="28"/>
          <w:szCs w:val="28"/>
        </w:rPr>
        <w:t xml:space="preserve"> </w:t>
      </w:r>
      <w:r w:rsidR="004E6425">
        <w:rPr>
          <w:rFonts w:ascii="Century Gothic" w:hAnsi="Century Gothic" w:cs="Arial"/>
          <w:sz w:val="28"/>
          <w:szCs w:val="28"/>
        </w:rPr>
        <w:t>when the truck was flagged down by the soldiers</w:t>
      </w:r>
      <w:r w:rsidR="00C244FD">
        <w:rPr>
          <w:rFonts w:ascii="Century Gothic" w:hAnsi="Century Gothic" w:cs="Arial"/>
          <w:sz w:val="28"/>
          <w:szCs w:val="28"/>
        </w:rPr>
        <w:t xml:space="preserve"> somewhere in </w:t>
      </w:r>
      <w:proofErr w:type="spellStart"/>
      <w:r w:rsidR="00C244FD">
        <w:rPr>
          <w:rFonts w:ascii="Century Gothic" w:hAnsi="Century Gothic" w:cs="Arial"/>
          <w:sz w:val="28"/>
          <w:szCs w:val="28"/>
        </w:rPr>
        <w:t>Brgy</w:t>
      </w:r>
      <w:proofErr w:type="spellEnd"/>
      <w:r w:rsidR="00C244FD">
        <w:rPr>
          <w:rFonts w:ascii="Century Gothic" w:hAnsi="Century Gothic" w:cs="Arial"/>
          <w:sz w:val="28"/>
          <w:szCs w:val="28"/>
        </w:rPr>
        <w:t>. New Visayas</w:t>
      </w:r>
      <w:r w:rsidR="004E6425">
        <w:rPr>
          <w:rFonts w:ascii="Century Gothic" w:hAnsi="Century Gothic" w:cs="Arial"/>
          <w:sz w:val="28"/>
          <w:szCs w:val="28"/>
        </w:rPr>
        <w:t xml:space="preserve">, he called </w:t>
      </w:r>
      <w:proofErr w:type="spellStart"/>
      <w:r w:rsidR="004E6425">
        <w:rPr>
          <w:rFonts w:ascii="Century Gothic" w:hAnsi="Century Gothic" w:cs="Arial"/>
          <w:sz w:val="28"/>
          <w:szCs w:val="28"/>
        </w:rPr>
        <w:t>Malvin</w:t>
      </w:r>
      <w:proofErr w:type="spellEnd"/>
      <w:r w:rsidR="004E6425">
        <w:rPr>
          <w:rFonts w:ascii="Century Gothic" w:hAnsi="Century Gothic" w:cs="Arial"/>
          <w:sz w:val="28"/>
          <w:szCs w:val="28"/>
        </w:rPr>
        <w:t xml:space="preserve"> Deli-deli and asked him where </w:t>
      </w:r>
      <w:r w:rsidR="00C244FD">
        <w:rPr>
          <w:rFonts w:ascii="Century Gothic" w:hAnsi="Century Gothic" w:cs="Arial"/>
          <w:sz w:val="28"/>
          <w:szCs w:val="28"/>
        </w:rPr>
        <w:t xml:space="preserve">is the escort he mentioned who were supposed to settle the matter with the soldiers; </w:t>
      </w:r>
      <w:r w:rsidR="00C244FD" w:rsidRPr="00C244FD">
        <w:rPr>
          <w:rFonts w:ascii="Century Gothic" w:hAnsi="Century Gothic" w:cs="Arial"/>
          <w:b/>
          <w:sz w:val="28"/>
          <w:szCs w:val="28"/>
        </w:rPr>
        <w:t>(</w:t>
      </w:r>
      <w:r w:rsidR="00C244FD">
        <w:rPr>
          <w:rFonts w:ascii="Century Gothic" w:hAnsi="Century Gothic" w:cs="Arial"/>
          <w:b/>
          <w:sz w:val="28"/>
          <w:szCs w:val="28"/>
        </w:rPr>
        <w:t>5</w:t>
      </w:r>
      <w:r w:rsidR="00C244FD" w:rsidRPr="00C244FD">
        <w:rPr>
          <w:rFonts w:ascii="Century Gothic" w:hAnsi="Century Gothic" w:cs="Arial"/>
          <w:b/>
          <w:sz w:val="28"/>
          <w:szCs w:val="28"/>
        </w:rPr>
        <w:t>)</w:t>
      </w:r>
      <w:r w:rsidR="00C244FD">
        <w:rPr>
          <w:rFonts w:ascii="Century Gothic" w:hAnsi="Century Gothic" w:cs="Arial"/>
          <w:sz w:val="28"/>
          <w:szCs w:val="28"/>
        </w:rPr>
        <w:t xml:space="preserve"> the escort did not show up and that was the time they were brought to Maco Municipal Police Station; </w:t>
      </w:r>
      <w:r w:rsidR="00C244FD" w:rsidRPr="00C244FD">
        <w:rPr>
          <w:rFonts w:ascii="Century Gothic" w:hAnsi="Century Gothic" w:cs="Arial"/>
          <w:b/>
          <w:sz w:val="28"/>
          <w:szCs w:val="28"/>
        </w:rPr>
        <w:t>(</w:t>
      </w:r>
      <w:r w:rsidR="00C244FD">
        <w:rPr>
          <w:rFonts w:ascii="Century Gothic" w:hAnsi="Century Gothic" w:cs="Arial"/>
          <w:b/>
          <w:sz w:val="28"/>
          <w:szCs w:val="28"/>
        </w:rPr>
        <w:t>6</w:t>
      </w:r>
      <w:r w:rsidR="00C244FD" w:rsidRPr="00C244FD">
        <w:rPr>
          <w:rFonts w:ascii="Century Gothic" w:hAnsi="Century Gothic" w:cs="Arial"/>
          <w:b/>
          <w:sz w:val="28"/>
          <w:szCs w:val="28"/>
        </w:rPr>
        <w:t>)</w:t>
      </w:r>
      <w:r w:rsidR="00C244FD">
        <w:rPr>
          <w:rFonts w:ascii="Century Gothic" w:hAnsi="Century Gothic" w:cs="Arial"/>
          <w:sz w:val="28"/>
          <w:szCs w:val="28"/>
        </w:rPr>
        <w:t xml:space="preserve"> while detained thereat, </w:t>
      </w:r>
      <w:proofErr w:type="spellStart"/>
      <w:r w:rsidR="00C244FD">
        <w:rPr>
          <w:rFonts w:ascii="Century Gothic" w:hAnsi="Century Gothic" w:cs="Arial"/>
          <w:sz w:val="28"/>
          <w:szCs w:val="28"/>
        </w:rPr>
        <w:t>Malvin</w:t>
      </w:r>
      <w:proofErr w:type="spellEnd"/>
      <w:r w:rsidR="00C244FD">
        <w:rPr>
          <w:rFonts w:ascii="Century Gothic" w:hAnsi="Century Gothic" w:cs="Arial"/>
          <w:sz w:val="28"/>
          <w:szCs w:val="28"/>
        </w:rPr>
        <w:t xml:space="preserve"> Deli-deli brought them dinner and talked to the police officers at the station; and </w:t>
      </w:r>
      <w:r w:rsidR="00C244FD" w:rsidRPr="00C244FD">
        <w:rPr>
          <w:rFonts w:ascii="Century Gothic" w:hAnsi="Century Gothic" w:cs="Arial"/>
          <w:b/>
          <w:sz w:val="28"/>
          <w:szCs w:val="28"/>
        </w:rPr>
        <w:t>(</w:t>
      </w:r>
      <w:r w:rsidR="00C244FD">
        <w:rPr>
          <w:rFonts w:ascii="Century Gothic" w:hAnsi="Century Gothic" w:cs="Arial"/>
          <w:b/>
          <w:sz w:val="28"/>
          <w:szCs w:val="28"/>
        </w:rPr>
        <w:t>7</w:t>
      </w:r>
      <w:r w:rsidR="00C244FD" w:rsidRPr="00C244FD">
        <w:rPr>
          <w:rFonts w:ascii="Century Gothic" w:hAnsi="Century Gothic" w:cs="Arial"/>
          <w:b/>
          <w:sz w:val="28"/>
          <w:szCs w:val="28"/>
        </w:rPr>
        <w:t>)</w:t>
      </w:r>
      <w:r w:rsidR="00C244FD">
        <w:rPr>
          <w:rFonts w:ascii="Century Gothic" w:hAnsi="Century Gothic" w:cs="Arial"/>
          <w:sz w:val="28"/>
          <w:szCs w:val="28"/>
        </w:rPr>
        <w:t xml:space="preserve"> </w:t>
      </w:r>
      <w:proofErr w:type="spellStart"/>
      <w:r w:rsidR="00C244FD">
        <w:rPr>
          <w:rFonts w:ascii="Century Gothic" w:hAnsi="Century Gothic" w:cs="Arial"/>
          <w:sz w:val="28"/>
          <w:szCs w:val="28"/>
        </w:rPr>
        <w:t>Malvin</w:t>
      </w:r>
      <w:proofErr w:type="spellEnd"/>
      <w:r w:rsidR="00C244FD">
        <w:rPr>
          <w:rFonts w:ascii="Century Gothic" w:hAnsi="Century Gothic" w:cs="Arial"/>
          <w:sz w:val="28"/>
          <w:szCs w:val="28"/>
        </w:rPr>
        <w:t xml:space="preserve"> Deli-deli did not tell him anything about the cargo of the truck</w:t>
      </w:r>
      <w:r w:rsidR="008216CA">
        <w:rPr>
          <w:rFonts w:ascii="Century Gothic" w:hAnsi="Century Gothic" w:cs="Arial"/>
          <w:sz w:val="28"/>
          <w:szCs w:val="28"/>
        </w:rPr>
        <w:t>.</w:t>
      </w:r>
      <w:r w:rsidR="008216CA">
        <w:rPr>
          <w:rStyle w:val="FootnoteReference"/>
          <w:rFonts w:ascii="Century Gothic" w:hAnsi="Century Gothic" w:cs="Arial"/>
          <w:sz w:val="28"/>
          <w:szCs w:val="28"/>
        </w:rPr>
        <w:footnoteReference w:id="25"/>
      </w:r>
      <w:r w:rsidR="00C244FD">
        <w:rPr>
          <w:rFonts w:ascii="Century Gothic" w:hAnsi="Century Gothic" w:cs="Arial"/>
          <w:sz w:val="28"/>
          <w:szCs w:val="28"/>
        </w:rPr>
        <w:t xml:space="preserve">  </w:t>
      </w:r>
      <w:r w:rsidR="004E6425">
        <w:rPr>
          <w:rFonts w:ascii="Century Gothic" w:hAnsi="Century Gothic" w:cs="Arial"/>
          <w:sz w:val="28"/>
          <w:szCs w:val="28"/>
        </w:rPr>
        <w:t xml:space="preserve"> </w:t>
      </w:r>
    </w:p>
    <w:p w14:paraId="6832884B" w14:textId="77777777" w:rsidR="004E6425" w:rsidRDefault="004E6425" w:rsidP="00B25F64">
      <w:pPr>
        <w:spacing w:line="360" w:lineRule="auto"/>
        <w:jc w:val="both"/>
        <w:rPr>
          <w:rFonts w:ascii="Century Gothic" w:hAnsi="Century Gothic" w:cs="Arial"/>
          <w:sz w:val="28"/>
          <w:szCs w:val="28"/>
        </w:rPr>
      </w:pPr>
    </w:p>
    <w:p w14:paraId="1D666B55" w14:textId="03F3C5F8" w:rsidR="008A0A28" w:rsidRDefault="0062296C" w:rsidP="008216CA">
      <w:pPr>
        <w:ind w:firstLine="709"/>
        <w:jc w:val="both"/>
        <w:rPr>
          <w:rFonts w:ascii="Century Gothic" w:hAnsi="Century Gothic" w:cs="Arial"/>
          <w:sz w:val="28"/>
          <w:szCs w:val="28"/>
        </w:rPr>
      </w:pPr>
      <w:r>
        <w:rPr>
          <w:rFonts w:ascii="Century Gothic" w:hAnsi="Century Gothic" w:cs="Arial"/>
          <w:sz w:val="28"/>
          <w:szCs w:val="28"/>
        </w:rPr>
        <w:t>During continua</w:t>
      </w:r>
      <w:r w:rsidR="00C94EB2">
        <w:rPr>
          <w:rFonts w:ascii="Century Gothic" w:hAnsi="Century Gothic" w:cs="Arial"/>
          <w:sz w:val="28"/>
          <w:szCs w:val="28"/>
        </w:rPr>
        <w:t xml:space="preserve">tion of trial on </w:t>
      </w:r>
      <w:r w:rsidR="008216CA">
        <w:rPr>
          <w:rFonts w:ascii="Century Gothic" w:hAnsi="Century Gothic" w:cs="Arial"/>
          <w:sz w:val="28"/>
          <w:szCs w:val="28"/>
        </w:rPr>
        <w:t>July 19</w:t>
      </w:r>
      <w:r w:rsidR="002C1E9F">
        <w:rPr>
          <w:rFonts w:ascii="Century Gothic" w:hAnsi="Century Gothic" w:cs="Arial"/>
          <w:sz w:val="28"/>
          <w:szCs w:val="28"/>
        </w:rPr>
        <w:t>, 2022</w:t>
      </w:r>
      <w:r w:rsidR="008216CA">
        <w:rPr>
          <w:rFonts w:ascii="Century Gothic" w:hAnsi="Century Gothic" w:cs="Arial"/>
          <w:sz w:val="28"/>
          <w:szCs w:val="28"/>
        </w:rPr>
        <w:t xml:space="preserve"> and October 4, 2022</w:t>
      </w:r>
      <w:r w:rsidR="00C94EB2">
        <w:rPr>
          <w:rFonts w:ascii="Century Gothic" w:hAnsi="Century Gothic" w:cs="Arial"/>
          <w:sz w:val="28"/>
          <w:szCs w:val="28"/>
        </w:rPr>
        <w:t>, the prosecution presented no witness</w:t>
      </w:r>
      <w:r w:rsidR="002C1E9F">
        <w:rPr>
          <w:rFonts w:ascii="Century Gothic" w:hAnsi="Century Gothic" w:cs="Arial"/>
          <w:sz w:val="28"/>
          <w:szCs w:val="28"/>
        </w:rPr>
        <w:t xml:space="preserve">. </w:t>
      </w:r>
      <w:r w:rsidR="008A0A28">
        <w:rPr>
          <w:rFonts w:ascii="Century Gothic" w:hAnsi="Century Gothic" w:cs="Arial"/>
          <w:sz w:val="28"/>
          <w:szCs w:val="28"/>
        </w:rPr>
        <w:t xml:space="preserve">Hence, </w:t>
      </w:r>
      <w:r w:rsidR="008216CA">
        <w:rPr>
          <w:rFonts w:ascii="Century Gothic" w:hAnsi="Century Gothic" w:cs="Arial"/>
          <w:sz w:val="28"/>
          <w:szCs w:val="28"/>
        </w:rPr>
        <w:t>it</w:t>
      </w:r>
      <w:r w:rsidR="008A0A28">
        <w:rPr>
          <w:rFonts w:ascii="Century Gothic" w:hAnsi="Century Gothic" w:cs="Arial"/>
          <w:sz w:val="28"/>
          <w:szCs w:val="28"/>
        </w:rPr>
        <w:t xml:space="preserve"> terminated its presentation of evidence.</w:t>
      </w:r>
      <w:r w:rsidR="008A0A28">
        <w:rPr>
          <w:rStyle w:val="FootnoteReference"/>
          <w:rFonts w:ascii="Century Gothic" w:hAnsi="Century Gothic" w:cs="Arial"/>
          <w:sz w:val="28"/>
          <w:szCs w:val="28"/>
        </w:rPr>
        <w:footnoteReference w:id="26"/>
      </w:r>
      <w:r w:rsidR="008A0A28">
        <w:rPr>
          <w:rFonts w:ascii="Century Gothic" w:hAnsi="Century Gothic" w:cs="Arial"/>
          <w:sz w:val="28"/>
          <w:szCs w:val="28"/>
        </w:rPr>
        <w:t xml:space="preserve"> </w:t>
      </w:r>
    </w:p>
    <w:p w14:paraId="43B723D5" w14:textId="77777777" w:rsidR="008A0A28" w:rsidRDefault="008A0A28" w:rsidP="00026516">
      <w:pPr>
        <w:spacing w:line="360" w:lineRule="auto"/>
        <w:ind w:firstLine="709"/>
        <w:jc w:val="both"/>
        <w:rPr>
          <w:rFonts w:ascii="Century Gothic" w:hAnsi="Century Gothic" w:cs="Arial"/>
          <w:sz w:val="28"/>
          <w:szCs w:val="28"/>
        </w:rPr>
      </w:pPr>
    </w:p>
    <w:p w14:paraId="73043CC2" w14:textId="3E805964" w:rsidR="0092633D" w:rsidRDefault="004D508E" w:rsidP="003C086B">
      <w:pPr>
        <w:ind w:firstLine="709"/>
        <w:jc w:val="both"/>
        <w:rPr>
          <w:rFonts w:ascii="Century Gothic" w:hAnsi="Century Gothic" w:cs="Arial"/>
          <w:sz w:val="28"/>
          <w:szCs w:val="28"/>
        </w:rPr>
      </w:pPr>
      <w:r>
        <w:rPr>
          <w:rFonts w:ascii="Century Gothic" w:hAnsi="Century Gothic" w:cs="Arial"/>
          <w:sz w:val="28"/>
          <w:szCs w:val="28"/>
        </w:rPr>
        <w:lastRenderedPageBreak/>
        <w:t xml:space="preserve">On </w:t>
      </w:r>
      <w:r w:rsidR="008216CA">
        <w:rPr>
          <w:rFonts w:ascii="Century Gothic" w:hAnsi="Century Gothic" w:cs="Arial"/>
          <w:sz w:val="28"/>
          <w:szCs w:val="28"/>
        </w:rPr>
        <w:t>October 18, 2022</w:t>
      </w:r>
      <w:r w:rsidR="00C65606">
        <w:rPr>
          <w:rFonts w:ascii="Century Gothic" w:hAnsi="Century Gothic" w:cs="Arial"/>
          <w:sz w:val="28"/>
          <w:szCs w:val="28"/>
        </w:rPr>
        <w:t xml:space="preserve">, </w:t>
      </w:r>
      <w:r w:rsidR="0092633D">
        <w:rPr>
          <w:rFonts w:ascii="Century Gothic" w:hAnsi="Century Gothic" w:cs="Arial"/>
          <w:sz w:val="28"/>
          <w:szCs w:val="28"/>
        </w:rPr>
        <w:t>the prosecution</w:t>
      </w:r>
      <w:r w:rsidR="008216CA">
        <w:rPr>
          <w:rFonts w:ascii="Century Gothic" w:hAnsi="Century Gothic" w:cs="Arial"/>
          <w:sz w:val="28"/>
          <w:szCs w:val="28"/>
        </w:rPr>
        <w:t xml:space="preserve"> submitted its</w:t>
      </w:r>
      <w:r w:rsidR="0092633D">
        <w:rPr>
          <w:rFonts w:ascii="Century Gothic" w:hAnsi="Century Gothic" w:cs="Arial"/>
          <w:sz w:val="28"/>
          <w:szCs w:val="28"/>
        </w:rPr>
        <w:t xml:space="preserve"> Formal Offer of Exhibits</w:t>
      </w:r>
      <w:r w:rsidR="008216CA">
        <w:rPr>
          <w:rFonts w:ascii="Century Gothic" w:hAnsi="Century Gothic" w:cs="Arial"/>
          <w:sz w:val="28"/>
          <w:szCs w:val="28"/>
        </w:rPr>
        <w:t>.</w:t>
      </w:r>
      <w:r w:rsidR="008216CA">
        <w:rPr>
          <w:rStyle w:val="FootnoteReference"/>
          <w:rFonts w:ascii="Century Gothic" w:hAnsi="Century Gothic" w:cs="Arial"/>
          <w:sz w:val="28"/>
          <w:szCs w:val="28"/>
        </w:rPr>
        <w:footnoteReference w:id="27"/>
      </w:r>
      <w:r w:rsidR="008216CA">
        <w:rPr>
          <w:rFonts w:ascii="Century Gothic" w:hAnsi="Century Gothic" w:cs="Arial"/>
          <w:sz w:val="28"/>
          <w:szCs w:val="28"/>
        </w:rPr>
        <w:t xml:space="preserve"> </w:t>
      </w:r>
      <w:r w:rsidR="00FE6BB2">
        <w:rPr>
          <w:rFonts w:ascii="Century Gothic" w:hAnsi="Century Gothic" w:cs="Arial"/>
          <w:sz w:val="28"/>
          <w:szCs w:val="28"/>
        </w:rPr>
        <w:t>The defense filed its Comment.</w:t>
      </w:r>
      <w:r w:rsidR="00D729A9">
        <w:rPr>
          <w:rStyle w:val="FootnoteReference"/>
          <w:rFonts w:ascii="Century Gothic" w:hAnsi="Century Gothic" w:cs="Arial"/>
          <w:sz w:val="28"/>
          <w:szCs w:val="28"/>
        </w:rPr>
        <w:footnoteReference w:id="28"/>
      </w:r>
      <w:r w:rsidR="00FE6BB2">
        <w:rPr>
          <w:rFonts w:ascii="Century Gothic" w:hAnsi="Century Gothic" w:cs="Arial"/>
          <w:sz w:val="28"/>
          <w:szCs w:val="28"/>
        </w:rPr>
        <w:t xml:space="preserve"> </w:t>
      </w:r>
      <w:r w:rsidR="008216CA">
        <w:rPr>
          <w:rFonts w:ascii="Century Gothic" w:hAnsi="Century Gothic" w:cs="Arial"/>
          <w:sz w:val="28"/>
          <w:szCs w:val="28"/>
        </w:rPr>
        <w:t>On November 11, 2022, the Court admitted in evidence the exhibits formally offered.</w:t>
      </w:r>
      <w:r w:rsidR="008216CA">
        <w:rPr>
          <w:rStyle w:val="FootnoteReference"/>
          <w:rFonts w:ascii="Century Gothic" w:hAnsi="Century Gothic" w:cs="Arial"/>
          <w:sz w:val="28"/>
          <w:szCs w:val="28"/>
        </w:rPr>
        <w:footnoteReference w:id="29"/>
      </w:r>
      <w:r w:rsidR="008216CA">
        <w:rPr>
          <w:rFonts w:ascii="Century Gothic" w:hAnsi="Century Gothic" w:cs="Arial"/>
          <w:sz w:val="28"/>
          <w:szCs w:val="28"/>
        </w:rPr>
        <w:t xml:space="preserve"> </w:t>
      </w:r>
      <w:r w:rsidR="00D729A9">
        <w:rPr>
          <w:rFonts w:ascii="Century Gothic" w:hAnsi="Century Gothic" w:cs="Arial"/>
          <w:sz w:val="28"/>
          <w:szCs w:val="28"/>
        </w:rPr>
        <w:t>Thereafter, the defense filed the Motion for Leave Court to File Demurrer to Evidence,</w:t>
      </w:r>
      <w:r w:rsidR="00D729A9">
        <w:rPr>
          <w:rStyle w:val="FootnoteReference"/>
          <w:rFonts w:ascii="Century Gothic" w:hAnsi="Century Gothic" w:cs="Arial"/>
          <w:sz w:val="28"/>
          <w:szCs w:val="28"/>
        </w:rPr>
        <w:footnoteReference w:id="30"/>
      </w:r>
      <w:r w:rsidR="00D729A9">
        <w:rPr>
          <w:rFonts w:ascii="Century Gothic" w:hAnsi="Century Gothic" w:cs="Arial"/>
          <w:sz w:val="28"/>
          <w:szCs w:val="28"/>
        </w:rPr>
        <w:t xml:space="preserve"> which the Court granted.</w:t>
      </w:r>
      <w:r w:rsidR="00D729A9">
        <w:rPr>
          <w:rStyle w:val="FootnoteReference"/>
          <w:rFonts w:ascii="Century Gothic" w:hAnsi="Century Gothic" w:cs="Arial"/>
          <w:sz w:val="28"/>
          <w:szCs w:val="28"/>
        </w:rPr>
        <w:footnoteReference w:id="31"/>
      </w:r>
      <w:r w:rsidR="00D729A9">
        <w:rPr>
          <w:rFonts w:ascii="Century Gothic" w:hAnsi="Century Gothic" w:cs="Arial"/>
          <w:sz w:val="28"/>
          <w:szCs w:val="28"/>
        </w:rPr>
        <w:t xml:space="preserve"> </w:t>
      </w:r>
    </w:p>
    <w:p w14:paraId="6B6CC2F0" w14:textId="77777777" w:rsidR="0092633D" w:rsidRDefault="0092633D" w:rsidP="00B25F64">
      <w:pPr>
        <w:spacing w:line="360" w:lineRule="auto"/>
        <w:jc w:val="both"/>
        <w:rPr>
          <w:rFonts w:ascii="Century Gothic" w:hAnsi="Century Gothic" w:cs="Arial"/>
          <w:sz w:val="28"/>
          <w:szCs w:val="28"/>
        </w:rPr>
      </w:pPr>
    </w:p>
    <w:p w14:paraId="5FF105D5" w14:textId="56A709C7" w:rsidR="000F222D" w:rsidRDefault="00066A20" w:rsidP="003C086B">
      <w:pPr>
        <w:ind w:firstLine="709"/>
        <w:jc w:val="both"/>
        <w:rPr>
          <w:rFonts w:ascii="Century Gothic" w:hAnsi="Century Gothic" w:cs="Arial"/>
          <w:sz w:val="28"/>
          <w:szCs w:val="28"/>
        </w:rPr>
      </w:pPr>
      <w:r>
        <w:rPr>
          <w:rFonts w:ascii="Century Gothic" w:hAnsi="Century Gothic" w:cs="Arial"/>
          <w:sz w:val="28"/>
          <w:szCs w:val="28"/>
        </w:rPr>
        <w:t xml:space="preserve">On </w:t>
      </w:r>
      <w:r w:rsidR="00D7429A">
        <w:rPr>
          <w:rFonts w:ascii="Century Gothic" w:hAnsi="Century Gothic" w:cs="Arial"/>
          <w:sz w:val="28"/>
          <w:szCs w:val="28"/>
        </w:rPr>
        <w:t>December 5, 2022</w:t>
      </w:r>
      <w:r>
        <w:rPr>
          <w:rFonts w:ascii="Century Gothic" w:hAnsi="Century Gothic" w:cs="Arial"/>
          <w:sz w:val="28"/>
          <w:szCs w:val="28"/>
        </w:rPr>
        <w:t>, the defense filed its Demurrer to Evidence</w:t>
      </w:r>
      <w:r>
        <w:rPr>
          <w:rStyle w:val="FootnoteReference"/>
          <w:rFonts w:ascii="Century Gothic" w:hAnsi="Century Gothic" w:cs="Arial"/>
          <w:sz w:val="28"/>
          <w:szCs w:val="28"/>
        </w:rPr>
        <w:footnoteReference w:id="32"/>
      </w:r>
      <w:r w:rsidR="004864EA">
        <w:rPr>
          <w:rFonts w:ascii="Century Gothic" w:hAnsi="Century Gothic" w:cs="Arial"/>
          <w:sz w:val="28"/>
          <w:szCs w:val="28"/>
        </w:rPr>
        <w:t xml:space="preserve"> with the contention that </w:t>
      </w:r>
      <w:r w:rsidR="00D729A9">
        <w:rPr>
          <w:rFonts w:ascii="Century Gothic" w:hAnsi="Century Gothic" w:cs="Arial"/>
          <w:sz w:val="28"/>
          <w:szCs w:val="28"/>
        </w:rPr>
        <w:t>none of the witnesses presented by the prosecution has seen or caught accused cutting, gathering, collecting or removing the alleged Falcata logs from alienable or disposable public land, or from private land, without any authority</w:t>
      </w:r>
      <w:r>
        <w:rPr>
          <w:rFonts w:ascii="Century Gothic" w:hAnsi="Century Gothic" w:cs="Arial"/>
          <w:sz w:val="28"/>
          <w:szCs w:val="28"/>
        </w:rPr>
        <w:t>.</w:t>
      </w:r>
      <w:r w:rsidR="000F222D">
        <w:rPr>
          <w:rFonts w:ascii="Century Gothic" w:hAnsi="Century Gothic" w:cs="Arial"/>
          <w:sz w:val="28"/>
          <w:szCs w:val="28"/>
        </w:rPr>
        <w:t xml:space="preserve"> </w:t>
      </w:r>
      <w:r w:rsidR="00D729A9">
        <w:rPr>
          <w:rFonts w:ascii="Century Gothic" w:hAnsi="Century Gothic" w:cs="Arial"/>
          <w:sz w:val="28"/>
          <w:szCs w:val="28"/>
        </w:rPr>
        <w:t xml:space="preserve">Accused was likewise not caught or found in possession or custody of the alleged Falcata logs when the Isuzu forward truck was flagged down and intercepted on February 13, 2019 in New Visayas, Maco, Davao de Oro. The defense argues that accused was never in the said truck and nobody testified having seen him during the apprehension.  </w:t>
      </w:r>
    </w:p>
    <w:p w14:paraId="6A28E007" w14:textId="6A4ACE80" w:rsidR="00314686" w:rsidRDefault="00314686" w:rsidP="00B25F64">
      <w:pPr>
        <w:spacing w:line="360" w:lineRule="auto"/>
        <w:jc w:val="both"/>
        <w:rPr>
          <w:rFonts w:ascii="Century Gothic" w:hAnsi="Century Gothic" w:cs="Arial"/>
          <w:sz w:val="28"/>
          <w:szCs w:val="28"/>
        </w:rPr>
      </w:pPr>
    </w:p>
    <w:p w14:paraId="7C2F35FB" w14:textId="293749D9" w:rsidR="00314686" w:rsidRDefault="003E743F" w:rsidP="00A321C6">
      <w:pPr>
        <w:ind w:firstLine="709"/>
        <w:jc w:val="both"/>
        <w:rPr>
          <w:rFonts w:ascii="Century Gothic" w:hAnsi="Century Gothic" w:cs="Arial"/>
          <w:sz w:val="28"/>
          <w:szCs w:val="28"/>
        </w:rPr>
      </w:pPr>
      <w:r>
        <w:rPr>
          <w:rFonts w:ascii="Century Gothic" w:hAnsi="Century Gothic" w:cs="Arial"/>
          <w:sz w:val="28"/>
          <w:szCs w:val="28"/>
        </w:rPr>
        <w:t>The issue presented for the Court’s resolution is whether</w:t>
      </w:r>
      <w:r w:rsidR="009519BF">
        <w:rPr>
          <w:rFonts w:ascii="Century Gothic" w:hAnsi="Century Gothic" w:cs="Arial"/>
          <w:sz w:val="28"/>
          <w:szCs w:val="28"/>
        </w:rPr>
        <w:t>, based on its evidence,</w:t>
      </w:r>
      <w:r w:rsidR="0047723D">
        <w:rPr>
          <w:rFonts w:ascii="Century Gothic" w:hAnsi="Century Gothic" w:cs="Arial"/>
          <w:sz w:val="28"/>
          <w:szCs w:val="28"/>
        </w:rPr>
        <w:t xml:space="preserve"> the prosecution</w:t>
      </w:r>
      <w:r w:rsidR="00AB49B5">
        <w:rPr>
          <w:rFonts w:ascii="Century Gothic" w:hAnsi="Century Gothic" w:cs="Arial"/>
          <w:sz w:val="28"/>
          <w:szCs w:val="28"/>
        </w:rPr>
        <w:t xml:space="preserve"> prove</w:t>
      </w:r>
      <w:r w:rsidR="0047723D">
        <w:rPr>
          <w:rFonts w:ascii="Century Gothic" w:hAnsi="Century Gothic" w:cs="Arial"/>
          <w:sz w:val="28"/>
          <w:szCs w:val="28"/>
        </w:rPr>
        <w:t>d</w:t>
      </w:r>
      <w:r>
        <w:rPr>
          <w:rFonts w:ascii="Century Gothic" w:hAnsi="Century Gothic" w:cs="Arial"/>
          <w:sz w:val="28"/>
          <w:szCs w:val="28"/>
        </w:rPr>
        <w:t xml:space="preserve"> the guilt of the accused beyond reasonable doubt</w:t>
      </w:r>
      <w:r w:rsidR="0047723D">
        <w:rPr>
          <w:rFonts w:ascii="Century Gothic" w:hAnsi="Century Gothic" w:cs="Arial"/>
          <w:sz w:val="28"/>
          <w:szCs w:val="28"/>
        </w:rPr>
        <w:t xml:space="preserve"> for </w:t>
      </w:r>
      <w:r w:rsidR="00D729A9">
        <w:rPr>
          <w:rFonts w:ascii="Century Gothic" w:hAnsi="Century Gothic" w:cs="Arial"/>
          <w:sz w:val="28"/>
          <w:szCs w:val="28"/>
        </w:rPr>
        <w:t>violation of Section 77</w:t>
      </w:r>
      <w:r w:rsidR="000D5473">
        <w:rPr>
          <w:rFonts w:ascii="Century Gothic" w:hAnsi="Century Gothic" w:cs="Arial"/>
          <w:sz w:val="28"/>
          <w:szCs w:val="28"/>
        </w:rPr>
        <w:t xml:space="preserve"> </w:t>
      </w:r>
      <w:r w:rsidR="00D729A9">
        <w:rPr>
          <w:rFonts w:ascii="Century Gothic" w:hAnsi="Century Gothic" w:cs="Arial"/>
          <w:sz w:val="28"/>
          <w:szCs w:val="28"/>
        </w:rPr>
        <w:t>of PD 705, as amended</w:t>
      </w:r>
      <w:r w:rsidR="008C18FE">
        <w:rPr>
          <w:rFonts w:ascii="Century Gothic" w:hAnsi="Century Gothic" w:cs="Arial"/>
          <w:sz w:val="28"/>
          <w:szCs w:val="28"/>
        </w:rPr>
        <w:t xml:space="preserve">. </w:t>
      </w:r>
      <w:r>
        <w:rPr>
          <w:rFonts w:ascii="Century Gothic" w:hAnsi="Century Gothic" w:cs="Arial"/>
          <w:sz w:val="28"/>
          <w:szCs w:val="28"/>
        </w:rPr>
        <w:t xml:space="preserve"> </w:t>
      </w:r>
    </w:p>
    <w:p w14:paraId="2588845B" w14:textId="22427AA4" w:rsidR="003E743F" w:rsidRDefault="003E743F" w:rsidP="004B2C28">
      <w:pPr>
        <w:spacing w:line="360" w:lineRule="auto"/>
        <w:ind w:firstLine="709"/>
        <w:jc w:val="both"/>
        <w:rPr>
          <w:rFonts w:ascii="Century Gothic" w:hAnsi="Century Gothic" w:cs="Arial"/>
          <w:sz w:val="28"/>
          <w:szCs w:val="28"/>
        </w:rPr>
      </w:pPr>
    </w:p>
    <w:p w14:paraId="042EFBB5" w14:textId="013F6B8A" w:rsidR="00017DC4" w:rsidRPr="00017DC4" w:rsidRDefault="00017DC4" w:rsidP="00A321C6">
      <w:pPr>
        <w:ind w:firstLine="709"/>
        <w:jc w:val="both"/>
        <w:rPr>
          <w:rFonts w:ascii="Century Gothic" w:hAnsi="Century Gothic" w:cs="Arial"/>
          <w:sz w:val="28"/>
          <w:szCs w:val="28"/>
        </w:rPr>
      </w:pPr>
      <w:r>
        <w:rPr>
          <w:rFonts w:ascii="Century Gothic" w:hAnsi="Century Gothic" w:cs="Arial"/>
          <w:sz w:val="28"/>
          <w:szCs w:val="28"/>
        </w:rPr>
        <w:t xml:space="preserve">Section 2, Rule 133 of the Revised Rules on Evidence states:  </w:t>
      </w:r>
    </w:p>
    <w:p w14:paraId="197AFEB7" w14:textId="77777777" w:rsidR="00017DC4" w:rsidRPr="00017DC4" w:rsidRDefault="00017DC4" w:rsidP="00017DC4">
      <w:pPr>
        <w:ind w:left="567" w:right="560" w:firstLine="567"/>
        <w:jc w:val="both"/>
        <w:rPr>
          <w:rFonts w:ascii="Century Gothic" w:hAnsi="Century Gothic" w:cs="Arial"/>
          <w:sz w:val="24"/>
          <w:szCs w:val="24"/>
        </w:rPr>
      </w:pPr>
    </w:p>
    <w:p w14:paraId="1E8A602E" w14:textId="77777777" w:rsidR="00017DC4" w:rsidRPr="00017DC4" w:rsidRDefault="00017DC4" w:rsidP="00A321C6">
      <w:pPr>
        <w:ind w:left="709" w:right="560" w:firstLine="425"/>
        <w:jc w:val="both"/>
        <w:rPr>
          <w:rFonts w:ascii="Century Gothic" w:hAnsi="Century Gothic" w:cs="Arial"/>
          <w:sz w:val="24"/>
          <w:szCs w:val="24"/>
        </w:rPr>
      </w:pPr>
      <w:bookmarkStart w:id="3" w:name="_Hlk127788014"/>
      <w:r w:rsidRPr="00017DC4">
        <w:rPr>
          <w:rFonts w:ascii="Century Gothic" w:hAnsi="Century Gothic" w:cs="Arial"/>
          <w:sz w:val="24"/>
          <w:szCs w:val="24"/>
        </w:rPr>
        <w:t>Section 2. Proof beyond reasonable doubt. — In a criminal case, the accused is entitled to an acquittal, unless his guilt is shown beyond reasonable doubt. Proof beyond reasonable doubt does not mean such a degree of proof, excluding possibility of error, produces absolute certainly. Moral certainly only is required, or that degree of proof which produces conviction in an unprejudiced mind.</w:t>
      </w:r>
      <w:bookmarkEnd w:id="3"/>
    </w:p>
    <w:p w14:paraId="3D9887A9" w14:textId="77777777" w:rsidR="00017DC4" w:rsidRPr="00017DC4" w:rsidRDefault="00017DC4" w:rsidP="002B510B">
      <w:pPr>
        <w:spacing w:line="360" w:lineRule="auto"/>
        <w:ind w:firstLine="709"/>
        <w:jc w:val="both"/>
        <w:rPr>
          <w:rFonts w:ascii="Century Gothic" w:hAnsi="Century Gothic" w:cs="Arial"/>
          <w:sz w:val="28"/>
          <w:szCs w:val="28"/>
        </w:rPr>
      </w:pPr>
    </w:p>
    <w:p w14:paraId="364805FD" w14:textId="6D7463BD" w:rsidR="00017DC4" w:rsidRDefault="00017DC4" w:rsidP="00A321C6">
      <w:pPr>
        <w:ind w:firstLine="709"/>
        <w:jc w:val="both"/>
        <w:rPr>
          <w:rFonts w:ascii="Century Gothic" w:hAnsi="Century Gothic" w:cs="Arial"/>
          <w:sz w:val="28"/>
          <w:szCs w:val="28"/>
        </w:rPr>
      </w:pPr>
      <w:r>
        <w:rPr>
          <w:rFonts w:ascii="Century Gothic" w:hAnsi="Century Gothic" w:cs="Arial"/>
          <w:sz w:val="28"/>
          <w:szCs w:val="28"/>
        </w:rPr>
        <w:t xml:space="preserve">The afore-cited section provides the requisite quantum of evidence in criminal cases. </w:t>
      </w:r>
      <w:r w:rsidRPr="00017DC4">
        <w:rPr>
          <w:rFonts w:ascii="Century Gothic" w:hAnsi="Century Gothic" w:cs="Arial"/>
          <w:sz w:val="28"/>
          <w:szCs w:val="28"/>
        </w:rPr>
        <w:t xml:space="preserve">This rule places upon the prosecution the task of establishing the guilt of an accused, relying on the </w:t>
      </w:r>
      <w:r w:rsidRPr="00017DC4">
        <w:rPr>
          <w:rFonts w:ascii="Century Gothic" w:hAnsi="Century Gothic" w:cs="Arial"/>
          <w:sz w:val="28"/>
          <w:szCs w:val="28"/>
        </w:rPr>
        <w:lastRenderedPageBreak/>
        <w:t>strength of its own evidence, and not banking on the weakness of the defense of an accused.</w:t>
      </w:r>
      <w:r>
        <w:rPr>
          <w:rStyle w:val="FootnoteReference"/>
          <w:rFonts w:ascii="Century Gothic" w:hAnsi="Century Gothic" w:cs="Arial"/>
          <w:sz w:val="28"/>
          <w:szCs w:val="28"/>
        </w:rPr>
        <w:footnoteReference w:id="33"/>
      </w:r>
    </w:p>
    <w:p w14:paraId="35FEB2FF" w14:textId="77777777" w:rsidR="008C18FE" w:rsidRDefault="008C18FE" w:rsidP="004B2C28">
      <w:pPr>
        <w:spacing w:line="360" w:lineRule="auto"/>
        <w:ind w:firstLine="709"/>
        <w:jc w:val="both"/>
        <w:rPr>
          <w:rFonts w:ascii="Century Gothic" w:hAnsi="Century Gothic" w:cs="Arial"/>
          <w:sz w:val="28"/>
          <w:szCs w:val="28"/>
        </w:rPr>
      </w:pPr>
    </w:p>
    <w:p w14:paraId="05E4D523" w14:textId="536DF6EE" w:rsidR="000D5473" w:rsidRDefault="000D5473" w:rsidP="008C32A5">
      <w:pPr>
        <w:ind w:firstLine="720"/>
        <w:jc w:val="both"/>
        <w:rPr>
          <w:rFonts w:ascii="Century Gothic" w:hAnsi="Century Gothic" w:cs="Arial"/>
          <w:sz w:val="28"/>
          <w:szCs w:val="28"/>
          <w:lang w:val="en-GB"/>
        </w:rPr>
      </w:pPr>
      <w:r>
        <w:rPr>
          <w:rFonts w:ascii="Century Gothic" w:hAnsi="Century Gothic" w:cs="Arial"/>
          <w:sz w:val="28"/>
          <w:szCs w:val="28"/>
          <w:lang w:val="en-GB"/>
        </w:rPr>
        <w:t xml:space="preserve">Accused </w:t>
      </w:r>
      <w:r w:rsidRPr="000D5473">
        <w:rPr>
          <w:rFonts w:ascii="Century Gothic" w:hAnsi="Century Gothic" w:cs="Arial"/>
          <w:b/>
          <w:sz w:val="28"/>
          <w:szCs w:val="28"/>
          <w:lang w:val="en-GB"/>
        </w:rPr>
        <w:t>RENEE PALLERA SUBRICAREY</w:t>
      </w:r>
      <w:r w:rsidRPr="000D5473">
        <w:rPr>
          <w:rFonts w:ascii="Century Gothic" w:hAnsi="Century Gothic" w:cs="Arial"/>
          <w:sz w:val="28"/>
          <w:szCs w:val="28"/>
          <w:lang w:val="en-GB"/>
        </w:rPr>
        <w:t xml:space="preserve"> </w:t>
      </w:r>
      <w:r>
        <w:rPr>
          <w:rFonts w:ascii="Century Gothic" w:hAnsi="Century Gothic" w:cs="Arial"/>
          <w:sz w:val="28"/>
          <w:szCs w:val="28"/>
          <w:lang w:val="en-GB"/>
        </w:rPr>
        <w:t>was charged with violation of Section 77</w:t>
      </w:r>
      <w:r w:rsidR="00A7478D">
        <w:rPr>
          <w:rFonts w:ascii="Century Gothic" w:hAnsi="Century Gothic" w:cs="Arial"/>
          <w:sz w:val="28"/>
          <w:szCs w:val="28"/>
          <w:lang w:val="en-GB"/>
        </w:rPr>
        <w:t xml:space="preserve"> </w:t>
      </w:r>
      <w:r>
        <w:rPr>
          <w:rFonts w:ascii="Century Gothic" w:hAnsi="Century Gothic" w:cs="Arial"/>
          <w:sz w:val="28"/>
          <w:szCs w:val="28"/>
          <w:lang w:val="en-GB"/>
        </w:rPr>
        <w:t xml:space="preserve">of PD 705, which states: </w:t>
      </w:r>
    </w:p>
    <w:p w14:paraId="1A4B6FA0" w14:textId="57447114" w:rsidR="000D5473" w:rsidRDefault="000D5473" w:rsidP="008C32A5">
      <w:pPr>
        <w:ind w:firstLine="720"/>
        <w:jc w:val="both"/>
        <w:rPr>
          <w:rFonts w:ascii="Century Gothic" w:hAnsi="Century Gothic" w:cs="Arial"/>
          <w:sz w:val="28"/>
          <w:szCs w:val="28"/>
          <w:lang w:val="en-GB"/>
        </w:rPr>
      </w:pPr>
    </w:p>
    <w:p w14:paraId="55651111" w14:textId="7453E4A3" w:rsidR="00A7478D" w:rsidRPr="00A7478D" w:rsidRDefault="00A7478D" w:rsidP="00A7478D">
      <w:pPr>
        <w:ind w:left="720" w:right="540" w:firstLine="360"/>
        <w:jc w:val="both"/>
        <w:rPr>
          <w:rFonts w:ascii="Century Gothic" w:hAnsi="Century Gothic" w:cs="Arial"/>
          <w:sz w:val="24"/>
          <w:szCs w:val="24"/>
        </w:rPr>
      </w:pPr>
      <w:r w:rsidRPr="00A7478D">
        <w:rPr>
          <w:rFonts w:ascii="Century Gothic" w:hAnsi="Century Gothic" w:cs="Arial"/>
          <w:b/>
          <w:sz w:val="24"/>
          <w:szCs w:val="24"/>
        </w:rPr>
        <w:t>SECTION 77.</w:t>
      </w:r>
      <w:r w:rsidRPr="00A7478D">
        <w:rPr>
          <w:rFonts w:ascii="Century Gothic" w:hAnsi="Century Gothic" w:cs="Arial"/>
          <w:sz w:val="24"/>
          <w:szCs w:val="24"/>
        </w:rPr>
        <w:t xml:space="preserve"> </w:t>
      </w:r>
      <w:r w:rsidRPr="00A7478D">
        <w:rPr>
          <w:rFonts w:ascii="Century Gothic" w:hAnsi="Century Gothic" w:cs="Arial"/>
          <w:i/>
          <w:sz w:val="24"/>
          <w:szCs w:val="24"/>
        </w:rPr>
        <w:t>Cutting, Gathering and/or collecting Timber, or Other Forest Products Without License.</w:t>
      </w:r>
      <w:r w:rsidRPr="00A7478D">
        <w:rPr>
          <w:rFonts w:ascii="Century Gothic" w:hAnsi="Century Gothic" w:cs="Arial"/>
          <w:sz w:val="24"/>
          <w:szCs w:val="24"/>
        </w:rPr>
        <w:t xml:space="preserve"> – Any person who shall cut, gather, collect, removed timber or other forest products from any forest land, or timber from alienable or disposable public land, or from private land, without any authority, or possess timber or other forest products without the legal documents as required under existing forest laws and regulations, shall be punished with the penalties imposed under Articles 309 and 310 of the Revised Penal Code: </w:t>
      </w:r>
      <w:r>
        <w:rPr>
          <w:rFonts w:ascii="Century Gothic" w:hAnsi="Century Gothic" w:cs="Arial"/>
          <w:sz w:val="24"/>
          <w:szCs w:val="24"/>
        </w:rPr>
        <w:t xml:space="preserve">x </w:t>
      </w:r>
      <w:proofErr w:type="spellStart"/>
      <w:r>
        <w:rPr>
          <w:rFonts w:ascii="Century Gothic" w:hAnsi="Century Gothic" w:cs="Arial"/>
          <w:sz w:val="24"/>
          <w:szCs w:val="24"/>
        </w:rPr>
        <w:t>x</w:t>
      </w:r>
      <w:proofErr w:type="spellEnd"/>
      <w:r>
        <w:rPr>
          <w:rFonts w:ascii="Century Gothic" w:hAnsi="Century Gothic" w:cs="Arial"/>
          <w:sz w:val="24"/>
          <w:szCs w:val="24"/>
        </w:rPr>
        <w:t xml:space="preserve"> </w:t>
      </w:r>
      <w:proofErr w:type="spellStart"/>
      <w:r>
        <w:rPr>
          <w:rFonts w:ascii="Century Gothic" w:hAnsi="Century Gothic" w:cs="Arial"/>
          <w:sz w:val="24"/>
          <w:szCs w:val="24"/>
        </w:rPr>
        <w:t>x</w:t>
      </w:r>
      <w:proofErr w:type="spellEnd"/>
    </w:p>
    <w:p w14:paraId="214C9677" w14:textId="77777777" w:rsidR="00A7478D" w:rsidRPr="00A7478D" w:rsidRDefault="00A7478D" w:rsidP="00A7478D">
      <w:pPr>
        <w:ind w:left="720" w:right="540" w:firstLine="360"/>
        <w:jc w:val="both"/>
        <w:rPr>
          <w:rFonts w:ascii="Century Gothic" w:hAnsi="Century Gothic" w:cs="Arial"/>
          <w:sz w:val="24"/>
          <w:szCs w:val="24"/>
        </w:rPr>
      </w:pPr>
    </w:p>
    <w:p w14:paraId="77B2E61A" w14:textId="1820F5FD" w:rsidR="00A7478D" w:rsidRPr="00A7478D" w:rsidRDefault="00A7478D" w:rsidP="00A7478D">
      <w:pPr>
        <w:ind w:left="720" w:right="540" w:firstLine="360"/>
        <w:jc w:val="both"/>
        <w:rPr>
          <w:rFonts w:ascii="Century Gothic" w:hAnsi="Century Gothic" w:cs="Arial"/>
          <w:sz w:val="24"/>
          <w:szCs w:val="24"/>
          <w:lang w:val="en-GB"/>
        </w:rPr>
      </w:pPr>
      <w:r w:rsidRPr="00A7478D">
        <w:rPr>
          <w:rFonts w:ascii="Century Gothic" w:hAnsi="Century Gothic" w:cs="Arial"/>
          <w:sz w:val="24"/>
          <w:szCs w:val="24"/>
        </w:rPr>
        <w:t>The court shall further order the confiscation in favor of the government of the timber or any forest products cut, gathered, collected, removed, or possessed as well as the machinery, equipment, implements and tools illegally used in the area where the timber or forest products are found.</w:t>
      </w:r>
    </w:p>
    <w:p w14:paraId="2802579B" w14:textId="77777777" w:rsidR="000D5473" w:rsidRDefault="000D5473" w:rsidP="00C708F8">
      <w:pPr>
        <w:spacing w:line="360" w:lineRule="auto"/>
        <w:ind w:firstLine="720"/>
        <w:jc w:val="both"/>
        <w:rPr>
          <w:rFonts w:ascii="Century Gothic" w:hAnsi="Century Gothic" w:cs="Arial"/>
          <w:sz w:val="28"/>
          <w:szCs w:val="28"/>
          <w:lang w:val="en-GB"/>
        </w:rPr>
      </w:pPr>
    </w:p>
    <w:p w14:paraId="1E98CF8D" w14:textId="77777777" w:rsidR="00641706" w:rsidRDefault="00A7478D" w:rsidP="00641706">
      <w:pPr>
        <w:ind w:firstLine="720"/>
        <w:jc w:val="both"/>
        <w:rPr>
          <w:rFonts w:ascii="Century Gothic" w:hAnsi="Century Gothic" w:cs="Arial"/>
          <w:sz w:val="28"/>
          <w:szCs w:val="28"/>
          <w:lang w:val="en-GB"/>
        </w:rPr>
      </w:pPr>
      <w:r>
        <w:rPr>
          <w:rFonts w:ascii="Century Gothic" w:hAnsi="Century Gothic" w:cs="Arial"/>
          <w:sz w:val="28"/>
          <w:szCs w:val="28"/>
          <w:lang w:val="en-GB"/>
        </w:rPr>
        <w:t>As has been jurisprudentially held, Section 77, as afore-cited, punishes three categories of acts</w:t>
      </w:r>
      <w:r w:rsidR="00845907" w:rsidRPr="00845907">
        <w:rPr>
          <w:rFonts w:ascii="Century Gothic" w:hAnsi="Century Gothic" w:cs="Arial"/>
          <w:sz w:val="28"/>
          <w:szCs w:val="28"/>
          <w:lang w:val="en-GB"/>
        </w:rPr>
        <w:t xml:space="preserve">: </w:t>
      </w:r>
      <w:r>
        <w:rPr>
          <w:rFonts w:ascii="Century Gothic" w:hAnsi="Century Gothic" w:cs="Arial"/>
          <w:sz w:val="28"/>
          <w:szCs w:val="28"/>
          <w:lang w:val="en-GB"/>
        </w:rPr>
        <w:t>(</w:t>
      </w:r>
      <w:r w:rsidR="00845907" w:rsidRPr="00845907">
        <w:rPr>
          <w:rFonts w:ascii="Century Gothic" w:hAnsi="Century Gothic" w:cs="Arial"/>
          <w:sz w:val="28"/>
          <w:szCs w:val="28"/>
          <w:lang w:val="en-GB"/>
        </w:rPr>
        <w:t xml:space="preserve">1) </w:t>
      </w:r>
      <w:r>
        <w:rPr>
          <w:rFonts w:ascii="Century Gothic" w:hAnsi="Century Gothic" w:cs="Arial"/>
          <w:sz w:val="28"/>
          <w:szCs w:val="28"/>
          <w:lang w:val="en-GB"/>
        </w:rPr>
        <w:t xml:space="preserve">the cutting, gathering, </w:t>
      </w:r>
      <w:r w:rsidRPr="00A7478D">
        <w:rPr>
          <w:rFonts w:ascii="Century Gothic" w:hAnsi="Century Gothic" w:cs="Arial"/>
          <w:sz w:val="28"/>
          <w:szCs w:val="28"/>
          <w:lang w:val="en-GB"/>
        </w:rPr>
        <w:t>collect</w:t>
      </w:r>
      <w:r>
        <w:rPr>
          <w:rFonts w:ascii="Century Gothic" w:hAnsi="Century Gothic" w:cs="Arial"/>
          <w:sz w:val="28"/>
          <w:szCs w:val="28"/>
          <w:lang w:val="en-GB"/>
        </w:rPr>
        <w:t>ing</w:t>
      </w:r>
      <w:r w:rsidRPr="00A7478D">
        <w:rPr>
          <w:rFonts w:ascii="Century Gothic" w:hAnsi="Century Gothic" w:cs="Arial"/>
          <w:sz w:val="28"/>
          <w:szCs w:val="28"/>
          <w:lang w:val="en-GB"/>
        </w:rPr>
        <w:t>,</w:t>
      </w:r>
      <w:r>
        <w:rPr>
          <w:rFonts w:ascii="Century Gothic" w:hAnsi="Century Gothic" w:cs="Arial"/>
          <w:sz w:val="28"/>
          <w:szCs w:val="28"/>
          <w:lang w:val="en-GB"/>
        </w:rPr>
        <w:t xml:space="preserve"> or </w:t>
      </w:r>
      <w:r w:rsidRPr="00A7478D">
        <w:rPr>
          <w:rFonts w:ascii="Century Gothic" w:hAnsi="Century Gothic" w:cs="Arial"/>
          <w:sz w:val="28"/>
          <w:szCs w:val="28"/>
          <w:lang w:val="en-GB"/>
        </w:rPr>
        <w:t>remov</w:t>
      </w:r>
      <w:r>
        <w:rPr>
          <w:rFonts w:ascii="Century Gothic" w:hAnsi="Century Gothic" w:cs="Arial"/>
          <w:sz w:val="28"/>
          <w:szCs w:val="28"/>
          <w:lang w:val="en-GB"/>
        </w:rPr>
        <w:t>ing of</w:t>
      </w:r>
      <w:r w:rsidRPr="00A7478D">
        <w:rPr>
          <w:rFonts w:ascii="Century Gothic" w:hAnsi="Century Gothic" w:cs="Arial"/>
          <w:sz w:val="28"/>
          <w:szCs w:val="28"/>
          <w:lang w:val="en-GB"/>
        </w:rPr>
        <w:t xml:space="preserve"> timber or other forest products from any forest land</w:t>
      </w:r>
      <w:r>
        <w:rPr>
          <w:rFonts w:ascii="Century Gothic" w:hAnsi="Century Gothic" w:cs="Arial"/>
          <w:sz w:val="28"/>
          <w:szCs w:val="28"/>
          <w:lang w:val="en-GB"/>
        </w:rPr>
        <w:t xml:space="preserve"> without any authority; (2) </w:t>
      </w:r>
      <w:r>
        <w:rPr>
          <w:rFonts w:ascii="Century Gothic" w:hAnsi="Century Gothic" w:cs="Arial"/>
          <w:sz w:val="28"/>
          <w:szCs w:val="28"/>
          <w:lang w:val="en-GB"/>
        </w:rPr>
        <w:t xml:space="preserve">the cutting, gathering, </w:t>
      </w:r>
      <w:r w:rsidRPr="00A7478D">
        <w:rPr>
          <w:rFonts w:ascii="Century Gothic" w:hAnsi="Century Gothic" w:cs="Arial"/>
          <w:sz w:val="28"/>
          <w:szCs w:val="28"/>
          <w:lang w:val="en-GB"/>
        </w:rPr>
        <w:t>collect</w:t>
      </w:r>
      <w:r>
        <w:rPr>
          <w:rFonts w:ascii="Century Gothic" w:hAnsi="Century Gothic" w:cs="Arial"/>
          <w:sz w:val="28"/>
          <w:szCs w:val="28"/>
          <w:lang w:val="en-GB"/>
        </w:rPr>
        <w:t>ing</w:t>
      </w:r>
      <w:r w:rsidRPr="00A7478D">
        <w:rPr>
          <w:rFonts w:ascii="Century Gothic" w:hAnsi="Century Gothic" w:cs="Arial"/>
          <w:sz w:val="28"/>
          <w:szCs w:val="28"/>
          <w:lang w:val="en-GB"/>
        </w:rPr>
        <w:t>,</w:t>
      </w:r>
      <w:r>
        <w:rPr>
          <w:rFonts w:ascii="Century Gothic" w:hAnsi="Century Gothic" w:cs="Arial"/>
          <w:sz w:val="28"/>
          <w:szCs w:val="28"/>
          <w:lang w:val="en-GB"/>
        </w:rPr>
        <w:t xml:space="preserve"> or </w:t>
      </w:r>
      <w:r w:rsidRPr="00A7478D">
        <w:rPr>
          <w:rFonts w:ascii="Century Gothic" w:hAnsi="Century Gothic" w:cs="Arial"/>
          <w:sz w:val="28"/>
          <w:szCs w:val="28"/>
          <w:lang w:val="en-GB"/>
        </w:rPr>
        <w:t>remov</w:t>
      </w:r>
      <w:r>
        <w:rPr>
          <w:rFonts w:ascii="Century Gothic" w:hAnsi="Century Gothic" w:cs="Arial"/>
          <w:sz w:val="28"/>
          <w:szCs w:val="28"/>
          <w:lang w:val="en-GB"/>
        </w:rPr>
        <w:t>ing of</w:t>
      </w:r>
      <w:r w:rsidRPr="00A7478D">
        <w:rPr>
          <w:rFonts w:ascii="Century Gothic" w:hAnsi="Century Gothic" w:cs="Arial"/>
          <w:sz w:val="28"/>
          <w:szCs w:val="28"/>
          <w:lang w:val="en-GB"/>
        </w:rPr>
        <w:t xml:space="preserve"> timber from </w:t>
      </w:r>
      <w:r w:rsidR="00641706" w:rsidRPr="00641706">
        <w:rPr>
          <w:rFonts w:ascii="Century Gothic" w:hAnsi="Century Gothic" w:cs="Arial"/>
          <w:sz w:val="28"/>
          <w:szCs w:val="28"/>
          <w:lang w:val="en-GB"/>
        </w:rPr>
        <w:t xml:space="preserve">alienable or disposable public land, or from private land </w:t>
      </w:r>
      <w:r>
        <w:rPr>
          <w:rFonts w:ascii="Century Gothic" w:hAnsi="Century Gothic" w:cs="Arial"/>
          <w:sz w:val="28"/>
          <w:szCs w:val="28"/>
          <w:lang w:val="en-GB"/>
        </w:rPr>
        <w:t>without any authority;</w:t>
      </w:r>
      <w:r w:rsidR="00641706">
        <w:rPr>
          <w:rFonts w:ascii="Century Gothic" w:hAnsi="Century Gothic" w:cs="Arial"/>
          <w:sz w:val="28"/>
          <w:szCs w:val="28"/>
          <w:lang w:val="en-GB"/>
        </w:rPr>
        <w:t xml:space="preserve"> and (3) the </w:t>
      </w:r>
      <w:r w:rsidR="00641706" w:rsidRPr="00641706">
        <w:rPr>
          <w:rFonts w:ascii="Century Gothic" w:hAnsi="Century Gothic" w:cs="Arial"/>
          <w:sz w:val="28"/>
          <w:szCs w:val="28"/>
          <w:lang w:val="en-GB"/>
        </w:rPr>
        <w:t>possess</w:t>
      </w:r>
      <w:r w:rsidR="00641706">
        <w:rPr>
          <w:rFonts w:ascii="Century Gothic" w:hAnsi="Century Gothic" w:cs="Arial"/>
          <w:sz w:val="28"/>
          <w:szCs w:val="28"/>
          <w:lang w:val="en-GB"/>
        </w:rPr>
        <w:t>ion of</w:t>
      </w:r>
      <w:r w:rsidR="00641706" w:rsidRPr="00641706">
        <w:rPr>
          <w:rFonts w:ascii="Century Gothic" w:hAnsi="Century Gothic" w:cs="Arial"/>
          <w:sz w:val="28"/>
          <w:szCs w:val="28"/>
          <w:lang w:val="en-GB"/>
        </w:rPr>
        <w:t xml:space="preserve"> timber or other forest products without the legal documents as required under existing forest laws and regulations</w:t>
      </w:r>
      <w:r w:rsidR="00641706">
        <w:rPr>
          <w:rFonts w:ascii="Century Gothic" w:hAnsi="Century Gothic" w:cs="Arial"/>
          <w:sz w:val="28"/>
          <w:szCs w:val="28"/>
          <w:lang w:val="en-GB"/>
        </w:rPr>
        <w:t xml:space="preserve">. </w:t>
      </w:r>
    </w:p>
    <w:p w14:paraId="46ED4AB6" w14:textId="77777777" w:rsidR="00641706" w:rsidRDefault="00641706" w:rsidP="00C708F8">
      <w:pPr>
        <w:spacing w:line="360" w:lineRule="auto"/>
        <w:ind w:firstLine="720"/>
        <w:jc w:val="both"/>
        <w:rPr>
          <w:rFonts w:ascii="Century Gothic" w:hAnsi="Century Gothic" w:cs="Arial"/>
          <w:sz w:val="28"/>
          <w:szCs w:val="28"/>
          <w:lang w:val="en-GB"/>
        </w:rPr>
      </w:pPr>
    </w:p>
    <w:p w14:paraId="7E69E5F3" w14:textId="43374D65" w:rsidR="00641706" w:rsidRDefault="00641706" w:rsidP="00641706">
      <w:pPr>
        <w:ind w:firstLine="720"/>
        <w:jc w:val="both"/>
        <w:rPr>
          <w:rFonts w:ascii="Century Gothic" w:hAnsi="Century Gothic" w:cs="Arial"/>
          <w:sz w:val="28"/>
          <w:szCs w:val="28"/>
          <w:lang w:val="en-GB"/>
        </w:rPr>
      </w:pPr>
      <w:r>
        <w:rPr>
          <w:rFonts w:ascii="Century Gothic" w:hAnsi="Century Gothic" w:cs="Arial"/>
          <w:sz w:val="28"/>
          <w:szCs w:val="28"/>
          <w:lang w:val="en-GB"/>
        </w:rPr>
        <w:t xml:space="preserve">As alleged in the Information, accused </w:t>
      </w:r>
      <w:r w:rsidRPr="000D5473">
        <w:rPr>
          <w:rFonts w:ascii="Century Gothic" w:hAnsi="Century Gothic" w:cs="Arial"/>
          <w:b/>
          <w:sz w:val="28"/>
          <w:szCs w:val="28"/>
          <w:lang w:val="en-GB"/>
        </w:rPr>
        <w:t>RENEE PALLERA SUBRICAREY</w:t>
      </w:r>
      <w:r>
        <w:rPr>
          <w:rFonts w:ascii="Century Gothic" w:hAnsi="Century Gothic" w:cs="Arial"/>
          <w:b/>
          <w:sz w:val="28"/>
          <w:szCs w:val="28"/>
          <w:lang w:val="en-GB"/>
        </w:rPr>
        <w:t xml:space="preserve"> </w:t>
      </w:r>
      <w:r>
        <w:rPr>
          <w:rFonts w:ascii="Century Gothic" w:hAnsi="Century Gothic" w:cs="Arial"/>
          <w:sz w:val="28"/>
          <w:szCs w:val="28"/>
          <w:lang w:val="en-GB"/>
        </w:rPr>
        <w:t>was charged with</w:t>
      </w:r>
      <w:r>
        <w:rPr>
          <w:rFonts w:ascii="Century Gothic" w:hAnsi="Century Gothic" w:cs="Arial"/>
          <w:sz w:val="28"/>
          <w:szCs w:val="28"/>
          <w:lang w:val="en-GB"/>
        </w:rPr>
        <w:t xml:space="preserve"> the </w:t>
      </w:r>
      <w:r w:rsidRPr="00E867C1">
        <w:rPr>
          <w:rFonts w:ascii="Century Gothic" w:hAnsi="Century Gothic" w:cs="Arial"/>
          <w:b/>
          <w:sz w:val="28"/>
          <w:szCs w:val="28"/>
          <w:lang w:val="en-GB"/>
        </w:rPr>
        <w:t>gathering, collecting, possession, control and transportation</w:t>
      </w:r>
      <w:r>
        <w:rPr>
          <w:rFonts w:ascii="Century Gothic" w:hAnsi="Century Gothic" w:cs="Arial"/>
          <w:sz w:val="28"/>
          <w:szCs w:val="28"/>
          <w:lang w:val="en-GB"/>
        </w:rPr>
        <w:t xml:space="preserve"> of</w:t>
      </w:r>
      <w:r w:rsidRPr="00641706">
        <w:rPr>
          <w:rFonts w:ascii="Century Gothic" w:hAnsi="Century Gothic" w:cs="Arial"/>
          <w:sz w:val="28"/>
          <w:szCs w:val="28"/>
          <w:lang w:val="en-GB"/>
        </w:rPr>
        <w:t xml:space="preserve"> </w:t>
      </w:r>
      <w:proofErr w:type="gramStart"/>
      <w:r w:rsidRPr="00641706">
        <w:rPr>
          <w:rFonts w:ascii="Century Gothic" w:hAnsi="Century Gothic" w:cs="Arial"/>
          <w:sz w:val="28"/>
          <w:szCs w:val="28"/>
          <w:lang w:val="en-GB"/>
        </w:rPr>
        <w:t>ninety six</w:t>
      </w:r>
      <w:proofErr w:type="gramEnd"/>
      <w:r w:rsidRPr="00641706">
        <w:rPr>
          <w:rFonts w:ascii="Century Gothic" w:hAnsi="Century Gothic" w:cs="Arial"/>
          <w:sz w:val="28"/>
          <w:szCs w:val="28"/>
          <w:lang w:val="en-GB"/>
        </w:rPr>
        <w:t xml:space="preserve"> (96) pieces of Falcata logs with a volume of 8.80 cubic meters with estimated value of P22,050.00</w:t>
      </w:r>
      <w:r>
        <w:rPr>
          <w:rFonts w:ascii="Century Gothic" w:hAnsi="Century Gothic" w:cs="Arial"/>
          <w:sz w:val="28"/>
          <w:szCs w:val="28"/>
          <w:lang w:val="en-GB"/>
        </w:rPr>
        <w:t xml:space="preserve"> </w:t>
      </w:r>
      <w:r w:rsidRPr="00641706">
        <w:rPr>
          <w:rFonts w:ascii="Century Gothic" w:hAnsi="Century Gothic" w:cs="Arial"/>
          <w:sz w:val="28"/>
          <w:szCs w:val="28"/>
          <w:lang w:val="en-GB"/>
        </w:rPr>
        <w:t>via an Isuzu Forward Truck bearing plate number GJJ-551 owned by MALVIN DELI-DELI</w:t>
      </w:r>
      <w:r>
        <w:rPr>
          <w:rFonts w:ascii="Century Gothic" w:hAnsi="Century Gothic" w:cs="Arial"/>
          <w:sz w:val="28"/>
          <w:szCs w:val="28"/>
          <w:lang w:val="en-GB"/>
        </w:rPr>
        <w:t xml:space="preserve">. </w:t>
      </w:r>
    </w:p>
    <w:p w14:paraId="193E8F4D" w14:textId="77777777" w:rsidR="00641706" w:rsidRDefault="00641706" w:rsidP="00B25F64">
      <w:pPr>
        <w:spacing w:line="360" w:lineRule="auto"/>
        <w:jc w:val="both"/>
        <w:rPr>
          <w:rFonts w:ascii="Century Gothic" w:hAnsi="Century Gothic" w:cs="Arial"/>
          <w:sz w:val="28"/>
          <w:szCs w:val="28"/>
          <w:lang w:val="en-GB"/>
        </w:rPr>
      </w:pPr>
    </w:p>
    <w:p w14:paraId="2252034F" w14:textId="3DD680BE" w:rsidR="00E867C1" w:rsidRDefault="00845907" w:rsidP="00641706">
      <w:pPr>
        <w:ind w:firstLine="720"/>
        <w:jc w:val="both"/>
        <w:rPr>
          <w:rFonts w:ascii="Century Gothic" w:hAnsi="Century Gothic" w:cs="Arial"/>
          <w:sz w:val="28"/>
          <w:szCs w:val="28"/>
          <w:lang w:val="en-GB"/>
        </w:rPr>
      </w:pPr>
      <w:r>
        <w:rPr>
          <w:rFonts w:ascii="Century Gothic" w:hAnsi="Century Gothic" w:cs="Arial"/>
          <w:sz w:val="28"/>
          <w:szCs w:val="28"/>
          <w:lang w:val="en-GB"/>
        </w:rPr>
        <w:t>In this case, it is undisputed that</w:t>
      </w:r>
      <w:r w:rsidR="00A321C6">
        <w:rPr>
          <w:rFonts w:ascii="Century Gothic" w:hAnsi="Century Gothic" w:cs="Arial"/>
          <w:sz w:val="28"/>
          <w:szCs w:val="28"/>
          <w:lang w:val="en-GB"/>
        </w:rPr>
        <w:t xml:space="preserve"> </w:t>
      </w:r>
      <w:r w:rsidR="00E867C1">
        <w:rPr>
          <w:rFonts w:ascii="Century Gothic" w:hAnsi="Century Gothic" w:cs="Arial"/>
          <w:sz w:val="28"/>
          <w:szCs w:val="28"/>
          <w:lang w:val="en-GB"/>
        </w:rPr>
        <w:t xml:space="preserve">the </w:t>
      </w:r>
      <w:r w:rsidR="00E867C1" w:rsidRPr="00641706">
        <w:rPr>
          <w:rFonts w:ascii="Century Gothic" w:hAnsi="Century Gothic" w:cs="Arial"/>
          <w:sz w:val="28"/>
          <w:szCs w:val="28"/>
          <w:lang w:val="en-GB"/>
        </w:rPr>
        <w:t>gather</w:t>
      </w:r>
      <w:r w:rsidR="00E867C1">
        <w:rPr>
          <w:rFonts w:ascii="Century Gothic" w:hAnsi="Century Gothic" w:cs="Arial"/>
          <w:sz w:val="28"/>
          <w:szCs w:val="28"/>
          <w:lang w:val="en-GB"/>
        </w:rPr>
        <w:t>ing</w:t>
      </w:r>
      <w:r w:rsidR="00E867C1" w:rsidRPr="00641706">
        <w:rPr>
          <w:rFonts w:ascii="Century Gothic" w:hAnsi="Century Gothic" w:cs="Arial"/>
          <w:sz w:val="28"/>
          <w:szCs w:val="28"/>
          <w:lang w:val="en-GB"/>
        </w:rPr>
        <w:t>, collect</w:t>
      </w:r>
      <w:r w:rsidR="00C74D3D">
        <w:rPr>
          <w:rFonts w:ascii="Century Gothic" w:hAnsi="Century Gothic" w:cs="Arial"/>
          <w:sz w:val="28"/>
          <w:szCs w:val="28"/>
          <w:lang w:val="en-GB"/>
        </w:rPr>
        <w:t>ion</w:t>
      </w:r>
      <w:r w:rsidR="00E867C1" w:rsidRPr="00641706">
        <w:rPr>
          <w:rFonts w:ascii="Century Gothic" w:hAnsi="Century Gothic" w:cs="Arial"/>
          <w:sz w:val="28"/>
          <w:szCs w:val="28"/>
          <w:lang w:val="en-GB"/>
        </w:rPr>
        <w:t>, possess</w:t>
      </w:r>
      <w:r w:rsidR="00E867C1">
        <w:rPr>
          <w:rFonts w:ascii="Century Gothic" w:hAnsi="Century Gothic" w:cs="Arial"/>
          <w:sz w:val="28"/>
          <w:szCs w:val="28"/>
          <w:lang w:val="en-GB"/>
        </w:rPr>
        <w:t>ion</w:t>
      </w:r>
      <w:r w:rsidR="00E867C1" w:rsidRPr="00641706">
        <w:rPr>
          <w:rFonts w:ascii="Century Gothic" w:hAnsi="Century Gothic" w:cs="Arial"/>
          <w:sz w:val="28"/>
          <w:szCs w:val="28"/>
          <w:lang w:val="en-GB"/>
        </w:rPr>
        <w:t>, control and transport</w:t>
      </w:r>
      <w:r w:rsidR="00E867C1">
        <w:rPr>
          <w:rFonts w:ascii="Century Gothic" w:hAnsi="Century Gothic" w:cs="Arial"/>
          <w:sz w:val="28"/>
          <w:szCs w:val="28"/>
          <w:lang w:val="en-GB"/>
        </w:rPr>
        <w:t xml:space="preserve">ation </w:t>
      </w:r>
      <w:r w:rsidR="00E867C1">
        <w:rPr>
          <w:rFonts w:ascii="Century Gothic" w:hAnsi="Century Gothic" w:cs="Arial"/>
          <w:sz w:val="28"/>
          <w:szCs w:val="28"/>
          <w:lang w:val="en-GB"/>
        </w:rPr>
        <w:t xml:space="preserve">of Falcata logs was made without authority or </w:t>
      </w:r>
      <w:r w:rsidR="00E867C1" w:rsidRPr="00E867C1">
        <w:rPr>
          <w:rFonts w:ascii="Century Gothic" w:hAnsi="Century Gothic" w:cs="Arial"/>
          <w:sz w:val="28"/>
          <w:szCs w:val="28"/>
          <w:lang w:val="en-GB"/>
        </w:rPr>
        <w:t>without the legal documents as required under existing forest laws and regulations</w:t>
      </w:r>
      <w:r w:rsidR="00E867C1">
        <w:rPr>
          <w:rFonts w:ascii="Century Gothic" w:hAnsi="Century Gothic" w:cs="Arial"/>
          <w:sz w:val="28"/>
          <w:szCs w:val="28"/>
          <w:lang w:val="en-GB"/>
        </w:rPr>
        <w:t xml:space="preserve">. </w:t>
      </w:r>
    </w:p>
    <w:p w14:paraId="54FDCE09" w14:textId="77777777" w:rsidR="00E867C1" w:rsidRDefault="00E867C1" w:rsidP="00641706">
      <w:pPr>
        <w:ind w:firstLine="720"/>
        <w:jc w:val="both"/>
        <w:rPr>
          <w:rFonts w:ascii="Century Gothic" w:hAnsi="Century Gothic" w:cs="Arial"/>
          <w:sz w:val="28"/>
          <w:szCs w:val="28"/>
          <w:lang w:val="en-GB"/>
        </w:rPr>
      </w:pPr>
    </w:p>
    <w:p w14:paraId="16589F0C" w14:textId="70593C59" w:rsidR="00C74D3D" w:rsidRDefault="00E867C1" w:rsidP="00C74D3D">
      <w:pPr>
        <w:ind w:firstLine="720"/>
        <w:jc w:val="both"/>
        <w:rPr>
          <w:rFonts w:ascii="Century Gothic" w:hAnsi="Century Gothic" w:cs="Arial"/>
          <w:sz w:val="28"/>
          <w:szCs w:val="28"/>
          <w:lang w:val="en-GB"/>
        </w:rPr>
      </w:pPr>
      <w:r>
        <w:rPr>
          <w:rFonts w:ascii="Century Gothic" w:hAnsi="Century Gothic" w:cs="Arial"/>
          <w:sz w:val="28"/>
          <w:szCs w:val="28"/>
          <w:lang w:val="en-GB"/>
        </w:rPr>
        <w:t xml:space="preserve">Actual possession cannot be attributed to the accused considering that he was not with the truck driver </w:t>
      </w:r>
      <w:proofErr w:type="spellStart"/>
      <w:r>
        <w:rPr>
          <w:rFonts w:ascii="Century Gothic" w:hAnsi="Century Gothic" w:cs="Arial"/>
          <w:sz w:val="28"/>
          <w:szCs w:val="28"/>
          <w:lang w:val="en-GB"/>
        </w:rPr>
        <w:t>Jodil</w:t>
      </w:r>
      <w:proofErr w:type="spellEnd"/>
      <w:r>
        <w:rPr>
          <w:rFonts w:ascii="Century Gothic" w:hAnsi="Century Gothic" w:cs="Arial"/>
          <w:sz w:val="28"/>
          <w:szCs w:val="28"/>
          <w:lang w:val="en-GB"/>
        </w:rPr>
        <w:t xml:space="preserve"> S. </w:t>
      </w:r>
      <w:proofErr w:type="spellStart"/>
      <w:r>
        <w:rPr>
          <w:rFonts w:ascii="Century Gothic" w:hAnsi="Century Gothic" w:cs="Arial"/>
          <w:sz w:val="28"/>
          <w:szCs w:val="28"/>
          <w:lang w:val="en-GB"/>
        </w:rPr>
        <w:t>Madagay</w:t>
      </w:r>
      <w:proofErr w:type="spellEnd"/>
      <w:r>
        <w:rPr>
          <w:rFonts w:ascii="Century Gothic" w:hAnsi="Century Gothic" w:cs="Arial"/>
          <w:sz w:val="28"/>
          <w:szCs w:val="28"/>
          <w:lang w:val="en-GB"/>
        </w:rPr>
        <w:t xml:space="preserve"> and three others at the time of the incident. </w:t>
      </w:r>
      <w:r w:rsidR="00C74D3D">
        <w:rPr>
          <w:rFonts w:ascii="Century Gothic" w:hAnsi="Century Gothic" w:cs="Arial"/>
          <w:sz w:val="28"/>
          <w:szCs w:val="28"/>
          <w:lang w:val="en-GB"/>
        </w:rPr>
        <w:t xml:space="preserve">There is also no evidence identifying the accused as the one who actually gathered and collected the said logs. Hence, it has to be determined whether accused </w:t>
      </w:r>
      <w:bookmarkStart w:id="4" w:name="_Hlk127799084"/>
      <w:r w:rsidR="00C74D3D" w:rsidRPr="000D5473">
        <w:rPr>
          <w:rFonts w:ascii="Century Gothic" w:hAnsi="Century Gothic" w:cs="Arial"/>
          <w:b/>
          <w:sz w:val="28"/>
          <w:szCs w:val="28"/>
          <w:lang w:val="en-GB"/>
        </w:rPr>
        <w:t>RENEE PALLERA SUBRICAREY</w:t>
      </w:r>
      <w:r w:rsidR="00C74D3D">
        <w:rPr>
          <w:rFonts w:ascii="Century Gothic" w:hAnsi="Century Gothic" w:cs="Arial"/>
          <w:b/>
          <w:sz w:val="28"/>
          <w:szCs w:val="28"/>
          <w:lang w:val="en-GB"/>
        </w:rPr>
        <w:t xml:space="preserve"> </w:t>
      </w:r>
      <w:bookmarkEnd w:id="4"/>
      <w:r w:rsidR="00C74D3D">
        <w:rPr>
          <w:rFonts w:ascii="Century Gothic" w:hAnsi="Century Gothic" w:cs="Arial"/>
          <w:sz w:val="28"/>
          <w:szCs w:val="28"/>
          <w:lang w:val="en-GB"/>
        </w:rPr>
        <w:t>can be charged with constructive possession of the said logs which were transported without the prescribed permit or authority</w:t>
      </w:r>
      <w:r w:rsidR="00C74D3D">
        <w:rPr>
          <w:rFonts w:ascii="Century Gothic" w:hAnsi="Century Gothic" w:cs="Arial"/>
          <w:sz w:val="28"/>
          <w:szCs w:val="28"/>
          <w:lang w:val="en-GB"/>
        </w:rPr>
        <w:t xml:space="preserve">, OR whether it was accused who caused the </w:t>
      </w:r>
      <w:r w:rsidR="00C74D3D" w:rsidRPr="00641706">
        <w:rPr>
          <w:rFonts w:ascii="Century Gothic" w:hAnsi="Century Gothic" w:cs="Arial"/>
          <w:sz w:val="28"/>
          <w:szCs w:val="28"/>
          <w:lang w:val="en-GB"/>
        </w:rPr>
        <w:t>gather</w:t>
      </w:r>
      <w:r w:rsidR="00C74D3D">
        <w:rPr>
          <w:rFonts w:ascii="Century Gothic" w:hAnsi="Century Gothic" w:cs="Arial"/>
          <w:sz w:val="28"/>
          <w:szCs w:val="28"/>
          <w:lang w:val="en-GB"/>
        </w:rPr>
        <w:t>ing</w:t>
      </w:r>
      <w:r w:rsidR="00C74D3D" w:rsidRPr="00641706">
        <w:rPr>
          <w:rFonts w:ascii="Century Gothic" w:hAnsi="Century Gothic" w:cs="Arial"/>
          <w:sz w:val="28"/>
          <w:szCs w:val="28"/>
          <w:lang w:val="en-GB"/>
        </w:rPr>
        <w:t>, collect</w:t>
      </w:r>
      <w:r w:rsidR="00C74D3D">
        <w:rPr>
          <w:rFonts w:ascii="Century Gothic" w:hAnsi="Century Gothic" w:cs="Arial"/>
          <w:sz w:val="28"/>
          <w:szCs w:val="28"/>
          <w:lang w:val="en-GB"/>
        </w:rPr>
        <w:t>ion</w:t>
      </w:r>
      <w:r w:rsidR="00C74D3D">
        <w:rPr>
          <w:rFonts w:ascii="Century Gothic" w:hAnsi="Century Gothic" w:cs="Arial"/>
          <w:sz w:val="28"/>
          <w:szCs w:val="28"/>
          <w:lang w:val="en-GB"/>
        </w:rPr>
        <w:t xml:space="preserve"> and transportation of the same. </w:t>
      </w:r>
    </w:p>
    <w:p w14:paraId="2A6D1952" w14:textId="36712359" w:rsidR="00FA78D6" w:rsidRDefault="00FA78D6" w:rsidP="007837C3">
      <w:pPr>
        <w:spacing w:line="360" w:lineRule="auto"/>
        <w:jc w:val="both"/>
        <w:rPr>
          <w:rFonts w:ascii="Century Gothic" w:hAnsi="Century Gothic" w:cs="Arial"/>
          <w:sz w:val="28"/>
          <w:szCs w:val="28"/>
          <w:lang w:val="en-GB"/>
        </w:rPr>
      </w:pPr>
    </w:p>
    <w:p w14:paraId="2D65EEE4" w14:textId="2142D1A2" w:rsidR="00FA78D6" w:rsidRDefault="00FA78D6" w:rsidP="00C74D3D">
      <w:pPr>
        <w:ind w:firstLine="720"/>
        <w:jc w:val="both"/>
        <w:rPr>
          <w:rFonts w:ascii="Century Gothic" w:hAnsi="Century Gothic" w:cs="Arial"/>
          <w:sz w:val="28"/>
          <w:szCs w:val="28"/>
          <w:lang w:val="en-GB"/>
        </w:rPr>
      </w:pPr>
      <w:r>
        <w:rPr>
          <w:rFonts w:ascii="Century Gothic" w:hAnsi="Century Gothic" w:cs="Arial"/>
          <w:sz w:val="28"/>
          <w:szCs w:val="28"/>
          <w:lang w:val="en-GB"/>
        </w:rPr>
        <w:t>When applied to violations of PD 705, p</w:t>
      </w:r>
      <w:r w:rsidRPr="00FA78D6">
        <w:rPr>
          <w:rFonts w:ascii="Century Gothic" w:hAnsi="Century Gothic" w:cs="Arial"/>
          <w:sz w:val="28"/>
          <w:szCs w:val="28"/>
          <w:lang w:val="en-GB"/>
        </w:rPr>
        <w:t>ossession, under the law, includes not only actual possession, but also constructive possession. Actual possession exists when the object of the crime is in the immediate physical control of the accused. On the other hand, constructive possession exists when the object of the crime is under the dominion and control of the accused or when he has the right to exercise dominion and control over the place where it is found.</w:t>
      </w:r>
      <w:r>
        <w:rPr>
          <w:rStyle w:val="FootnoteReference"/>
          <w:rFonts w:ascii="Century Gothic" w:hAnsi="Century Gothic" w:cs="Arial"/>
          <w:sz w:val="28"/>
          <w:szCs w:val="28"/>
          <w:lang w:val="en-GB"/>
        </w:rPr>
        <w:footnoteReference w:id="34"/>
      </w:r>
    </w:p>
    <w:p w14:paraId="348A0C24" w14:textId="77777777" w:rsidR="00C74D3D" w:rsidRDefault="00C74D3D" w:rsidP="007837C3">
      <w:pPr>
        <w:spacing w:line="360" w:lineRule="auto"/>
        <w:jc w:val="both"/>
        <w:rPr>
          <w:rFonts w:ascii="Century Gothic" w:hAnsi="Century Gothic" w:cs="Arial"/>
          <w:sz w:val="28"/>
          <w:szCs w:val="28"/>
          <w:lang w:val="en-GB"/>
        </w:rPr>
      </w:pPr>
    </w:p>
    <w:p w14:paraId="68350B02" w14:textId="73272050" w:rsidR="00D704FB" w:rsidRPr="00D704FB" w:rsidRDefault="00D704FB" w:rsidP="00F420FC">
      <w:pPr>
        <w:ind w:firstLine="720"/>
        <w:jc w:val="both"/>
        <w:rPr>
          <w:rFonts w:ascii="Century Gothic" w:hAnsi="Century Gothic" w:cs="Arial"/>
          <w:sz w:val="28"/>
          <w:szCs w:val="28"/>
          <w:lang w:val="en-GB"/>
        </w:rPr>
      </w:pPr>
      <w:r>
        <w:rPr>
          <w:rFonts w:ascii="Century Gothic" w:hAnsi="Century Gothic" w:cs="Arial"/>
          <w:sz w:val="28"/>
          <w:szCs w:val="28"/>
          <w:lang w:val="en-GB"/>
        </w:rPr>
        <w:t xml:space="preserve">A perusal of the exhibits formally offered as well as that of the testimonies of the prosecution’s witnesses will show that there is </w:t>
      </w:r>
      <w:r w:rsidR="00334B1C">
        <w:rPr>
          <w:rFonts w:ascii="Century Gothic" w:hAnsi="Century Gothic" w:cs="Arial"/>
          <w:sz w:val="28"/>
          <w:szCs w:val="28"/>
          <w:lang w:val="en-GB"/>
        </w:rPr>
        <w:t>insufficient</w:t>
      </w:r>
      <w:r>
        <w:rPr>
          <w:rFonts w:ascii="Century Gothic" w:hAnsi="Century Gothic" w:cs="Arial"/>
          <w:sz w:val="28"/>
          <w:szCs w:val="28"/>
          <w:lang w:val="en-GB"/>
        </w:rPr>
        <w:t xml:space="preserve"> evidence to prove the guilt of accused </w:t>
      </w:r>
      <w:r w:rsidRPr="000D5473">
        <w:rPr>
          <w:rFonts w:ascii="Century Gothic" w:hAnsi="Century Gothic" w:cs="Arial"/>
          <w:b/>
          <w:sz w:val="28"/>
          <w:szCs w:val="28"/>
          <w:lang w:val="en-GB"/>
        </w:rPr>
        <w:t>RENEE PALLERA SUBRICAREY</w:t>
      </w:r>
      <w:r>
        <w:rPr>
          <w:rFonts w:ascii="Century Gothic" w:hAnsi="Century Gothic" w:cs="Arial"/>
          <w:b/>
          <w:sz w:val="28"/>
          <w:szCs w:val="28"/>
          <w:lang w:val="en-GB"/>
        </w:rPr>
        <w:t xml:space="preserve"> </w:t>
      </w:r>
      <w:r>
        <w:rPr>
          <w:rFonts w:ascii="Century Gothic" w:hAnsi="Century Gothic" w:cs="Arial"/>
          <w:sz w:val="28"/>
          <w:szCs w:val="28"/>
          <w:lang w:val="en-GB"/>
        </w:rPr>
        <w:t xml:space="preserve">either by constructive possession of the Falcata logs or by </w:t>
      </w:r>
      <w:r w:rsidR="00FA78D6">
        <w:rPr>
          <w:rFonts w:ascii="Century Gothic" w:hAnsi="Century Gothic" w:cs="Arial"/>
          <w:sz w:val="28"/>
          <w:szCs w:val="28"/>
          <w:lang w:val="en-GB"/>
        </w:rPr>
        <w:t xml:space="preserve">causing </w:t>
      </w:r>
      <w:r>
        <w:rPr>
          <w:rFonts w:ascii="Century Gothic" w:hAnsi="Century Gothic" w:cs="Arial"/>
          <w:sz w:val="28"/>
          <w:szCs w:val="28"/>
          <w:lang w:val="en-GB"/>
        </w:rPr>
        <w:t xml:space="preserve">the </w:t>
      </w:r>
      <w:r w:rsidRPr="00641706">
        <w:rPr>
          <w:rFonts w:ascii="Century Gothic" w:hAnsi="Century Gothic" w:cs="Arial"/>
          <w:sz w:val="28"/>
          <w:szCs w:val="28"/>
          <w:lang w:val="en-GB"/>
        </w:rPr>
        <w:t>gather</w:t>
      </w:r>
      <w:r>
        <w:rPr>
          <w:rFonts w:ascii="Century Gothic" w:hAnsi="Century Gothic" w:cs="Arial"/>
          <w:sz w:val="28"/>
          <w:szCs w:val="28"/>
          <w:lang w:val="en-GB"/>
        </w:rPr>
        <w:t>ing</w:t>
      </w:r>
      <w:r w:rsidRPr="00641706">
        <w:rPr>
          <w:rFonts w:ascii="Century Gothic" w:hAnsi="Century Gothic" w:cs="Arial"/>
          <w:sz w:val="28"/>
          <w:szCs w:val="28"/>
          <w:lang w:val="en-GB"/>
        </w:rPr>
        <w:t>, collect</w:t>
      </w:r>
      <w:r>
        <w:rPr>
          <w:rFonts w:ascii="Century Gothic" w:hAnsi="Century Gothic" w:cs="Arial"/>
          <w:sz w:val="28"/>
          <w:szCs w:val="28"/>
          <w:lang w:val="en-GB"/>
        </w:rPr>
        <w:t>ion and transportation</w:t>
      </w:r>
      <w:r>
        <w:rPr>
          <w:rFonts w:ascii="Century Gothic" w:hAnsi="Century Gothic" w:cs="Arial"/>
          <w:sz w:val="28"/>
          <w:szCs w:val="28"/>
          <w:lang w:val="en-GB"/>
        </w:rPr>
        <w:t xml:space="preserve"> of the same without the prescribed permit or authority. </w:t>
      </w:r>
    </w:p>
    <w:p w14:paraId="1374504A" w14:textId="77777777" w:rsidR="00D704FB" w:rsidRDefault="00D704FB" w:rsidP="007837C3">
      <w:pPr>
        <w:spacing w:line="360" w:lineRule="auto"/>
        <w:jc w:val="both"/>
        <w:rPr>
          <w:rFonts w:ascii="Century Gothic" w:hAnsi="Century Gothic" w:cs="Arial"/>
          <w:sz w:val="28"/>
          <w:szCs w:val="28"/>
          <w:lang w:val="en-GB"/>
        </w:rPr>
      </w:pPr>
    </w:p>
    <w:p w14:paraId="088903DC" w14:textId="55F42D22" w:rsidR="00E867C1" w:rsidRPr="00F420FC" w:rsidRDefault="00D704FB" w:rsidP="00F420FC">
      <w:pPr>
        <w:ind w:firstLine="720"/>
        <w:jc w:val="both"/>
        <w:rPr>
          <w:rFonts w:ascii="Century Gothic" w:hAnsi="Century Gothic" w:cs="Arial"/>
          <w:sz w:val="28"/>
          <w:szCs w:val="28"/>
        </w:rPr>
      </w:pPr>
      <w:r>
        <w:rPr>
          <w:rFonts w:ascii="Century Gothic" w:hAnsi="Century Gothic" w:cs="Arial"/>
          <w:sz w:val="28"/>
          <w:szCs w:val="28"/>
          <w:lang w:val="en-GB"/>
        </w:rPr>
        <w:t xml:space="preserve"> </w:t>
      </w:r>
      <w:r w:rsidR="00A010A4">
        <w:rPr>
          <w:rFonts w:ascii="Century Gothic" w:hAnsi="Century Gothic" w:cs="Arial"/>
          <w:sz w:val="28"/>
          <w:szCs w:val="28"/>
          <w:lang w:val="en-GB"/>
        </w:rPr>
        <w:t>Based on the prosecution’s Resolution</w:t>
      </w:r>
      <w:r w:rsidR="00F420FC">
        <w:rPr>
          <w:rStyle w:val="FootnoteReference"/>
          <w:rFonts w:ascii="Century Gothic" w:hAnsi="Century Gothic" w:cs="Arial"/>
          <w:sz w:val="28"/>
          <w:szCs w:val="28"/>
          <w:lang w:val="en-GB"/>
        </w:rPr>
        <w:footnoteReference w:id="35"/>
      </w:r>
      <w:r w:rsidR="00A010A4">
        <w:rPr>
          <w:rFonts w:ascii="Century Gothic" w:hAnsi="Century Gothic" w:cs="Arial"/>
          <w:sz w:val="28"/>
          <w:szCs w:val="28"/>
          <w:lang w:val="en-GB"/>
        </w:rPr>
        <w:t xml:space="preserve">, quoting from the </w:t>
      </w:r>
      <w:r w:rsidR="002A28A9">
        <w:rPr>
          <w:rFonts w:ascii="Century Gothic" w:hAnsi="Century Gothic" w:cs="Arial"/>
          <w:sz w:val="28"/>
          <w:szCs w:val="28"/>
        </w:rPr>
        <w:t>S</w:t>
      </w:r>
      <w:r w:rsidR="002A28A9" w:rsidRPr="006752A7">
        <w:rPr>
          <w:rFonts w:ascii="Century Gothic" w:hAnsi="Century Gothic" w:cs="Arial"/>
          <w:sz w:val="28"/>
          <w:szCs w:val="28"/>
        </w:rPr>
        <w:t xml:space="preserve">ummary of </w:t>
      </w:r>
      <w:r w:rsidR="002A28A9">
        <w:rPr>
          <w:rFonts w:ascii="Century Gothic" w:hAnsi="Century Gothic" w:cs="Arial"/>
          <w:sz w:val="28"/>
          <w:szCs w:val="28"/>
        </w:rPr>
        <w:t xml:space="preserve">the </w:t>
      </w:r>
      <w:r w:rsidR="002A28A9" w:rsidRPr="006752A7">
        <w:rPr>
          <w:rFonts w:ascii="Century Gothic" w:hAnsi="Century Gothic" w:cs="Arial"/>
          <w:sz w:val="28"/>
          <w:szCs w:val="28"/>
        </w:rPr>
        <w:t>Administrative Proceedings</w:t>
      </w:r>
      <w:r w:rsidR="002A28A9">
        <w:rPr>
          <w:rFonts w:ascii="Century Gothic" w:hAnsi="Century Gothic" w:cs="Arial"/>
          <w:sz w:val="28"/>
          <w:szCs w:val="28"/>
        </w:rPr>
        <w:t xml:space="preserve"> on the Case</w:t>
      </w:r>
      <w:r w:rsidR="002A28A9" w:rsidRPr="006752A7">
        <w:rPr>
          <w:rFonts w:ascii="Century Gothic" w:hAnsi="Century Gothic" w:cs="Arial"/>
          <w:sz w:val="28"/>
          <w:szCs w:val="28"/>
        </w:rPr>
        <w:t xml:space="preserve"> No. 021319</w:t>
      </w:r>
      <w:r w:rsidR="002A28A9">
        <w:rPr>
          <w:rFonts w:ascii="Century Gothic" w:hAnsi="Century Gothic" w:cs="Arial"/>
          <w:sz w:val="28"/>
          <w:szCs w:val="28"/>
        </w:rPr>
        <w:t>,</w:t>
      </w:r>
      <w:r w:rsidR="002A28A9">
        <w:rPr>
          <w:rStyle w:val="FootnoteReference"/>
          <w:rFonts w:ascii="Century Gothic" w:hAnsi="Century Gothic" w:cs="Arial"/>
          <w:sz w:val="28"/>
          <w:szCs w:val="28"/>
        </w:rPr>
        <w:footnoteReference w:id="36"/>
      </w:r>
      <w:r w:rsidR="002A28A9">
        <w:rPr>
          <w:rFonts w:ascii="Century Gothic" w:hAnsi="Century Gothic" w:cs="Arial"/>
          <w:sz w:val="28"/>
          <w:szCs w:val="28"/>
        </w:rPr>
        <w:t xml:space="preserve"> </w:t>
      </w:r>
      <w:r w:rsidR="002A28A9">
        <w:rPr>
          <w:rFonts w:ascii="Century Gothic" w:hAnsi="Century Gothic" w:cs="Arial"/>
          <w:sz w:val="28"/>
          <w:szCs w:val="28"/>
        </w:rPr>
        <w:t xml:space="preserve">it gave credence to the testimony of the truck driver, </w:t>
      </w:r>
      <w:proofErr w:type="spellStart"/>
      <w:r w:rsidR="002A28A9">
        <w:rPr>
          <w:rFonts w:ascii="Century Gothic" w:hAnsi="Century Gothic" w:cs="Arial"/>
          <w:sz w:val="28"/>
          <w:szCs w:val="28"/>
        </w:rPr>
        <w:t>Jodil</w:t>
      </w:r>
      <w:proofErr w:type="spellEnd"/>
      <w:r w:rsidR="002A28A9">
        <w:rPr>
          <w:rFonts w:ascii="Century Gothic" w:hAnsi="Century Gothic" w:cs="Arial"/>
          <w:sz w:val="28"/>
          <w:szCs w:val="28"/>
        </w:rPr>
        <w:t xml:space="preserve"> </w:t>
      </w:r>
      <w:proofErr w:type="spellStart"/>
      <w:r w:rsidR="002A28A9">
        <w:rPr>
          <w:rFonts w:ascii="Century Gothic" w:hAnsi="Century Gothic" w:cs="Arial"/>
          <w:sz w:val="28"/>
          <w:szCs w:val="28"/>
        </w:rPr>
        <w:t>Magdagay</w:t>
      </w:r>
      <w:proofErr w:type="spellEnd"/>
      <w:r w:rsidR="002A28A9">
        <w:rPr>
          <w:rFonts w:ascii="Century Gothic" w:hAnsi="Century Gothic" w:cs="Arial"/>
          <w:sz w:val="28"/>
          <w:szCs w:val="28"/>
        </w:rPr>
        <w:t xml:space="preserve"> who denied personal knowledge of the transaction which caused the illegal transportation of the logs, as it was only “between MR. MALVIN DELI-DELI and MR. REY SOBRICAREY.” </w:t>
      </w:r>
      <w:r w:rsidR="00F420FC">
        <w:rPr>
          <w:rFonts w:ascii="Century Gothic" w:hAnsi="Century Gothic" w:cs="Arial"/>
          <w:sz w:val="28"/>
          <w:szCs w:val="28"/>
        </w:rPr>
        <w:t>Moreover, the Joint Affidavit</w:t>
      </w:r>
      <w:r w:rsidR="00CA111F">
        <w:rPr>
          <w:rStyle w:val="FootnoteReference"/>
          <w:rFonts w:ascii="Century Gothic" w:hAnsi="Century Gothic" w:cs="Arial"/>
          <w:sz w:val="28"/>
          <w:szCs w:val="28"/>
        </w:rPr>
        <w:footnoteReference w:id="37"/>
      </w:r>
      <w:r w:rsidR="00F420FC">
        <w:rPr>
          <w:rFonts w:ascii="Century Gothic" w:hAnsi="Century Gothic" w:cs="Arial"/>
          <w:sz w:val="28"/>
          <w:szCs w:val="28"/>
        </w:rPr>
        <w:t xml:space="preserve"> executed by Officer </w:t>
      </w:r>
      <w:proofErr w:type="spellStart"/>
      <w:r w:rsidR="00F420FC">
        <w:rPr>
          <w:rFonts w:ascii="Century Gothic" w:hAnsi="Century Gothic" w:cs="Arial"/>
          <w:sz w:val="28"/>
          <w:szCs w:val="28"/>
        </w:rPr>
        <w:t>Peńalas</w:t>
      </w:r>
      <w:proofErr w:type="spellEnd"/>
      <w:r w:rsidR="00F420FC">
        <w:rPr>
          <w:rFonts w:ascii="Century Gothic" w:hAnsi="Century Gothic" w:cs="Arial"/>
          <w:sz w:val="28"/>
          <w:szCs w:val="28"/>
        </w:rPr>
        <w:t xml:space="preserve"> </w:t>
      </w:r>
      <w:r w:rsidR="008A2E87">
        <w:rPr>
          <w:rFonts w:ascii="Century Gothic" w:hAnsi="Century Gothic" w:cs="Arial"/>
          <w:sz w:val="28"/>
          <w:szCs w:val="28"/>
        </w:rPr>
        <w:t xml:space="preserve">identified accused as the alleged owner of the confiscated forest products. </w:t>
      </w:r>
      <w:r w:rsidR="00CA111F">
        <w:rPr>
          <w:rFonts w:ascii="Century Gothic" w:hAnsi="Century Gothic" w:cs="Arial"/>
          <w:sz w:val="28"/>
          <w:szCs w:val="28"/>
        </w:rPr>
        <w:t>In t</w:t>
      </w:r>
      <w:r w:rsidR="00E84D33">
        <w:rPr>
          <w:rFonts w:ascii="Century Gothic" w:hAnsi="Century Gothic" w:cs="Arial"/>
          <w:sz w:val="28"/>
          <w:szCs w:val="28"/>
        </w:rPr>
        <w:t>he Affidavit</w:t>
      </w:r>
      <w:r w:rsidR="00CA111F">
        <w:rPr>
          <w:rStyle w:val="FootnoteReference"/>
          <w:rFonts w:ascii="Century Gothic" w:hAnsi="Century Gothic" w:cs="Arial"/>
          <w:sz w:val="28"/>
          <w:szCs w:val="28"/>
        </w:rPr>
        <w:footnoteReference w:id="38"/>
      </w:r>
      <w:r w:rsidR="00E84D33">
        <w:rPr>
          <w:rFonts w:ascii="Century Gothic" w:hAnsi="Century Gothic" w:cs="Arial"/>
          <w:sz w:val="28"/>
          <w:szCs w:val="28"/>
        </w:rPr>
        <w:t xml:space="preserve"> of truck owner </w:t>
      </w:r>
      <w:proofErr w:type="spellStart"/>
      <w:r w:rsidR="00E84D33">
        <w:rPr>
          <w:rFonts w:ascii="Century Gothic" w:hAnsi="Century Gothic" w:cs="Arial"/>
          <w:sz w:val="28"/>
          <w:szCs w:val="28"/>
        </w:rPr>
        <w:t>Malvin</w:t>
      </w:r>
      <w:proofErr w:type="spellEnd"/>
      <w:r w:rsidR="00E84D33">
        <w:rPr>
          <w:rFonts w:ascii="Century Gothic" w:hAnsi="Century Gothic" w:cs="Arial"/>
          <w:sz w:val="28"/>
          <w:szCs w:val="28"/>
        </w:rPr>
        <w:t xml:space="preserve"> </w:t>
      </w:r>
      <w:proofErr w:type="spellStart"/>
      <w:r w:rsidR="00E84D33">
        <w:rPr>
          <w:rFonts w:ascii="Century Gothic" w:hAnsi="Century Gothic" w:cs="Arial"/>
          <w:sz w:val="28"/>
          <w:szCs w:val="28"/>
        </w:rPr>
        <w:t>Delideli</w:t>
      </w:r>
      <w:proofErr w:type="spellEnd"/>
      <w:r w:rsidR="00CA111F">
        <w:rPr>
          <w:rFonts w:ascii="Century Gothic" w:hAnsi="Century Gothic" w:cs="Arial"/>
          <w:sz w:val="28"/>
          <w:szCs w:val="28"/>
        </w:rPr>
        <w:t xml:space="preserve">, he stated that it was accused who called him </w:t>
      </w:r>
      <w:r w:rsidR="00CA111F">
        <w:rPr>
          <w:rFonts w:ascii="Century Gothic" w:hAnsi="Century Gothic" w:cs="Arial"/>
          <w:sz w:val="28"/>
          <w:szCs w:val="28"/>
        </w:rPr>
        <w:lastRenderedPageBreak/>
        <w:t xml:space="preserve">asking to hire his truck for the transportation of Falcata logs from </w:t>
      </w:r>
      <w:proofErr w:type="spellStart"/>
      <w:r w:rsidR="00CA111F">
        <w:rPr>
          <w:rFonts w:ascii="Century Gothic" w:hAnsi="Century Gothic" w:cs="Arial"/>
          <w:sz w:val="28"/>
          <w:szCs w:val="28"/>
        </w:rPr>
        <w:t>Brgy</w:t>
      </w:r>
      <w:proofErr w:type="spellEnd"/>
      <w:r w:rsidR="00CA111F">
        <w:rPr>
          <w:rFonts w:ascii="Century Gothic" w:hAnsi="Century Gothic" w:cs="Arial"/>
          <w:sz w:val="28"/>
          <w:szCs w:val="28"/>
        </w:rPr>
        <w:t xml:space="preserve">. </w:t>
      </w:r>
      <w:proofErr w:type="spellStart"/>
      <w:r w:rsidR="00CA111F">
        <w:rPr>
          <w:rFonts w:ascii="Century Gothic" w:hAnsi="Century Gothic" w:cs="Arial"/>
          <w:sz w:val="28"/>
          <w:szCs w:val="28"/>
        </w:rPr>
        <w:t>Sangab</w:t>
      </w:r>
      <w:proofErr w:type="spellEnd"/>
      <w:r w:rsidR="00CA111F">
        <w:rPr>
          <w:rFonts w:ascii="Century Gothic" w:hAnsi="Century Gothic" w:cs="Arial"/>
          <w:sz w:val="28"/>
          <w:szCs w:val="28"/>
        </w:rPr>
        <w:t xml:space="preserve">, Maco, and assured him that the logs are covered with necessary permits.  </w:t>
      </w:r>
    </w:p>
    <w:p w14:paraId="58A362F4" w14:textId="77777777" w:rsidR="00E867C1" w:rsidRDefault="00E867C1" w:rsidP="007837C3">
      <w:pPr>
        <w:spacing w:line="360" w:lineRule="auto"/>
        <w:jc w:val="both"/>
        <w:rPr>
          <w:rFonts w:ascii="Century Gothic" w:hAnsi="Century Gothic" w:cs="Arial"/>
          <w:sz w:val="28"/>
          <w:szCs w:val="28"/>
          <w:lang w:val="en-GB"/>
        </w:rPr>
      </w:pPr>
    </w:p>
    <w:p w14:paraId="080BB874" w14:textId="77777777" w:rsidR="00D704FB" w:rsidRDefault="00CA111F" w:rsidP="00641706">
      <w:pPr>
        <w:ind w:firstLine="720"/>
        <w:jc w:val="both"/>
        <w:rPr>
          <w:rFonts w:ascii="Century Gothic" w:hAnsi="Century Gothic" w:cs="Arial"/>
          <w:sz w:val="28"/>
          <w:szCs w:val="28"/>
          <w:lang w:val="en-GB"/>
        </w:rPr>
      </w:pPr>
      <w:r>
        <w:rPr>
          <w:rFonts w:ascii="Century Gothic" w:hAnsi="Century Gothic" w:cs="Arial"/>
          <w:sz w:val="28"/>
          <w:szCs w:val="28"/>
          <w:lang w:val="en-GB"/>
        </w:rPr>
        <w:t xml:space="preserve">In the </w:t>
      </w:r>
      <w:r>
        <w:rPr>
          <w:rFonts w:ascii="Century Gothic" w:hAnsi="Century Gothic" w:cs="Arial"/>
          <w:sz w:val="28"/>
          <w:szCs w:val="28"/>
        </w:rPr>
        <w:t>S</w:t>
      </w:r>
      <w:r w:rsidRPr="006752A7">
        <w:rPr>
          <w:rFonts w:ascii="Century Gothic" w:hAnsi="Century Gothic" w:cs="Arial"/>
          <w:sz w:val="28"/>
          <w:szCs w:val="28"/>
        </w:rPr>
        <w:t xml:space="preserve">ummary of </w:t>
      </w:r>
      <w:r>
        <w:rPr>
          <w:rFonts w:ascii="Century Gothic" w:hAnsi="Century Gothic" w:cs="Arial"/>
          <w:sz w:val="28"/>
          <w:szCs w:val="28"/>
        </w:rPr>
        <w:t xml:space="preserve">the </w:t>
      </w:r>
      <w:r w:rsidRPr="006752A7">
        <w:rPr>
          <w:rFonts w:ascii="Century Gothic" w:hAnsi="Century Gothic" w:cs="Arial"/>
          <w:sz w:val="28"/>
          <w:szCs w:val="28"/>
        </w:rPr>
        <w:t>Administrative Proceedings</w:t>
      </w:r>
      <w:r>
        <w:rPr>
          <w:rFonts w:ascii="Century Gothic" w:hAnsi="Century Gothic" w:cs="Arial"/>
          <w:sz w:val="28"/>
          <w:szCs w:val="28"/>
        </w:rPr>
        <w:t xml:space="preserve"> on the Case</w:t>
      </w:r>
      <w:r w:rsidRPr="006752A7">
        <w:rPr>
          <w:rFonts w:ascii="Century Gothic" w:hAnsi="Century Gothic" w:cs="Arial"/>
          <w:sz w:val="28"/>
          <w:szCs w:val="28"/>
        </w:rPr>
        <w:t xml:space="preserve"> No. 021319</w:t>
      </w:r>
      <w:r>
        <w:rPr>
          <w:rFonts w:ascii="Century Gothic" w:hAnsi="Century Gothic" w:cs="Arial"/>
          <w:sz w:val="28"/>
          <w:szCs w:val="28"/>
        </w:rPr>
        <w:t>,</w:t>
      </w:r>
      <w:r>
        <w:rPr>
          <w:rStyle w:val="FootnoteReference"/>
          <w:rFonts w:ascii="Century Gothic" w:hAnsi="Century Gothic" w:cs="Arial"/>
          <w:sz w:val="28"/>
          <w:szCs w:val="28"/>
        </w:rPr>
        <w:footnoteReference w:id="39"/>
      </w:r>
      <w:r>
        <w:rPr>
          <w:rFonts w:ascii="Century Gothic" w:hAnsi="Century Gothic" w:cs="Arial"/>
          <w:sz w:val="28"/>
          <w:szCs w:val="28"/>
        </w:rPr>
        <w:t xml:space="preserve"> </w:t>
      </w:r>
      <w:r w:rsidR="00F23E32">
        <w:rPr>
          <w:rFonts w:ascii="Century Gothic" w:hAnsi="Century Gothic" w:cs="Arial"/>
          <w:sz w:val="28"/>
          <w:szCs w:val="28"/>
        </w:rPr>
        <w:t xml:space="preserve">aside from the representation of truck owner </w:t>
      </w:r>
      <w:proofErr w:type="spellStart"/>
      <w:r w:rsidR="00F23E32">
        <w:rPr>
          <w:rFonts w:ascii="Century Gothic" w:hAnsi="Century Gothic" w:cs="Arial"/>
          <w:sz w:val="28"/>
          <w:szCs w:val="28"/>
        </w:rPr>
        <w:t>Malvin</w:t>
      </w:r>
      <w:proofErr w:type="spellEnd"/>
      <w:r w:rsidR="00F23E32">
        <w:rPr>
          <w:rFonts w:ascii="Century Gothic" w:hAnsi="Century Gothic" w:cs="Arial"/>
          <w:sz w:val="28"/>
          <w:szCs w:val="28"/>
        </w:rPr>
        <w:t xml:space="preserve"> Deli-deli of his transaction with </w:t>
      </w:r>
      <w:r w:rsidR="00F23E32" w:rsidRPr="000D5473">
        <w:rPr>
          <w:rFonts w:ascii="Century Gothic" w:hAnsi="Century Gothic" w:cs="Arial"/>
          <w:b/>
          <w:sz w:val="28"/>
          <w:szCs w:val="28"/>
          <w:lang w:val="en-GB"/>
        </w:rPr>
        <w:t>RENEE PALLERA SUBRICAREY</w:t>
      </w:r>
      <w:r w:rsidR="00F23E32">
        <w:rPr>
          <w:rFonts w:ascii="Century Gothic" w:hAnsi="Century Gothic" w:cs="Arial"/>
          <w:sz w:val="28"/>
          <w:szCs w:val="28"/>
        </w:rPr>
        <w:t xml:space="preserve">, </w:t>
      </w:r>
      <w:r w:rsidR="00A321C6">
        <w:rPr>
          <w:rFonts w:ascii="Century Gothic" w:hAnsi="Century Gothic" w:cs="Arial"/>
          <w:sz w:val="28"/>
          <w:szCs w:val="28"/>
          <w:lang w:val="en-GB"/>
        </w:rPr>
        <w:t xml:space="preserve">the </w:t>
      </w:r>
      <w:r w:rsidR="00F23E32">
        <w:rPr>
          <w:rFonts w:ascii="Century Gothic" w:hAnsi="Century Gothic" w:cs="Arial"/>
          <w:sz w:val="28"/>
          <w:szCs w:val="28"/>
          <w:lang w:val="en-GB"/>
        </w:rPr>
        <w:t xml:space="preserve">name of accused was mentioned by the apprehending officer CPL Russell O. </w:t>
      </w:r>
      <w:proofErr w:type="spellStart"/>
      <w:r w:rsidR="00F23E32">
        <w:rPr>
          <w:rFonts w:ascii="Century Gothic" w:hAnsi="Century Gothic" w:cs="Arial"/>
          <w:sz w:val="28"/>
          <w:szCs w:val="28"/>
          <w:lang w:val="en-GB"/>
        </w:rPr>
        <w:t>Calica</w:t>
      </w:r>
      <w:proofErr w:type="spellEnd"/>
      <w:r w:rsidR="00F23E32">
        <w:rPr>
          <w:rFonts w:ascii="Century Gothic" w:hAnsi="Century Gothic" w:cs="Arial"/>
          <w:sz w:val="28"/>
          <w:szCs w:val="28"/>
          <w:lang w:val="en-GB"/>
        </w:rPr>
        <w:t xml:space="preserve"> as the owner of the forest product. It was also mentioned by truck driver </w:t>
      </w:r>
      <w:proofErr w:type="spellStart"/>
      <w:r w:rsidR="00F23E32">
        <w:rPr>
          <w:rFonts w:ascii="Century Gothic" w:hAnsi="Century Gothic" w:cs="Arial"/>
          <w:sz w:val="28"/>
          <w:szCs w:val="28"/>
          <w:lang w:val="en-GB"/>
        </w:rPr>
        <w:t>Jodil</w:t>
      </w:r>
      <w:proofErr w:type="spellEnd"/>
      <w:r w:rsidR="00F23E32">
        <w:rPr>
          <w:rFonts w:ascii="Century Gothic" w:hAnsi="Century Gothic" w:cs="Arial"/>
          <w:sz w:val="28"/>
          <w:szCs w:val="28"/>
          <w:lang w:val="en-GB"/>
        </w:rPr>
        <w:t xml:space="preserve"> S. </w:t>
      </w:r>
      <w:proofErr w:type="spellStart"/>
      <w:r w:rsidR="00F23E32">
        <w:rPr>
          <w:rFonts w:ascii="Century Gothic" w:hAnsi="Century Gothic" w:cs="Arial"/>
          <w:sz w:val="28"/>
          <w:szCs w:val="28"/>
          <w:lang w:val="en-GB"/>
        </w:rPr>
        <w:t>Magdagay</w:t>
      </w:r>
      <w:proofErr w:type="spellEnd"/>
      <w:r w:rsidR="00F23E32">
        <w:rPr>
          <w:rFonts w:ascii="Century Gothic" w:hAnsi="Century Gothic" w:cs="Arial"/>
          <w:sz w:val="28"/>
          <w:szCs w:val="28"/>
          <w:lang w:val="en-GB"/>
        </w:rPr>
        <w:t xml:space="preserve"> identifying accused as the occupant of the area where the logs originated, hence, the owner of the logs, but denied personal knowledge of the transaction between the accused and the truck owner. The wife of accused who attended the hearing allegedly told the committee that the forest products came from the timberland of </w:t>
      </w:r>
      <w:proofErr w:type="spellStart"/>
      <w:r w:rsidR="00F23E32">
        <w:rPr>
          <w:rFonts w:ascii="Century Gothic" w:hAnsi="Century Gothic" w:cs="Arial"/>
          <w:sz w:val="28"/>
          <w:szCs w:val="28"/>
          <w:lang w:val="en-GB"/>
        </w:rPr>
        <w:t>Sangab</w:t>
      </w:r>
      <w:proofErr w:type="spellEnd"/>
      <w:r w:rsidR="00F23E32">
        <w:rPr>
          <w:rFonts w:ascii="Century Gothic" w:hAnsi="Century Gothic" w:cs="Arial"/>
          <w:sz w:val="28"/>
          <w:szCs w:val="28"/>
          <w:lang w:val="en-GB"/>
        </w:rPr>
        <w:t>, Maco owned by the indigenous people from whom her husband bought the Falcata logs and transported the same without securing permit from the DENR.</w:t>
      </w:r>
    </w:p>
    <w:p w14:paraId="4CFD5C19" w14:textId="589C879F" w:rsidR="00F23E32" w:rsidRDefault="00100AA2" w:rsidP="007837C3">
      <w:pPr>
        <w:spacing w:line="360" w:lineRule="auto"/>
        <w:jc w:val="both"/>
        <w:rPr>
          <w:rFonts w:ascii="Century Gothic" w:hAnsi="Century Gothic" w:cs="Arial"/>
          <w:sz w:val="28"/>
          <w:szCs w:val="28"/>
          <w:lang w:val="en-GB"/>
        </w:rPr>
      </w:pPr>
      <w:r>
        <w:rPr>
          <w:rFonts w:ascii="Century Gothic" w:hAnsi="Century Gothic" w:cs="Arial"/>
          <w:sz w:val="28"/>
          <w:szCs w:val="28"/>
          <w:lang w:val="en-GB"/>
        </w:rPr>
        <w:t xml:space="preserve"> </w:t>
      </w:r>
    </w:p>
    <w:p w14:paraId="02AC22CC" w14:textId="365A9EC1" w:rsidR="00100AA2" w:rsidRDefault="000806E1" w:rsidP="00F23E32">
      <w:pPr>
        <w:ind w:firstLine="709"/>
        <w:jc w:val="both"/>
        <w:rPr>
          <w:rFonts w:ascii="Century Gothic" w:hAnsi="Century Gothic" w:cs="Arial"/>
          <w:sz w:val="28"/>
          <w:szCs w:val="28"/>
          <w:lang w:val="en-GB"/>
        </w:rPr>
      </w:pPr>
      <w:r>
        <w:rPr>
          <w:rFonts w:ascii="Century Gothic" w:hAnsi="Century Gothic" w:cs="Arial"/>
          <w:sz w:val="28"/>
          <w:szCs w:val="28"/>
          <w:lang w:val="en-GB"/>
        </w:rPr>
        <w:t xml:space="preserve">It </w:t>
      </w:r>
      <w:r w:rsidR="00100AA2">
        <w:rPr>
          <w:rFonts w:ascii="Century Gothic" w:hAnsi="Century Gothic" w:cs="Arial"/>
          <w:sz w:val="28"/>
          <w:szCs w:val="28"/>
          <w:lang w:val="en-GB"/>
        </w:rPr>
        <w:t xml:space="preserve">is clear from the foregoing that the participation of the accused in this case as the principal is only based on the testimonies of the truck driver </w:t>
      </w:r>
      <w:proofErr w:type="spellStart"/>
      <w:r w:rsidR="00100AA2">
        <w:rPr>
          <w:rFonts w:ascii="Century Gothic" w:hAnsi="Century Gothic" w:cs="Arial"/>
          <w:sz w:val="28"/>
          <w:szCs w:val="28"/>
          <w:lang w:val="en-GB"/>
        </w:rPr>
        <w:t>Jodil</w:t>
      </w:r>
      <w:proofErr w:type="spellEnd"/>
      <w:r w:rsidR="00100AA2">
        <w:rPr>
          <w:rFonts w:ascii="Century Gothic" w:hAnsi="Century Gothic" w:cs="Arial"/>
          <w:sz w:val="28"/>
          <w:szCs w:val="28"/>
          <w:lang w:val="en-GB"/>
        </w:rPr>
        <w:t xml:space="preserve"> S. </w:t>
      </w:r>
      <w:proofErr w:type="spellStart"/>
      <w:r w:rsidR="00100AA2">
        <w:rPr>
          <w:rFonts w:ascii="Century Gothic" w:hAnsi="Century Gothic" w:cs="Arial"/>
          <w:sz w:val="28"/>
          <w:szCs w:val="28"/>
          <w:lang w:val="en-GB"/>
        </w:rPr>
        <w:t>Magdagay</w:t>
      </w:r>
      <w:proofErr w:type="spellEnd"/>
      <w:r w:rsidR="00100AA2">
        <w:rPr>
          <w:rFonts w:ascii="Century Gothic" w:hAnsi="Century Gothic" w:cs="Arial"/>
          <w:sz w:val="28"/>
          <w:szCs w:val="28"/>
          <w:lang w:val="en-GB"/>
        </w:rPr>
        <w:t xml:space="preserve"> and the truck owner </w:t>
      </w:r>
      <w:proofErr w:type="spellStart"/>
      <w:r w:rsidR="00100AA2">
        <w:rPr>
          <w:rFonts w:ascii="Century Gothic" w:hAnsi="Century Gothic" w:cs="Arial"/>
          <w:sz w:val="28"/>
          <w:szCs w:val="28"/>
          <w:lang w:val="en-GB"/>
        </w:rPr>
        <w:t>Malvin</w:t>
      </w:r>
      <w:proofErr w:type="spellEnd"/>
      <w:r w:rsidR="00100AA2">
        <w:rPr>
          <w:rFonts w:ascii="Century Gothic" w:hAnsi="Century Gothic" w:cs="Arial"/>
          <w:sz w:val="28"/>
          <w:szCs w:val="28"/>
          <w:lang w:val="en-GB"/>
        </w:rPr>
        <w:t xml:space="preserve"> Deli-deli. </w:t>
      </w:r>
      <w:r w:rsidR="00D704FB">
        <w:rPr>
          <w:rFonts w:ascii="Century Gothic" w:hAnsi="Century Gothic" w:cs="Arial"/>
          <w:sz w:val="28"/>
          <w:szCs w:val="28"/>
          <w:lang w:val="en-GB"/>
        </w:rPr>
        <w:t xml:space="preserve">The </w:t>
      </w:r>
      <w:r w:rsidR="00100AA2">
        <w:rPr>
          <w:rFonts w:ascii="Century Gothic" w:hAnsi="Century Gothic" w:cs="Arial"/>
          <w:sz w:val="28"/>
          <w:szCs w:val="28"/>
          <w:lang w:val="en-GB"/>
        </w:rPr>
        <w:t xml:space="preserve">testimonies of the apprehending officer CPL Russell O. </w:t>
      </w:r>
      <w:proofErr w:type="spellStart"/>
      <w:r w:rsidR="00100AA2">
        <w:rPr>
          <w:rFonts w:ascii="Century Gothic" w:hAnsi="Century Gothic" w:cs="Arial"/>
          <w:sz w:val="28"/>
          <w:szCs w:val="28"/>
          <w:lang w:val="en-GB"/>
        </w:rPr>
        <w:t>Calica</w:t>
      </w:r>
      <w:proofErr w:type="spellEnd"/>
      <w:r w:rsidR="00100AA2">
        <w:rPr>
          <w:rFonts w:ascii="Century Gothic" w:hAnsi="Century Gothic" w:cs="Arial"/>
          <w:sz w:val="28"/>
          <w:szCs w:val="28"/>
          <w:lang w:val="en-GB"/>
        </w:rPr>
        <w:t xml:space="preserve"> and the wife of accused </w:t>
      </w:r>
      <w:proofErr w:type="spellStart"/>
      <w:r w:rsidR="00100AA2">
        <w:rPr>
          <w:rFonts w:ascii="Century Gothic" w:hAnsi="Century Gothic" w:cs="Arial"/>
          <w:sz w:val="28"/>
          <w:szCs w:val="28"/>
          <w:lang w:val="en-GB"/>
        </w:rPr>
        <w:t>Lindylou</w:t>
      </w:r>
      <w:proofErr w:type="spellEnd"/>
      <w:r w:rsidR="00100AA2">
        <w:rPr>
          <w:rFonts w:ascii="Century Gothic" w:hAnsi="Century Gothic" w:cs="Arial"/>
          <w:sz w:val="28"/>
          <w:szCs w:val="28"/>
          <w:lang w:val="en-GB"/>
        </w:rPr>
        <w:t xml:space="preserve"> V. </w:t>
      </w:r>
      <w:proofErr w:type="spellStart"/>
      <w:r w:rsidR="00100AA2">
        <w:rPr>
          <w:rFonts w:ascii="Century Gothic" w:hAnsi="Century Gothic" w:cs="Arial"/>
          <w:sz w:val="28"/>
          <w:szCs w:val="28"/>
          <w:lang w:val="en-GB"/>
        </w:rPr>
        <w:t>Sobricarey</w:t>
      </w:r>
      <w:proofErr w:type="spellEnd"/>
      <w:r w:rsidR="00100AA2">
        <w:rPr>
          <w:rFonts w:ascii="Century Gothic" w:hAnsi="Century Gothic" w:cs="Arial"/>
          <w:sz w:val="28"/>
          <w:szCs w:val="28"/>
          <w:lang w:val="en-GB"/>
        </w:rPr>
        <w:t xml:space="preserve"> who were not presented in Court to confirm the veracity of the</w:t>
      </w:r>
      <w:r w:rsidR="00D704FB">
        <w:rPr>
          <w:rFonts w:ascii="Century Gothic" w:hAnsi="Century Gothic" w:cs="Arial"/>
          <w:sz w:val="28"/>
          <w:szCs w:val="28"/>
          <w:lang w:val="en-GB"/>
        </w:rPr>
        <w:t>ir</w:t>
      </w:r>
      <w:r w:rsidR="00100AA2">
        <w:rPr>
          <w:rFonts w:ascii="Century Gothic" w:hAnsi="Century Gothic" w:cs="Arial"/>
          <w:sz w:val="28"/>
          <w:szCs w:val="28"/>
          <w:lang w:val="en-GB"/>
        </w:rPr>
        <w:t xml:space="preserve"> statement</w:t>
      </w:r>
      <w:r w:rsidR="00D704FB">
        <w:rPr>
          <w:rFonts w:ascii="Century Gothic" w:hAnsi="Century Gothic" w:cs="Arial"/>
          <w:sz w:val="28"/>
          <w:szCs w:val="28"/>
          <w:lang w:val="en-GB"/>
        </w:rPr>
        <w:t>s</w:t>
      </w:r>
      <w:r w:rsidR="00100AA2">
        <w:rPr>
          <w:rFonts w:ascii="Century Gothic" w:hAnsi="Century Gothic" w:cs="Arial"/>
          <w:sz w:val="28"/>
          <w:szCs w:val="28"/>
          <w:lang w:val="en-GB"/>
        </w:rPr>
        <w:t xml:space="preserve"> made during the administrative proceeding</w:t>
      </w:r>
      <w:r w:rsidR="00D704FB">
        <w:rPr>
          <w:rFonts w:ascii="Century Gothic" w:hAnsi="Century Gothic" w:cs="Arial"/>
          <w:sz w:val="28"/>
          <w:szCs w:val="28"/>
          <w:lang w:val="en-GB"/>
        </w:rPr>
        <w:t xml:space="preserve"> </w:t>
      </w:r>
      <w:r w:rsidR="00D704FB">
        <w:rPr>
          <w:rFonts w:ascii="Century Gothic" w:hAnsi="Century Gothic" w:cs="Arial"/>
          <w:sz w:val="28"/>
          <w:szCs w:val="28"/>
          <w:lang w:val="en-GB"/>
        </w:rPr>
        <w:t>shall not be given weight</w:t>
      </w:r>
      <w:r w:rsidR="00D704FB">
        <w:rPr>
          <w:rFonts w:ascii="Century Gothic" w:hAnsi="Century Gothic" w:cs="Arial"/>
          <w:sz w:val="28"/>
          <w:szCs w:val="28"/>
          <w:lang w:val="en-GB"/>
        </w:rPr>
        <w:t xml:space="preserve"> and credit. </w:t>
      </w:r>
      <w:r w:rsidR="00100AA2">
        <w:rPr>
          <w:rFonts w:ascii="Century Gothic" w:hAnsi="Century Gothic" w:cs="Arial"/>
          <w:sz w:val="28"/>
          <w:szCs w:val="28"/>
          <w:lang w:val="en-GB"/>
        </w:rPr>
        <w:t xml:space="preserve"> </w:t>
      </w:r>
    </w:p>
    <w:p w14:paraId="72B32B28" w14:textId="77777777" w:rsidR="00100AA2" w:rsidRDefault="00100AA2" w:rsidP="007837C3">
      <w:pPr>
        <w:spacing w:line="360" w:lineRule="auto"/>
        <w:jc w:val="both"/>
        <w:rPr>
          <w:rFonts w:ascii="Century Gothic" w:hAnsi="Century Gothic" w:cs="Arial"/>
          <w:sz w:val="28"/>
          <w:szCs w:val="28"/>
          <w:lang w:val="en-GB"/>
        </w:rPr>
      </w:pPr>
    </w:p>
    <w:p w14:paraId="5C167B87" w14:textId="4481B342" w:rsidR="003D60FD" w:rsidRDefault="00D704FB" w:rsidP="003D60FD">
      <w:pPr>
        <w:ind w:firstLine="720"/>
        <w:jc w:val="both"/>
        <w:rPr>
          <w:rFonts w:ascii="Century Gothic" w:hAnsi="Century Gothic" w:cs="Arial"/>
          <w:sz w:val="28"/>
          <w:szCs w:val="28"/>
        </w:rPr>
      </w:pPr>
      <w:r>
        <w:rPr>
          <w:rFonts w:ascii="Century Gothic" w:hAnsi="Century Gothic" w:cs="Arial"/>
          <w:sz w:val="28"/>
          <w:szCs w:val="28"/>
          <w:lang w:val="en-GB"/>
        </w:rPr>
        <w:t xml:space="preserve">Moreover, it must be pointed out that the truck owner gave inconsistent </w:t>
      </w:r>
      <w:r w:rsidR="000A4C16">
        <w:rPr>
          <w:rFonts w:ascii="Century Gothic" w:hAnsi="Century Gothic" w:cs="Arial"/>
          <w:sz w:val="28"/>
          <w:szCs w:val="28"/>
          <w:lang w:val="en-GB"/>
        </w:rPr>
        <w:t>testimon</w:t>
      </w:r>
      <w:r>
        <w:rPr>
          <w:rFonts w:ascii="Century Gothic" w:hAnsi="Century Gothic" w:cs="Arial"/>
          <w:sz w:val="28"/>
          <w:szCs w:val="28"/>
          <w:lang w:val="en-GB"/>
        </w:rPr>
        <w:t xml:space="preserve">ies. </w:t>
      </w:r>
      <w:r w:rsidRPr="00D704FB">
        <w:rPr>
          <w:rFonts w:ascii="Century Gothic" w:hAnsi="Century Gothic" w:cs="Arial"/>
          <w:b/>
          <w:i/>
          <w:sz w:val="28"/>
          <w:szCs w:val="28"/>
          <w:lang w:val="en-GB"/>
        </w:rPr>
        <w:t>Firstly</w:t>
      </w:r>
      <w:r>
        <w:rPr>
          <w:rFonts w:ascii="Century Gothic" w:hAnsi="Century Gothic" w:cs="Arial"/>
          <w:sz w:val="28"/>
          <w:szCs w:val="28"/>
          <w:lang w:val="en-GB"/>
        </w:rPr>
        <w:t xml:space="preserve">, he testified in Court that </w:t>
      </w:r>
      <w:r>
        <w:rPr>
          <w:rFonts w:ascii="Century Gothic" w:hAnsi="Century Gothic"/>
          <w:sz w:val="28"/>
          <w:szCs w:val="28"/>
        </w:rPr>
        <w:t xml:space="preserve">he </w:t>
      </w:r>
      <w:r>
        <w:rPr>
          <w:rFonts w:ascii="Century Gothic" w:hAnsi="Century Gothic"/>
          <w:sz w:val="28"/>
          <w:szCs w:val="28"/>
        </w:rPr>
        <w:t xml:space="preserve">came to know accused </w:t>
      </w:r>
      <w:r w:rsidR="003D60FD">
        <w:rPr>
          <w:rFonts w:ascii="Century Gothic" w:hAnsi="Century Gothic"/>
          <w:sz w:val="28"/>
          <w:szCs w:val="28"/>
        </w:rPr>
        <w:t xml:space="preserve">only </w:t>
      </w:r>
      <w:r>
        <w:rPr>
          <w:rFonts w:ascii="Century Gothic" w:hAnsi="Century Gothic"/>
          <w:sz w:val="28"/>
          <w:szCs w:val="28"/>
        </w:rPr>
        <w:t>during the apprehension of his truck when the accused called him over the phone, introduced himself and informed him that his truck was apprehended</w:t>
      </w:r>
      <w:r>
        <w:rPr>
          <w:rFonts w:ascii="Century Gothic" w:hAnsi="Century Gothic"/>
          <w:sz w:val="28"/>
          <w:szCs w:val="28"/>
        </w:rPr>
        <w:t xml:space="preserve"> when he stated in his </w:t>
      </w:r>
      <w:r>
        <w:rPr>
          <w:rFonts w:ascii="Century Gothic" w:hAnsi="Century Gothic" w:cs="Arial"/>
          <w:sz w:val="28"/>
          <w:szCs w:val="28"/>
        </w:rPr>
        <w:t>Affidavit</w:t>
      </w:r>
      <w:r>
        <w:rPr>
          <w:rStyle w:val="FootnoteReference"/>
          <w:rFonts w:ascii="Century Gothic" w:hAnsi="Century Gothic" w:cs="Arial"/>
          <w:sz w:val="28"/>
          <w:szCs w:val="28"/>
        </w:rPr>
        <w:footnoteReference w:id="40"/>
      </w:r>
      <w:r>
        <w:rPr>
          <w:rFonts w:ascii="Century Gothic" w:hAnsi="Century Gothic" w:cs="Arial"/>
          <w:sz w:val="28"/>
          <w:szCs w:val="28"/>
        </w:rPr>
        <w:t xml:space="preserve"> </w:t>
      </w:r>
      <w:r>
        <w:rPr>
          <w:rFonts w:ascii="Century Gothic" w:hAnsi="Century Gothic" w:cs="Arial"/>
          <w:sz w:val="28"/>
          <w:szCs w:val="28"/>
        </w:rPr>
        <w:t xml:space="preserve">that </w:t>
      </w:r>
      <w:r w:rsidR="003D60FD">
        <w:rPr>
          <w:rFonts w:ascii="Century Gothic" w:hAnsi="Century Gothic" w:cs="Arial"/>
          <w:sz w:val="28"/>
          <w:szCs w:val="28"/>
        </w:rPr>
        <w:t xml:space="preserve">it was accused </w:t>
      </w:r>
      <w:r w:rsidR="003D60FD">
        <w:rPr>
          <w:rFonts w:ascii="Century Gothic" w:hAnsi="Century Gothic" w:cs="Arial"/>
          <w:sz w:val="28"/>
          <w:szCs w:val="28"/>
        </w:rPr>
        <w:t>who called him asking to hire his truck for the transportation of Falcata logs and assured him that the logs are covered with necessary permits</w:t>
      </w:r>
      <w:r w:rsidR="003D60FD">
        <w:rPr>
          <w:rFonts w:ascii="Century Gothic" w:hAnsi="Century Gothic" w:cs="Arial"/>
          <w:sz w:val="28"/>
          <w:szCs w:val="28"/>
        </w:rPr>
        <w:t xml:space="preserve">; </w:t>
      </w:r>
      <w:r w:rsidR="003D60FD" w:rsidRPr="003D60FD">
        <w:rPr>
          <w:rFonts w:ascii="Century Gothic" w:hAnsi="Century Gothic" w:cs="Arial"/>
          <w:b/>
          <w:i/>
          <w:sz w:val="28"/>
          <w:szCs w:val="28"/>
        </w:rPr>
        <w:t>Secondly</w:t>
      </w:r>
      <w:r w:rsidR="003D60FD">
        <w:rPr>
          <w:rFonts w:ascii="Century Gothic" w:hAnsi="Century Gothic" w:cs="Arial"/>
          <w:sz w:val="28"/>
          <w:szCs w:val="28"/>
        </w:rPr>
        <w:t xml:space="preserve">, he testified that </w:t>
      </w:r>
      <w:r w:rsidR="003D60FD" w:rsidRPr="003D60FD">
        <w:rPr>
          <w:rFonts w:ascii="Century Gothic" w:hAnsi="Century Gothic" w:cs="Arial"/>
          <w:sz w:val="28"/>
          <w:szCs w:val="28"/>
        </w:rPr>
        <w:t xml:space="preserve">it was </w:t>
      </w:r>
      <w:r w:rsidR="003D60FD">
        <w:rPr>
          <w:rFonts w:ascii="Century Gothic" w:hAnsi="Century Gothic" w:cs="Arial"/>
          <w:sz w:val="28"/>
          <w:szCs w:val="28"/>
        </w:rPr>
        <w:t xml:space="preserve">his extra driver </w:t>
      </w:r>
      <w:proofErr w:type="spellStart"/>
      <w:r w:rsidR="003D60FD">
        <w:rPr>
          <w:rFonts w:ascii="Century Gothic" w:hAnsi="Century Gothic" w:cs="Arial"/>
          <w:sz w:val="28"/>
          <w:szCs w:val="28"/>
        </w:rPr>
        <w:t>Jodil</w:t>
      </w:r>
      <w:proofErr w:type="spellEnd"/>
      <w:r w:rsidR="003D60FD" w:rsidRPr="003D60FD">
        <w:rPr>
          <w:rFonts w:ascii="Century Gothic" w:hAnsi="Century Gothic" w:cs="Arial"/>
          <w:sz w:val="28"/>
          <w:szCs w:val="28"/>
        </w:rPr>
        <w:t xml:space="preserve"> and </w:t>
      </w:r>
      <w:r w:rsidR="003D60FD">
        <w:rPr>
          <w:rFonts w:ascii="Century Gothic" w:hAnsi="Century Gothic" w:cs="Arial"/>
          <w:sz w:val="28"/>
          <w:szCs w:val="28"/>
        </w:rPr>
        <w:t xml:space="preserve">original driver </w:t>
      </w:r>
      <w:r w:rsidR="003D60FD" w:rsidRPr="003D60FD">
        <w:rPr>
          <w:rFonts w:ascii="Century Gothic" w:hAnsi="Century Gothic" w:cs="Arial"/>
          <w:sz w:val="28"/>
          <w:szCs w:val="28"/>
        </w:rPr>
        <w:t>Antonio who approached him to hire the truck for</w:t>
      </w:r>
      <w:r w:rsidR="003D60FD">
        <w:rPr>
          <w:rFonts w:ascii="Century Gothic" w:hAnsi="Century Gothic" w:cs="Arial"/>
          <w:sz w:val="28"/>
          <w:szCs w:val="28"/>
        </w:rPr>
        <w:t xml:space="preserve"> </w:t>
      </w:r>
      <w:r w:rsidR="003D60FD" w:rsidRPr="003D60FD">
        <w:rPr>
          <w:rFonts w:ascii="Century Gothic" w:hAnsi="Century Gothic" w:cs="Arial"/>
          <w:sz w:val="28"/>
          <w:szCs w:val="28"/>
        </w:rPr>
        <w:t>P5,000.00</w:t>
      </w:r>
      <w:r w:rsidR="003D60FD">
        <w:rPr>
          <w:rFonts w:ascii="Century Gothic" w:hAnsi="Century Gothic" w:cs="Arial"/>
          <w:sz w:val="28"/>
          <w:szCs w:val="28"/>
        </w:rPr>
        <w:t xml:space="preserve">; and </w:t>
      </w:r>
      <w:r w:rsidR="003D60FD">
        <w:rPr>
          <w:rFonts w:ascii="Century Gothic" w:hAnsi="Century Gothic" w:cs="Arial"/>
          <w:b/>
          <w:i/>
          <w:sz w:val="28"/>
          <w:szCs w:val="28"/>
        </w:rPr>
        <w:t>Last</w:t>
      </w:r>
      <w:r w:rsidR="003D60FD" w:rsidRPr="003D60FD">
        <w:rPr>
          <w:rFonts w:ascii="Century Gothic" w:hAnsi="Century Gothic" w:cs="Arial"/>
          <w:b/>
          <w:i/>
          <w:sz w:val="28"/>
          <w:szCs w:val="28"/>
        </w:rPr>
        <w:t>ly</w:t>
      </w:r>
      <w:r w:rsidR="003D60FD">
        <w:rPr>
          <w:rFonts w:ascii="Century Gothic" w:hAnsi="Century Gothic" w:cs="Arial"/>
          <w:sz w:val="28"/>
          <w:szCs w:val="28"/>
        </w:rPr>
        <w:t xml:space="preserve">, he testified that the products he knew </w:t>
      </w:r>
      <w:proofErr w:type="spellStart"/>
      <w:r w:rsidR="003D60FD">
        <w:rPr>
          <w:rFonts w:ascii="Century Gothic" w:hAnsi="Century Gothic" w:cs="Arial"/>
          <w:sz w:val="28"/>
          <w:szCs w:val="28"/>
        </w:rPr>
        <w:t>to</w:t>
      </w:r>
      <w:proofErr w:type="spellEnd"/>
      <w:r w:rsidR="003D60FD">
        <w:rPr>
          <w:rFonts w:ascii="Century Gothic" w:hAnsi="Century Gothic" w:cs="Arial"/>
          <w:sz w:val="28"/>
          <w:szCs w:val="28"/>
        </w:rPr>
        <w:t xml:space="preserve"> be loaded to his truck was corn when in his Affidavit he admitted that he </w:t>
      </w:r>
      <w:r w:rsidR="003D60FD">
        <w:rPr>
          <w:rFonts w:ascii="Century Gothic" w:hAnsi="Century Gothic" w:cs="Arial"/>
          <w:sz w:val="28"/>
          <w:szCs w:val="28"/>
        </w:rPr>
        <w:lastRenderedPageBreak/>
        <w:t>contracted for the loading of Falcata logs. For these reasons,</w:t>
      </w:r>
      <w:r w:rsidR="00630558">
        <w:rPr>
          <w:rFonts w:ascii="Century Gothic" w:hAnsi="Century Gothic" w:cs="Arial"/>
          <w:sz w:val="28"/>
          <w:szCs w:val="28"/>
        </w:rPr>
        <w:t xml:space="preserve"> the testimony of the truck owner must not inspire belief. </w:t>
      </w:r>
      <w:r w:rsidR="003D60FD">
        <w:rPr>
          <w:rFonts w:ascii="Century Gothic" w:hAnsi="Century Gothic" w:cs="Arial"/>
          <w:sz w:val="28"/>
          <w:szCs w:val="28"/>
        </w:rPr>
        <w:t xml:space="preserve"> </w:t>
      </w:r>
    </w:p>
    <w:p w14:paraId="3D81A4FB" w14:textId="796613E7" w:rsidR="003D60FD" w:rsidRDefault="003D60FD" w:rsidP="007837C3">
      <w:pPr>
        <w:spacing w:line="360" w:lineRule="auto"/>
        <w:jc w:val="both"/>
        <w:rPr>
          <w:rFonts w:ascii="Century Gothic" w:hAnsi="Century Gothic" w:cs="Arial"/>
          <w:sz w:val="28"/>
          <w:szCs w:val="28"/>
        </w:rPr>
      </w:pPr>
      <w:r>
        <w:rPr>
          <w:rFonts w:ascii="Century Gothic" w:hAnsi="Century Gothic" w:cs="Arial"/>
          <w:sz w:val="28"/>
          <w:szCs w:val="28"/>
        </w:rPr>
        <w:t xml:space="preserve"> </w:t>
      </w:r>
    </w:p>
    <w:p w14:paraId="728A8AB5" w14:textId="37FC9A99" w:rsidR="00630558" w:rsidRDefault="00630558" w:rsidP="00F23E32">
      <w:pPr>
        <w:ind w:firstLine="709"/>
        <w:jc w:val="both"/>
        <w:rPr>
          <w:rFonts w:ascii="Century Gothic" w:hAnsi="Century Gothic" w:cs="Arial"/>
          <w:sz w:val="28"/>
          <w:szCs w:val="28"/>
          <w:lang w:val="en-GB"/>
        </w:rPr>
      </w:pPr>
      <w:r>
        <w:rPr>
          <w:rFonts w:ascii="Century Gothic" w:hAnsi="Century Gothic" w:cs="Arial"/>
          <w:sz w:val="28"/>
          <w:szCs w:val="28"/>
          <w:lang w:val="en-GB"/>
        </w:rPr>
        <w:t xml:space="preserve">As regards the truck driver, </w:t>
      </w:r>
      <w:proofErr w:type="spellStart"/>
      <w:r>
        <w:rPr>
          <w:rFonts w:ascii="Century Gothic" w:hAnsi="Century Gothic" w:cs="Arial"/>
          <w:sz w:val="28"/>
          <w:szCs w:val="28"/>
          <w:lang w:val="en-GB"/>
        </w:rPr>
        <w:t>Jodil</w:t>
      </w:r>
      <w:proofErr w:type="spellEnd"/>
      <w:r>
        <w:rPr>
          <w:rFonts w:ascii="Century Gothic" w:hAnsi="Century Gothic" w:cs="Arial"/>
          <w:sz w:val="28"/>
          <w:szCs w:val="28"/>
          <w:lang w:val="en-GB"/>
        </w:rPr>
        <w:t xml:space="preserve"> S. </w:t>
      </w:r>
      <w:proofErr w:type="spellStart"/>
      <w:r>
        <w:rPr>
          <w:rFonts w:ascii="Century Gothic" w:hAnsi="Century Gothic" w:cs="Arial"/>
          <w:sz w:val="28"/>
          <w:szCs w:val="28"/>
          <w:lang w:val="en-GB"/>
        </w:rPr>
        <w:t>Magdagay</w:t>
      </w:r>
      <w:proofErr w:type="spellEnd"/>
      <w:r>
        <w:rPr>
          <w:rFonts w:ascii="Century Gothic" w:hAnsi="Century Gothic" w:cs="Arial"/>
          <w:sz w:val="28"/>
          <w:szCs w:val="28"/>
          <w:lang w:val="en-GB"/>
        </w:rPr>
        <w:t>, he admitted that he has no personal knowledge of the transaction between the truck owner and accused.</w:t>
      </w:r>
      <w:r w:rsidR="00334B1C">
        <w:rPr>
          <w:rFonts w:ascii="Century Gothic" w:hAnsi="Century Gothic" w:cs="Arial"/>
          <w:sz w:val="28"/>
          <w:szCs w:val="28"/>
          <w:lang w:val="en-GB"/>
        </w:rPr>
        <w:t xml:space="preserve"> It also appears that his knowledge of accused was also based on what he’s told by the truck owner. Hence, his testimony is not credible enough to pinpoint accused as the principal </w:t>
      </w:r>
      <w:r w:rsidR="00FA78D6">
        <w:rPr>
          <w:rFonts w:ascii="Century Gothic" w:hAnsi="Century Gothic" w:cs="Arial"/>
          <w:sz w:val="28"/>
          <w:szCs w:val="28"/>
          <w:lang w:val="en-GB"/>
        </w:rPr>
        <w:t xml:space="preserve">author of this offense. </w:t>
      </w:r>
      <w:r w:rsidR="00334B1C">
        <w:rPr>
          <w:rFonts w:ascii="Century Gothic" w:hAnsi="Century Gothic" w:cs="Arial"/>
          <w:sz w:val="28"/>
          <w:szCs w:val="28"/>
          <w:lang w:val="en-GB"/>
        </w:rPr>
        <w:t xml:space="preserve"> </w:t>
      </w:r>
      <w:r>
        <w:rPr>
          <w:rFonts w:ascii="Century Gothic" w:hAnsi="Century Gothic" w:cs="Arial"/>
          <w:sz w:val="28"/>
          <w:szCs w:val="28"/>
          <w:lang w:val="en-GB"/>
        </w:rPr>
        <w:t xml:space="preserve"> </w:t>
      </w:r>
    </w:p>
    <w:p w14:paraId="1874B7DC" w14:textId="77777777" w:rsidR="00630558" w:rsidRDefault="00630558" w:rsidP="007837C3">
      <w:pPr>
        <w:spacing w:line="360" w:lineRule="auto"/>
        <w:jc w:val="both"/>
        <w:rPr>
          <w:rFonts w:ascii="Century Gothic" w:hAnsi="Century Gothic" w:cs="Arial"/>
          <w:sz w:val="28"/>
          <w:szCs w:val="28"/>
          <w:lang w:val="en-GB"/>
        </w:rPr>
      </w:pPr>
    </w:p>
    <w:p w14:paraId="3C92060D" w14:textId="55AE10D4" w:rsidR="004920EA" w:rsidRDefault="00FA78D6" w:rsidP="007837C3">
      <w:pPr>
        <w:ind w:firstLine="709"/>
        <w:jc w:val="both"/>
        <w:rPr>
          <w:rFonts w:ascii="Century Gothic" w:hAnsi="Century Gothic" w:cs="Arial"/>
          <w:sz w:val="28"/>
          <w:szCs w:val="28"/>
          <w:lang w:val="en-GB"/>
        </w:rPr>
      </w:pPr>
      <w:r>
        <w:rPr>
          <w:rFonts w:ascii="Century Gothic" w:hAnsi="Century Gothic" w:cs="Arial"/>
          <w:sz w:val="28"/>
          <w:szCs w:val="28"/>
          <w:lang w:val="en-GB"/>
        </w:rPr>
        <w:t xml:space="preserve">For the failure of the prosecution to prove the participation of accused as the owner of the Falcata logs, it failed to prove constructive possession. </w:t>
      </w:r>
      <w:r w:rsidR="007837C3">
        <w:rPr>
          <w:rFonts w:ascii="Century Gothic" w:hAnsi="Century Gothic" w:cs="Arial"/>
          <w:sz w:val="28"/>
          <w:szCs w:val="28"/>
          <w:lang w:val="en-GB"/>
        </w:rPr>
        <w:t xml:space="preserve">There is nothing in the record which supports the allegation that the Falcata logs were </w:t>
      </w:r>
      <w:r w:rsidR="007837C3" w:rsidRPr="007837C3">
        <w:rPr>
          <w:rFonts w:ascii="Century Gothic" w:hAnsi="Century Gothic" w:cs="Arial"/>
          <w:sz w:val="28"/>
          <w:szCs w:val="28"/>
          <w:lang w:val="en-GB"/>
        </w:rPr>
        <w:t xml:space="preserve">under the dominion and control of the accused or </w:t>
      </w:r>
      <w:r w:rsidR="007837C3">
        <w:rPr>
          <w:rFonts w:ascii="Century Gothic" w:hAnsi="Century Gothic" w:cs="Arial"/>
          <w:sz w:val="28"/>
          <w:szCs w:val="28"/>
          <w:lang w:val="en-GB"/>
        </w:rPr>
        <w:t xml:space="preserve">that </w:t>
      </w:r>
      <w:r w:rsidR="007837C3" w:rsidRPr="007837C3">
        <w:rPr>
          <w:rFonts w:ascii="Century Gothic" w:hAnsi="Century Gothic" w:cs="Arial"/>
          <w:sz w:val="28"/>
          <w:szCs w:val="28"/>
          <w:lang w:val="en-GB"/>
        </w:rPr>
        <w:t xml:space="preserve">he has the right to exercise dominion and control over the </w:t>
      </w:r>
      <w:r w:rsidR="007837C3">
        <w:rPr>
          <w:rFonts w:ascii="Century Gothic" w:hAnsi="Century Gothic" w:cs="Arial"/>
          <w:sz w:val="28"/>
          <w:szCs w:val="28"/>
          <w:lang w:val="en-GB"/>
        </w:rPr>
        <w:t>truck</w:t>
      </w:r>
      <w:r w:rsidR="007837C3" w:rsidRPr="007837C3">
        <w:rPr>
          <w:rFonts w:ascii="Century Gothic" w:hAnsi="Century Gothic" w:cs="Arial"/>
          <w:sz w:val="28"/>
          <w:szCs w:val="28"/>
          <w:lang w:val="en-GB"/>
        </w:rPr>
        <w:t xml:space="preserve"> </w:t>
      </w:r>
      <w:r w:rsidR="007837C3">
        <w:rPr>
          <w:rFonts w:ascii="Century Gothic" w:hAnsi="Century Gothic" w:cs="Arial"/>
          <w:sz w:val="28"/>
          <w:szCs w:val="28"/>
          <w:lang w:val="en-GB"/>
        </w:rPr>
        <w:t>which transported the logs.</w:t>
      </w:r>
      <w:r w:rsidR="007837C3" w:rsidRPr="007837C3">
        <w:rPr>
          <w:rFonts w:ascii="Century Gothic" w:hAnsi="Century Gothic" w:cs="Arial"/>
          <w:sz w:val="28"/>
          <w:szCs w:val="28"/>
          <w:lang w:val="en-GB"/>
        </w:rPr>
        <w:t xml:space="preserve"> </w:t>
      </w:r>
      <w:r>
        <w:rPr>
          <w:rFonts w:ascii="Century Gothic" w:hAnsi="Century Gothic" w:cs="Arial"/>
          <w:sz w:val="28"/>
          <w:szCs w:val="28"/>
          <w:lang w:val="en-GB"/>
        </w:rPr>
        <w:t>There is also no evidence</w:t>
      </w:r>
      <w:r w:rsidR="007837C3">
        <w:rPr>
          <w:rFonts w:ascii="Century Gothic" w:hAnsi="Century Gothic" w:cs="Arial"/>
          <w:sz w:val="28"/>
          <w:szCs w:val="28"/>
          <w:lang w:val="en-GB"/>
        </w:rPr>
        <w:t xml:space="preserve"> </w:t>
      </w:r>
      <w:r w:rsidR="007837C3">
        <w:rPr>
          <w:rFonts w:ascii="Century Gothic" w:hAnsi="Century Gothic" w:cs="Arial"/>
          <w:sz w:val="28"/>
          <w:szCs w:val="28"/>
          <w:lang w:val="en-GB"/>
        </w:rPr>
        <w:t xml:space="preserve">positively identifying </w:t>
      </w:r>
      <w:r w:rsidR="007837C3">
        <w:rPr>
          <w:rFonts w:ascii="Century Gothic" w:hAnsi="Century Gothic" w:cs="Arial"/>
          <w:sz w:val="28"/>
          <w:szCs w:val="28"/>
          <w:lang w:val="en-GB"/>
        </w:rPr>
        <w:t xml:space="preserve">accused </w:t>
      </w:r>
      <w:r w:rsidR="007837C3">
        <w:rPr>
          <w:rFonts w:ascii="Century Gothic" w:hAnsi="Century Gothic" w:cs="Arial"/>
          <w:sz w:val="28"/>
          <w:szCs w:val="28"/>
          <w:lang w:val="en-GB"/>
        </w:rPr>
        <w:t xml:space="preserve">as the one </w:t>
      </w:r>
      <w:r w:rsidR="007837C3">
        <w:rPr>
          <w:rFonts w:ascii="Century Gothic" w:hAnsi="Century Gothic" w:cs="Arial"/>
          <w:sz w:val="28"/>
          <w:szCs w:val="28"/>
          <w:lang w:val="en-GB"/>
        </w:rPr>
        <w:t xml:space="preserve">who caused the gathering, collection and transportation of the </w:t>
      </w:r>
      <w:r w:rsidR="007837C3">
        <w:rPr>
          <w:rFonts w:ascii="Century Gothic" w:hAnsi="Century Gothic" w:cs="Arial"/>
          <w:sz w:val="28"/>
          <w:szCs w:val="28"/>
          <w:lang w:val="en-GB"/>
        </w:rPr>
        <w:t xml:space="preserve">said logs. </w:t>
      </w:r>
    </w:p>
    <w:p w14:paraId="38B7D23D" w14:textId="77777777" w:rsidR="00A321C6" w:rsidRPr="004920EA" w:rsidRDefault="00A321C6" w:rsidP="00C25A71">
      <w:pPr>
        <w:spacing w:line="360" w:lineRule="auto"/>
        <w:ind w:firstLine="720"/>
        <w:jc w:val="both"/>
        <w:rPr>
          <w:rFonts w:ascii="Century Gothic" w:hAnsi="Century Gothic" w:cs="Arial"/>
          <w:sz w:val="28"/>
          <w:szCs w:val="28"/>
          <w:lang w:val="en-GB"/>
        </w:rPr>
      </w:pPr>
    </w:p>
    <w:p w14:paraId="272832ED" w14:textId="21C95713" w:rsidR="002B510B" w:rsidRDefault="008C32A5" w:rsidP="00A85907">
      <w:pPr>
        <w:ind w:firstLine="709"/>
        <w:jc w:val="both"/>
        <w:rPr>
          <w:rFonts w:ascii="Century Gothic" w:hAnsi="Century Gothic" w:cs="Arial"/>
          <w:sz w:val="28"/>
          <w:szCs w:val="28"/>
          <w:lang w:val="en-GB"/>
        </w:rPr>
      </w:pPr>
      <w:r>
        <w:rPr>
          <w:rFonts w:ascii="Century Gothic" w:hAnsi="Century Gothic" w:cs="Arial"/>
          <w:sz w:val="28"/>
          <w:szCs w:val="28"/>
        </w:rPr>
        <w:t>All the evidence formally offered taken altogether, the</w:t>
      </w:r>
      <w:r>
        <w:rPr>
          <w:rFonts w:ascii="Century Gothic" w:hAnsi="Century Gothic" w:cs="Arial"/>
          <w:sz w:val="28"/>
          <w:szCs w:val="28"/>
          <w:lang w:val="en-GB"/>
        </w:rPr>
        <w:t xml:space="preserve"> prosecution</w:t>
      </w:r>
      <w:r w:rsidR="007837C3">
        <w:rPr>
          <w:rFonts w:ascii="Century Gothic" w:hAnsi="Century Gothic" w:cs="Arial"/>
          <w:sz w:val="28"/>
          <w:szCs w:val="28"/>
          <w:lang w:val="en-GB"/>
        </w:rPr>
        <w:t xml:space="preserve"> failed to </w:t>
      </w:r>
      <w:r w:rsidR="007837C3">
        <w:rPr>
          <w:rFonts w:ascii="Century Gothic" w:hAnsi="Century Gothic" w:cs="Arial"/>
          <w:sz w:val="28"/>
          <w:szCs w:val="28"/>
          <w:lang w:val="en-GB"/>
        </w:rPr>
        <w:t>establish the guilt of accused beyond reasonable doubt</w:t>
      </w:r>
      <w:r w:rsidR="007837C3">
        <w:rPr>
          <w:rFonts w:ascii="Century Gothic" w:hAnsi="Century Gothic" w:cs="Arial"/>
          <w:sz w:val="28"/>
          <w:szCs w:val="28"/>
          <w:lang w:val="en-GB"/>
        </w:rPr>
        <w:t>. It</w:t>
      </w:r>
      <w:r>
        <w:rPr>
          <w:rFonts w:ascii="Century Gothic" w:hAnsi="Century Gothic" w:cs="Arial"/>
          <w:sz w:val="28"/>
          <w:szCs w:val="28"/>
          <w:lang w:val="en-GB"/>
        </w:rPr>
        <w:t xml:space="preserve"> failed to overcome the presumption of innocence in </w:t>
      </w:r>
      <w:proofErr w:type="spellStart"/>
      <w:r>
        <w:rPr>
          <w:rFonts w:ascii="Century Gothic" w:hAnsi="Century Gothic" w:cs="Arial"/>
          <w:sz w:val="28"/>
          <w:szCs w:val="28"/>
          <w:lang w:val="en-GB"/>
        </w:rPr>
        <w:t>favor</w:t>
      </w:r>
      <w:proofErr w:type="spellEnd"/>
      <w:r>
        <w:rPr>
          <w:rFonts w:ascii="Century Gothic" w:hAnsi="Century Gothic" w:cs="Arial"/>
          <w:sz w:val="28"/>
          <w:szCs w:val="28"/>
          <w:lang w:val="en-GB"/>
        </w:rPr>
        <w:t xml:space="preserve"> of the accus</w:t>
      </w:r>
      <w:r w:rsidR="008C6CB7">
        <w:rPr>
          <w:rFonts w:ascii="Century Gothic" w:hAnsi="Century Gothic" w:cs="Arial"/>
          <w:sz w:val="28"/>
          <w:szCs w:val="28"/>
          <w:lang w:val="en-GB"/>
        </w:rPr>
        <w:t>e</w:t>
      </w:r>
      <w:r>
        <w:rPr>
          <w:rFonts w:ascii="Century Gothic" w:hAnsi="Century Gothic" w:cs="Arial"/>
          <w:sz w:val="28"/>
          <w:szCs w:val="28"/>
          <w:lang w:val="en-GB"/>
        </w:rPr>
        <w:t xml:space="preserve">d. Its evidence does not support </w:t>
      </w:r>
      <w:r>
        <w:rPr>
          <w:rFonts w:ascii="Century Gothic" w:hAnsi="Century Gothic"/>
          <w:sz w:val="28"/>
          <w:szCs w:val="28"/>
          <w:lang w:val="en-GB"/>
        </w:rPr>
        <w:t>a finding of guilt wi</w:t>
      </w:r>
      <w:r w:rsidR="00DD2D5C">
        <w:rPr>
          <w:rFonts w:ascii="Century Gothic" w:hAnsi="Century Gothic"/>
          <w:sz w:val="28"/>
          <w:szCs w:val="28"/>
          <w:lang w:val="en-GB"/>
        </w:rPr>
        <w:t>th the certainty</w:t>
      </w:r>
      <w:r w:rsidR="000111DC">
        <w:rPr>
          <w:rFonts w:ascii="Century Gothic" w:hAnsi="Century Gothic"/>
          <w:sz w:val="28"/>
          <w:szCs w:val="28"/>
          <w:lang w:val="en-GB"/>
        </w:rPr>
        <w:t xml:space="preserve"> that accused was</w:t>
      </w:r>
      <w:r w:rsidR="007C32C4">
        <w:rPr>
          <w:rFonts w:ascii="Century Gothic" w:hAnsi="Century Gothic"/>
          <w:sz w:val="28"/>
          <w:szCs w:val="28"/>
          <w:lang w:val="en-GB"/>
        </w:rPr>
        <w:t xml:space="preserve"> responsible for the </w:t>
      </w:r>
      <w:r w:rsidR="007837C3">
        <w:rPr>
          <w:rFonts w:ascii="Century Gothic" w:hAnsi="Century Gothic"/>
          <w:sz w:val="28"/>
          <w:szCs w:val="28"/>
          <w:lang w:val="en-GB"/>
        </w:rPr>
        <w:t xml:space="preserve">gathering, collecting, </w:t>
      </w:r>
      <w:r w:rsidR="007837C3" w:rsidRPr="007837C3">
        <w:rPr>
          <w:rFonts w:ascii="Century Gothic" w:hAnsi="Century Gothic"/>
          <w:sz w:val="28"/>
          <w:szCs w:val="28"/>
          <w:lang w:val="en-GB"/>
        </w:rPr>
        <w:t>possess</w:t>
      </w:r>
      <w:r w:rsidR="007837C3">
        <w:rPr>
          <w:rFonts w:ascii="Century Gothic" w:hAnsi="Century Gothic"/>
          <w:sz w:val="28"/>
          <w:szCs w:val="28"/>
          <w:lang w:val="en-GB"/>
        </w:rPr>
        <w:t>ion,</w:t>
      </w:r>
      <w:r w:rsidR="007837C3" w:rsidRPr="007837C3">
        <w:rPr>
          <w:rFonts w:ascii="Century Gothic" w:hAnsi="Century Gothic"/>
          <w:sz w:val="28"/>
          <w:szCs w:val="28"/>
          <w:lang w:val="en-GB"/>
        </w:rPr>
        <w:t xml:space="preserve"> control and transport</w:t>
      </w:r>
      <w:r w:rsidR="007837C3">
        <w:rPr>
          <w:rFonts w:ascii="Century Gothic" w:hAnsi="Century Gothic"/>
          <w:sz w:val="28"/>
          <w:szCs w:val="28"/>
          <w:lang w:val="en-GB"/>
        </w:rPr>
        <w:t>ation, without permit or authority, of</w:t>
      </w:r>
      <w:r w:rsidR="007837C3" w:rsidRPr="007837C3">
        <w:rPr>
          <w:rFonts w:ascii="Century Gothic" w:hAnsi="Century Gothic"/>
          <w:sz w:val="28"/>
          <w:szCs w:val="28"/>
          <w:lang w:val="en-GB"/>
        </w:rPr>
        <w:t xml:space="preserve"> </w:t>
      </w:r>
      <w:r w:rsidR="007837C3">
        <w:rPr>
          <w:rFonts w:ascii="Century Gothic" w:hAnsi="Century Gothic"/>
          <w:sz w:val="28"/>
          <w:szCs w:val="28"/>
          <w:lang w:val="en-GB"/>
        </w:rPr>
        <w:t xml:space="preserve">the </w:t>
      </w:r>
      <w:proofErr w:type="gramStart"/>
      <w:r w:rsidR="007837C3" w:rsidRPr="007837C3">
        <w:rPr>
          <w:rFonts w:ascii="Century Gothic" w:hAnsi="Century Gothic"/>
          <w:sz w:val="28"/>
          <w:szCs w:val="28"/>
          <w:lang w:val="en-GB"/>
        </w:rPr>
        <w:t>ninety six</w:t>
      </w:r>
      <w:proofErr w:type="gramEnd"/>
      <w:r w:rsidR="007837C3" w:rsidRPr="007837C3">
        <w:rPr>
          <w:rFonts w:ascii="Century Gothic" w:hAnsi="Century Gothic"/>
          <w:sz w:val="28"/>
          <w:szCs w:val="28"/>
          <w:lang w:val="en-GB"/>
        </w:rPr>
        <w:t xml:space="preserve"> (96) pieces of Falcata logs with a volume of 8.80 cubic meters</w:t>
      </w:r>
      <w:r w:rsidR="007837C3">
        <w:rPr>
          <w:rFonts w:ascii="Century Gothic" w:hAnsi="Century Gothic" w:cs="Arial"/>
          <w:sz w:val="28"/>
          <w:szCs w:val="28"/>
          <w:lang w:val="en-GB"/>
        </w:rPr>
        <w:t xml:space="preserve"> subject matter of this case. </w:t>
      </w:r>
      <w:r w:rsidR="00A85907">
        <w:rPr>
          <w:rFonts w:ascii="Century Gothic" w:hAnsi="Century Gothic" w:cs="Arial"/>
          <w:sz w:val="28"/>
          <w:szCs w:val="28"/>
          <w:lang w:val="en-GB"/>
        </w:rPr>
        <w:t xml:space="preserve"> </w:t>
      </w:r>
    </w:p>
    <w:p w14:paraId="402C82FE" w14:textId="77777777" w:rsidR="00A85907" w:rsidRDefault="00A85907" w:rsidP="00A85907">
      <w:pPr>
        <w:spacing w:line="360" w:lineRule="auto"/>
        <w:ind w:firstLine="720"/>
        <w:jc w:val="both"/>
        <w:rPr>
          <w:rFonts w:ascii="Century Gothic" w:hAnsi="Century Gothic"/>
          <w:sz w:val="28"/>
          <w:szCs w:val="28"/>
          <w:lang w:val="en-GB"/>
        </w:rPr>
      </w:pPr>
    </w:p>
    <w:p w14:paraId="334E6153" w14:textId="04A67ACA" w:rsidR="008C32A5" w:rsidRDefault="008C32A5" w:rsidP="008C32A5">
      <w:pPr>
        <w:ind w:firstLine="567"/>
        <w:jc w:val="both"/>
        <w:rPr>
          <w:rFonts w:ascii="Century Gothic" w:hAnsi="Century Gothic" w:cs="Arial"/>
          <w:sz w:val="28"/>
          <w:szCs w:val="28"/>
        </w:rPr>
      </w:pPr>
      <w:r>
        <w:rPr>
          <w:rFonts w:ascii="Century Gothic" w:hAnsi="Century Gothic" w:cs="Arial"/>
          <w:b/>
          <w:bCs/>
          <w:sz w:val="28"/>
          <w:szCs w:val="28"/>
          <w:lang w:val="en-GB"/>
        </w:rPr>
        <w:t>WHEREFORE</w:t>
      </w:r>
      <w:r>
        <w:rPr>
          <w:rFonts w:ascii="Century Gothic" w:hAnsi="Century Gothic" w:cs="Arial"/>
          <w:sz w:val="28"/>
          <w:szCs w:val="28"/>
          <w:lang w:val="en-GB"/>
        </w:rPr>
        <w:t xml:space="preserve">, the </w:t>
      </w:r>
      <w:r>
        <w:rPr>
          <w:rFonts w:ascii="Century Gothic" w:hAnsi="Century Gothic" w:cs="Arial"/>
          <w:sz w:val="28"/>
          <w:szCs w:val="28"/>
        </w:rPr>
        <w:t>Demurrer to Evidence filed by the accused is</w:t>
      </w:r>
      <w:r>
        <w:rPr>
          <w:rFonts w:ascii="Century Gothic" w:hAnsi="Century Gothic" w:cs="Arial"/>
          <w:sz w:val="28"/>
          <w:szCs w:val="28"/>
          <w:lang w:val="en-GB"/>
        </w:rPr>
        <w:t xml:space="preserve"> </w:t>
      </w:r>
      <w:r>
        <w:rPr>
          <w:rFonts w:ascii="Century Gothic" w:hAnsi="Century Gothic" w:cs="Arial"/>
          <w:b/>
          <w:bCs/>
          <w:sz w:val="28"/>
          <w:szCs w:val="28"/>
          <w:lang w:val="en-GB"/>
        </w:rPr>
        <w:t>GRANTED</w:t>
      </w:r>
      <w:r>
        <w:rPr>
          <w:rFonts w:ascii="Century Gothic" w:hAnsi="Century Gothic" w:cs="Arial"/>
          <w:sz w:val="28"/>
          <w:szCs w:val="28"/>
          <w:lang w:val="en-GB"/>
        </w:rPr>
        <w:t xml:space="preserve">. </w:t>
      </w:r>
      <w:r>
        <w:rPr>
          <w:rFonts w:ascii="Century Gothic" w:hAnsi="Century Gothic"/>
          <w:sz w:val="28"/>
          <w:szCs w:val="28"/>
          <w:lang w:val="en-GB"/>
        </w:rPr>
        <w:t xml:space="preserve">CRIMINAL CASE NO. </w:t>
      </w:r>
      <w:r w:rsidR="00F23E32" w:rsidRPr="00F23E32">
        <w:rPr>
          <w:rFonts w:ascii="Century Gothic" w:hAnsi="Century Gothic"/>
          <w:sz w:val="28"/>
          <w:szCs w:val="28"/>
          <w:lang w:val="en-GB"/>
        </w:rPr>
        <w:t xml:space="preserve">604-2019 </w:t>
      </w:r>
      <w:r>
        <w:rPr>
          <w:rFonts w:ascii="Century Gothic" w:hAnsi="Century Gothic"/>
          <w:sz w:val="28"/>
          <w:szCs w:val="28"/>
          <w:lang w:val="en-GB"/>
        </w:rPr>
        <w:t xml:space="preserve">against accused </w:t>
      </w:r>
      <w:r w:rsidR="00F23E32" w:rsidRPr="000D5473">
        <w:rPr>
          <w:rFonts w:ascii="Century Gothic" w:hAnsi="Century Gothic" w:cs="Arial"/>
          <w:b/>
          <w:sz w:val="28"/>
          <w:szCs w:val="28"/>
          <w:lang w:val="en-GB"/>
        </w:rPr>
        <w:t>RENEE PALLERA SUBRICARE</w:t>
      </w:r>
      <w:r w:rsidR="00F23E32">
        <w:rPr>
          <w:rFonts w:ascii="Century Gothic" w:hAnsi="Century Gothic" w:cs="Arial"/>
          <w:b/>
          <w:sz w:val="28"/>
          <w:szCs w:val="28"/>
          <w:lang w:val="en-GB"/>
        </w:rPr>
        <w:t xml:space="preserve">Y </w:t>
      </w:r>
      <w:r>
        <w:rPr>
          <w:rFonts w:ascii="Century Gothic" w:hAnsi="Century Gothic" w:cs="Arial"/>
          <w:bCs/>
          <w:sz w:val="28"/>
          <w:szCs w:val="28"/>
          <w:lang w:val="en-GB"/>
        </w:rPr>
        <w:t xml:space="preserve">is hereby ordered </w:t>
      </w:r>
      <w:r>
        <w:rPr>
          <w:rFonts w:ascii="Century Gothic" w:hAnsi="Century Gothic" w:cs="Arial"/>
          <w:b/>
          <w:sz w:val="28"/>
          <w:szCs w:val="28"/>
          <w:lang w:val="en-GB"/>
        </w:rPr>
        <w:t xml:space="preserve">DISMISSED. </w:t>
      </w:r>
      <w:r>
        <w:rPr>
          <w:rFonts w:ascii="Century Gothic" w:hAnsi="Century Gothic"/>
          <w:sz w:val="28"/>
          <w:szCs w:val="28"/>
          <w:lang w:val="en-GB"/>
        </w:rPr>
        <w:t xml:space="preserve"> </w:t>
      </w:r>
      <w:r>
        <w:rPr>
          <w:rFonts w:ascii="Century Gothic" w:hAnsi="Century Gothic" w:cs="Arial"/>
          <w:sz w:val="28"/>
          <w:szCs w:val="28"/>
          <w:lang w:val="en-GB"/>
        </w:rPr>
        <w:t xml:space="preserve">    </w:t>
      </w:r>
      <w:r>
        <w:rPr>
          <w:rFonts w:ascii="Century Gothic" w:hAnsi="Century Gothic" w:cs="Arial"/>
          <w:sz w:val="28"/>
          <w:szCs w:val="28"/>
        </w:rPr>
        <w:t xml:space="preserve"> </w:t>
      </w:r>
    </w:p>
    <w:p w14:paraId="60F889B0" w14:textId="77777777" w:rsidR="008C32A5" w:rsidRDefault="008C32A5" w:rsidP="007837C3">
      <w:pPr>
        <w:spacing w:line="360" w:lineRule="auto"/>
        <w:jc w:val="both"/>
        <w:rPr>
          <w:rFonts w:ascii="Century Gothic" w:hAnsi="Century Gothic" w:cs="Arial"/>
          <w:sz w:val="28"/>
          <w:szCs w:val="28"/>
          <w:lang w:val="en-GB"/>
        </w:rPr>
      </w:pPr>
    </w:p>
    <w:p w14:paraId="39C70B4A" w14:textId="77777777" w:rsidR="008C32A5" w:rsidRDefault="008C32A5" w:rsidP="008C32A5">
      <w:pPr>
        <w:ind w:firstLine="720"/>
        <w:jc w:val="both"/>
        <w:rPr>
          <w:rFonts w:ascii="Century Gothic" w:hAnsi="Century Gothic" w:cs="Arial"/>
          <w:b/>
          <w:sz w:val="28"/>
          <w:szCs w:val="28"/>
        </w:rPr>
      </w:pPr>
      <w:proofErr w:type="gramStart"/>
      <w:r>
        <w:rPr>
          <w:rFonts w:ascii="Century Gothic" w:hAnsi="Century Gothic" w:cs="Arial"/>
          <w:b/>
          <w:sz w:val="28"/>
          <w:szCs w:val="28"/>
        </w:rPr>
        <w:t>SO</w:t>
      </w:r>
      <w:proofErr w:type="gramEnd"/>
      <w:r>
        <w:rPr>
          <w:rFonts w:ascii="Century Gothic" w:hAnsi="Century Gothic" w:cs="Arial"/>
          <w:b/>
          <w:sz w:val="28"/>
          <w:szCs w:val="28"/>
        </w:rPr>
        <w:t xml:space="preserve"> ORDERED. </w:t>
      </w:r>
    </w:p>
    <w:p w14:paraId="2408F45F" w14:textId="77777777" w:rsidR="008C32A5" w:rsidRDefault="008C32A5" w:rsidP="007837C3">
      <w:pPr>
        <w:spacing w:line="360" w:lineRule="auto"/>
        <w:jc w:val="both"/>
        <w:rPr>
          <w:rFonts w:ascii="Century Gothic" w:hAnsi="Century Gothic" w:cs="Arial"/>
          <w:sz w:val="28"/>
          <w:szCs w:val="28"/>
        </w:rPr>
      </w:pPr>
    </w:p>
    <w:p w14:paraId="069395DD" w14:textId="64EEF630" w:rsidR="008C32A5" w:rsidRDefault="008C32A5" w:rsidP="008C32A5">
      <w:pPr>
        <w:ind w:firstLine="720"/>
        <w:jc w:val="both"/>
        <w:rPr>
          <w:rFonts w:ascii="Century Gothic" w:hAnsi="Century Gothic" w:cs="Arial"/>
          <w:sz w:val="28"/>
          <w:szCs w:val="28"/>
        </w:rPr>
      </w:pPr>
      <w:r>
        <w:rPr>
          <w:rFonts w:ascii="Century Gothic" w:hAnsi="Century Gothic" w:cs="Arial"/>
          <w:sz w:val="28"/>
          <w:szCs w:val="28"/>
        </w:rPr>
        <w:t xml:space="preserve">Given this </w:t>
      </w:r>
      <w:r w:rsidR="00F23E32">
        <w:rPr>
          <w:rFonts w:ascii="Century Gothic" w:hAnsi="Century Gothic" w:cs="Arial"/>
          <w:sz w:val="28"/>
          <w:szCs w:val="28"/>
          <w:lang w:val="en-GB"/>
        </w:rPr>
        <w:t>21</w:t>
      </w:r>
      <w:r w:rsidR="00F23E32">
        <w:rPr>
          <w:rFonts w:ascii="Century Gothic" w:hAnsi="Century Gothic" w:cs="Arial"/>
          <w:sz w:val="28"/>
          <w:szCs w:val="28"/>
          <w:vertAlign w:val="superscript"/>
          <w:lang w:val="en-GB"/>
        </w:rPr>
        <w:t>st</w:t>
      </w:r>
      <w:r>
        <w:rPr>
          <w:rFonts w:ascii="Century Gothic" w:hAnsi="Century Gothic" w:cs="Arial"/>
          <w:sz w:val="28"/>
          <w:szCs w:val="28"/>
          <w:lang w:val="en-GB"/>
        </w:rPr>
        <w:t xml:space="preserve"> </w:t>
      </w:r>
      <w:r>
        <w:rPr>
          <w:rFonts w:ascii="Century Gothic" w:hAnsi="Century Gothic" w:cs="Arial"/>
          <w:sz w:val="28"/>
          <w:szCs w:val="28"/>
        </w:rPr>
        <w:t xml:space="preserve">day of </w:t>
      </w:r>
      <w:r w:rsidR="00F23E32">
        <w:rPr>
          <w:rFonts w:ascii="Century Gothic" w:hAnsi="Century Gothic" w:cs="Arial"/>
          <w:sz w:val="28"/>
          <w:szCs w:val="28"/>
          <w:lang w:val="en-GB"/>
        </w:rPr>
        <w:t>February</w:t>
      </w:r>
      <w:r w:rsidR="00D8582C">
        <w:rPr>
          <w:rFonts w:ascii="Century Gothic" w:hAnsi="Century Gothic" w:cs="Arial"/>
          <w:sz w:val="28"/>
          <w:szCs w:val="28"/>
          <w:lang w:val="en-GB"/>
        </w:rPr>
        <w:t>, 2023</w:t>
      </w:r>
      <w:r>
        <w:rPr>
          <w:rFonts w:ascii="Century Gothic" w:hAnsi="Century Gothic" w:cs="Arial"/>
          <w:sz w:val="28"/>
          <w:szCs w:val="28"/>
        </w:rPr>
        <w:t xml:space="preserve"> at Mabini, Davao de Oro, Philippines. </w:t>
      </w:r>
    </w:p>
    <w:p w14:paraId="66E8FF59" w14:textId="77777777" w:rsidR="008C32A5" w:rsidRDefault="008C32A5" w:rsidP="008C32A5">
      <w:pPr>
        <w:jc w:val="both"/>
        <w:rPr>
          <w:rFonts w:ascii="Century Gothic" w:hAnsi="Century Gothic" w:cs="Arial"/>
          <w:sz w:val="28"/>
          <w:szCs w:val="28"/>
        </w:rPr>
      </w:pPr>
    </w:p>
    <w:p w14:paraId="1398DECA" w14:textId="77777777" w:rsidR="008C32A5" w:rsidRDefault="008C32A5" w:rsidP="008C32A5">
      <w:pPr>
        <w:jc w:val="both"/>
        <w:rPr>
          <w:rFonts w:ascii="Century Gothic" w:hAnsi="Century Gothic" w:cs="Arial"/>
          <w:sz w:val="28"/>
          <w:szCs w:val="28"/>
        </w:rPr>
      </w:pPr>
    </w:p>
    <w:p w14:paraId="6AA79C9C" w14:textId="059B9194" w:rsidR="008C32A5" w:rsidRDefault="008C32A5" w:rsidP="008C32A5">
      <w:pPr>
        <w:ind w:firstLine="720"/>
        <w:jc w:val="both"/>
        <w:rPr>
          <w:rFonts w:ascii="Century Gothic" w:hAnsi="Century Gothic" w:cs="Arial"/>
          <w:b/>
          <w:sz w:val="28"/>
          <w:szCs w:val="28"/>
        </w:rPr>
      </w:pP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b/>
          <w:sz w:val="28"/>
          <w:szCs w:val="28"/>
        </w:rPr>
        <w:t>CELESTIAL V. ARANDA-GONZALES</w:t>
      </w:r>
    </w:p>
    <w:p w14:paraId="3B2FF379" w14:textId="5311A6BA" w:rsidR="008C32A5" w:rsidRDefault="008C32A5" w:rsidP="008C32A5">
      <w:pPr>
        <w:ind w:firstLine="720"/>
        <w:jc w:val="both"/>
        <w:rPr>
          <w:rFonts w:ascii="Century Gothic" w:hAnsi="Century Gothic" w:cs="Arial"/>
          <w:sz w:val="28"/>
          <w:szCs w:val="28"/>
        </w:rPr>
      </w:pP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 xml:space="preserve">                       </w:t>
      </w:r>
      <w:r w:rsidR="003C2B89">
        <w:rPr>
          <w:rFonts w:ascii="Century Gothic" w:hAnsi="Century Gothic" w:cs="Arial"/>
          <w:sz w:val="28"/>
          <w:szCs w:val="28"/>
        </w:rPr>
        <w:t xml:space="preserve"> </w:t>
      </w:r>
      <w:r>
        <w:rPr>
          <w:rFonts w:ascii="Century Gothic" w:hAnsi="Century Gothic" w:cs="Arial"/>
          <w:sz w:val="28"/>
          <w:szCs w:val="28"/>
        </w:rPr>
        <w:t>Presiding Judge</w:t>
      </w:r>
    </w:p>
    <w:p w14:paraId="399C4AE4" w14:textId="77777777" w:rsidR="008C32A5" w:rsidRDefault="008C32A5" w:rsidP="008C32A5">
      <w:pPr>
        <w:jc w:val="both"/>
        <w:rPr>
          <w:rFonts w:ascii="Century Gothic" w:hAnsi="Century Gothic" w:cs="Arial"/>
          <w:sz w:val="28"/>
          <w:szCs w:val="28"/>
        </w:rPr>
      </w:pPr>
    </w:p>
    <w:p w14:paraId="1B8A060F" w14:textId="77777777" w:rsidR="00343A18" w:rsidRDefault="00343A18" w:rsidP="008C32A5">
      <w:pPr>
        <w:rPr>
          <w:rFonts w:ascii="Century Gothic" w:hAnsi="Century Gothic" w:cs="Arial"/>
        </w:rPr>
      </w:pPr>
    </w:p>
    <w:p w14:paraId="4451C382" w14:textId="77777777" w:rsidR="00343A18" w:rsidRDefault="00343A18" w:rsidP="008C32A5">
      <w:pPr>
        <w:rPr>
          <w:rFonts w:ascii="Century Gothic" w:hAnsi="Century Gothic" w:cs="Arial"/>
        </w:rPr>
      </w:pPr>
    </w:p>
    <w:p w14:paraId="344072AB" w14:textId="77777777" w:rsidR="00343A18" w:rsidRDefault="00343A18" w:rsidP="008C32A5">
      <w:pPr>
        <w:rPr>
          <w:rFonts w:ascii="Century Gothic" w:hAnsi="Century Gothic" w:cs="Arial"/>
        </w:rPr>
      </w:pPr>
    </w:p>
    <w:p w14:paraId="3BF1CFD1" w14:textId="15ECB09F" w:rsidR="008C32A5" w:rsidRDefault="008C32A5" w:rsidP="008C32A5">
      <w:pPr>
        <w:rPr>
          <w:rFonts w:ascii="Century Gothic" w:hAnsi="Century Gothic" w:cs="Arial"/>
        </w:rPr>
      </w:pPr>
      <w:r>
        <w:rPr>
          <w:rFonts w:ascii="Century Gothic" w:hAnsi="Century Gothic" w:cs="Arial"/>
        </w:rPr>
        <w:t xml:space="preserve">Copy Furnished: </w:t>
      </w:r>
    </w:p>
    <w:p w14:paraId="46BE473D" w14:textId="77777777" w:rsidR="008C32A5" w:rsidRDefault="008C32A5" w:rsidP="008C32A5">
      <w:pPr>
        <w:rPr>
          <w:rFonts w:ascii="Century Gothic" w:hAnsi="Century Gothic" w:cs="Arial"/>
        </w:rPr>
      </w:pPr>
    </w:p>
    <w:p w14:paraId="0CBFBF7D" w14:textId="5FA49092" w:rsidR="008C32A5" w:rsidRDefault="001928CF" w:rsidP="008C32A5">
      <w:pPr>
        <w:rPr>
          <w:rFonts w:ascii="Century Gothic" w:hAnsi="Century Gothic" w:cs="Arial"/>
          <w:b/>
        </w:rPr>
      </w:pPr>
      <w:r>
        <w:rPr>
          <w:rFonts w:ascii="Century Gothic" w:hAnsi="Century Gothic" w:cs="Arial"/>
          <w:b/>
        </w:rPr>
        <w:t>OFFICE</w:t>
      </w:r>
      <w:proofErr w:type="spellStart"/>
      <w:r>
        <w:rPr>
          <w:rFonts w:ascii="Century Gothic" w:hAnsi="Century Gothic" w:cs="Arial"/>
          <w:b/>
        </w:rPr>
        <w:t xml:space="preserve"> OF TH</w:t>
      </w:r>
      <w:proofErr w:type="spellEnd"/>
      <w:r>
        <w:rPr>
          <w:rFonts w:ascii="Century Gothic" w:hAnsi="Century Gothic" w:cs="Arial"/>
          <w:b/>
        </w:rPr>
        <w:t>E PROVINCIAL PROSECUTOR</w:t>
      </w:r>
    </w:p>
    <w:p w14:paraId="3321C719" w14:textId="474B0868" w:rsidR="008C32A5" w:rsidRDefault="008C32A5" w:rsidP="008C32A5">
      <w:pPr>
        <w:rPr>
          <w:rFonts w:ascii="Century Gothic" w:hAnsi="Century Gothic" w:cs="Arial"/>
        </w:rPr>
      </w:pPr>
      <w:r>
        <w:rPr>
          <w:rFonts w:ascii="Century Gothic" w:hAnsi="Century Gothic" w:cs="Arial"/>
        </w:rPr>
        <w:t>Nabunturan, Davao de Oro</w:t>
      </w:r>
    </w:p>
    <w:p w14:paraId="31DFD5C3" w14:textId="77777777" w:rsidR="008C32A5" w:rsidRDefault="008C32A5" w:rsidP="008C32A5">
      <w:pPr>
        <w:rPr>
          <w:rFonts w:ascii="Century Gothic" w:hAnsi="Century Gothic" w:cs="Arial"/>
        </w:rPr>
      </w:pPr>
    </w:p>
    <w:p w14:paraId="73185ED9" w14:textId="77777777" w:rsidR="008C32A5" w:rsidRDefault="008C32A5" w:rsidP="008C32A5">
      <w:pPr>
        <w:rPr>
          <w:rFonts w:ascii="Century Gothic" w:hAnsi="Century Gothic" w:cs="Arial"/>
          <w:b/>
        </w:rPr>
      </w:pPr>
      <w:r>
        <w:rPr>
          <w:rFonts w:ascii="Century Gothic" w:hAnsi="Century Gothic" w:cs="Arial"/>
          <w:b/>
        </w:rPr>
        <w:t>ATTY. MITOS SHIELA J. PERANDOS-EVANGELISTA</w:t>
      </w:r>
    </w:p>
    <w:p w14:paraId="5145900B" w14:textId="77F5FEA8" w:rsidR="008C32A5" w:rsidRPr="00405254" w:rsidRDefault="008C32A5" w:rsidP="00405254">
      <w:pPr>
        <w:rPr>
          <w:rFonts w:ascii="Century Gothic" w:hAnsi="Century Gothic" w:cs="Arial"/>
        </w:rPr>
      </w:pPr>
      <w:r>
        <w:rPr>
          <w:rFonts w:ascii="Century Gothic" w:hAnsi="Century Gothic" w:cs="Arial"/>
        </w:rPr>
        <w:t>Public Attorney’s Office</w:t>
      </w:r>
      <w:r w:rsidR="00405254">
        <w:rPr>
          <w:rFonts w:ascii="Century Gothic" w:hAnsi="Century Gothic" w:cs="Arial"/>
        </w:rPr>
        <w:t xml:space="preserve">, </w:t>
      </w:r>
      <w:r>
        <w:rPr>
          <w:rFonts w:ascii="Century Gothic" w:hAnsi="Century Gothic" w:cs="Arial"/>
        </w:rPr>
        <w:t>Mabini District Office, Mabini, Davao de Oro</w:t>
      </w:r>
    </w:p>
    <w:sectPr w:rsidR="008C32A5" w:rsidRPr="00405254" w:rsidSect="00283B9C">
      <w:headerReference w:type="even" r:id="rId8"/>
      <w:headerReference w:type="default" r:id="rId9"/>
      <w:footerReference w:type="even" r:id="rId10"/>
      <w:footerReference w:type="default" r:id="rId11"/>
      <w:pgSz w:w="12240" w:h="18720" w:code="14"/>
      <w:pgMar w:top="1728" w:right="1440" w:bottom="1440" w:left="2160" w:header="720" w:footer="720" w:gutter="0"/>
      <w:paperSrc w:first="15" w:other="15"/>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FADFD" w14:textId="77777777" w:rsidR="00144640" w:rsidRDefault="00144640" w:rsidP="00307BA3">
      <w:r>
        <w:separator/>
      </w:r>
    </w:p>
  </w:endnote>
  <w:endnote w:type="continuationSeparator" w:id="0">
    <w:p w14:paraId="2AB0FDE1" w14:textId="77777777" w:rsidR="00144640" w:rsidRDefault="00144640" w:rsidP="00307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emorandum">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8621E" w14:textId="77777777" w:rsidR="00024F2E" w:rsidRDefault="00024F2E" w:rsidP="00305D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58F596" w14:textId="77777777" w:rsidR="00024F2E" w:rsidRDefault="00024F2E" w:rsidP="00305D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7641D" w14:textId="5ED9E41C" w:rsidR="00024F2E" w:rsidRDefault="00024F2E" w:rsidP="00305D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00A88900" w14:textId="77777777" w:rsidR="00024F2E" w:rsidRDefault="00024F2E" w:rsidP="00305DA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24E15" w14:textId="77777777" w:rsidR="00144640" w:rsidRDefault="00144640" w:rsidP="00307BA3">
      <w:r>
        <w:separator/>
      </w:r>
    </w:p>
  </w:footnote>
  <w:footnote w:type="continuationSeparator" w:id="0">
    <w:p w14:paraId="1555299D" w14:textId="77777777" w:rsidR="00144640" w:rsidRDefault="00144640" w:rsidP="00307BA3">
      <w:r>
        <w:continuationSeparator/>
      </w:r>
    </w:p>
  </w:footnote>
  <w:footnote w:id="1">
    <w:p w14:paraId="2A03A157" w14:textId="61874F7D" w:rsidR="00024F2E" w:rsidRDefault="00024F2E" w:rsidP="0026657A">
      <w:pPr>
        <w:pStyle w:val="FootnoteText"/>
      </w:pPr>
      <w:r>
        <w:rPr>
          <w:rStyle w:val="FootnoteReference"/>
        </w:rPr>
        <w:footnoteRef/>
      </w:r>
      <w:r>
        <w:t xml:space="preserve"> Rollo, p. 3. </w:t>
      </w:r>
    </w:p>
  </w:footnote>
  <w:footnote w:id="2">
    <w:p w14:paraId="457F1BB5" w14:textId="7355A705" w:rsidR="00024F2E" w:rsidRPr="00A265FD" w:rsidRDefault="00024F2E">
      <w:pPr>
        <w:pStyle w:val="FootnoteText"/>
        <w:rPr>
          <w:lang w:val="en-PH"/>
        </w:rPr>
      </w:pPr>
      <w:r>
        <w:rPr>
          <w:rStyle w:val="FootnoteReference"/>
        </w:rPr>
        <w:footnoteRef/>
      </w:r>
      <w:r>
        <w:t xml:space="preserve"> </w:t>
      </w:r>
      <w:r>
        <w:rPr>
          <w:lang w:val="en-PH"/>
        </w:rPr>
        <w:t xml:space="preserve">Rollo, pp. 68-69. </w:t>
      </w:r>
    </w:p>
  </w:footnote>
  <w:footnote w:id="3">
    <w:p w14:paraId="30A66168" w14:textId="7AA7AF19" w:rsidR="00024F2E" w:rsidRDefault="00024F2E">
      <w:pPr>
        <w:pStyle w:val="FootnoteText"/>
      </w:pPr>
      <w:r>
        <w:rPr>
          <w:rStyle w:val="FootnoteReference"/>
        </w:rPr>
        <w:footnoteRef/>
      </w:r>
      <w:r>
        <w:t xml:space="preserve"> Rollo, pp. 13-18. </w:t>
      </w:r>
    </w:p>
  </w:footnote>
  <w:footnote w:id="4">
    <w:p w14:paraId="184E41AA" w14:textId="63D92316" w:rsidR="00024F2E" w:rsidRDefault="00024F2E">
      <w:pPr>
        <w:pStyle w:val="FootnoteText"/>
      </w:pPr>
      <w:r>
        <w:rPr>
          <w:rStyle w:val="FootnoteReference"/>
        </w:rPr>
        <w:footnoteRef/>
      </w:r>
      <w:r>
        <w:t xml:space="preserve"> Rollo, p. 25. </w:t>
      </w:r>
    </w:p>
  </w:footnote>
  <w:footnote w:id="5">
    <w:p w14:paraId="28657756" w14:textId="0A7D2D94" w:rsidR="00024F2E" w:rsidRDefault="00024F2E">
      <w:pPr>
        <w:pStyle w:val="FootnoteText"/>
      </w:pPr>
      <w:r>
        <w:rPr>
          <w:rStyle w:val="FootnoteReference"/>
        </w:rPr>
        <w:footnoteRef/>
      </w:r>
      <w:r>
        <w:t xml:space="preserve"> Rollo, p. 24. </w:t>
      </w:r>
    </w:p>
  </w:footnote>
  <w:footnote w:id="6">
    <w:p w14:paraId="7298E63D" w14:textId="64CBDEFE" w:rsidR="00024F2E" w:rsidRDefault="00024F2E">
      <w:pPr>
        <w:pStyle w:val="FootnoteText"/>
      </w:pPr>
      <w:r>
        <w:rPr>
          <w:rStyle w:val="FootnoteReference"/>
        </w:rPr>
        <w:footnoteRef/>
      </w:r>
      <w:r>
        <w:t xml:space="preserve"> TRANSCRIPT OF STENOGRAPHIC NOTES dated OCTOBER 1, 2020.  </w:t>
      </w:r>
    </w:p>
  </w:footnote>
  <w:footnote w:id="7">
    <w:p w14:paraId="345ED76E" w14:textId="51D2C5C6" w:rsidR="00024F2E" w:rsidRDefault="00024F2E">
      <w:pPr>
        <w:pStyle w:val="FootnoteText"/>
      </w:pPr>
      <w:r>
        <w:rPr>
          <w:rStyle w:val="FootnoteReference"/>
        </w:rPr>
        <w:footnoteRef/>
      </w:r>
      <w:r>
        <w:t xml:space="preserve"> Ibid. </w:t>
      </w:r>
    </w:p>
  </w:footnote>
  <w:footnote w:id="8">
    <w:p w14:paraId="1E091816" w14:textId="560E17ED" w:rsidR="00024F2E" w:rsidRDefault="00024F2E">
      <w:pPr>
        <w:pStyle w:val="FootnoteText"/>
      </w:pPr>
      <w:r>
        <w:rPr>
          <w:rStyle w:val="FootnoteReference"/>
        </w:rPr>
        <w:footnoteRef/>
      </w:r>
      <w:r>
        <w:t xml:space="preserve"> TRANSCRIPT OF STENOGRAPHIC NOTES dated MARCH 4, 2021. </w:t>
      </w:r>
    </w:p>
  </w:footnote>
  <w:footnote w:id="9">
    <w:p w14:paraId="4CB248CE" w14:textId="72663C99" w:rsidR="00024F2E" w:rsidRDefault="00024F2E">
      <w:pPr>
        <w:pStyle w:val="FootnoteText"/>
      </w:pPr>
      <w:r>
        <w:rPr>
          <w:rStyle w:val="FootnoteReference"/>
        </w:rPr>
        <w:footnoteRef/>
      </w:r>
      <w:r>
        <w:t xml:space="preserve"> Ibid. </w:t>
      </w:r>
    </w:p>
  </w:footnote>
  <w:footnote w:id="10">
    <w:p w14:paraId="6F774EDF" w14:textId="5A00982C" w:rsidR="00024F2E" w:rsidRDefault="00024F2E">
      <w:pPr>
        <w:pStyle w:val="FootnoteText"/>
      </w:pPr>
      <w:r>
        <w:rPr>
          <w:rStyle w:val="FootnoteReference"/>
        </w:rPr>
        <w:footnoteRef/>
      </w:r>
      <w:r>
        <w:t xml:space="preserve"> Rollo, p. 11. </w:t>
      </w:r>
    </w:p>
  </w:footnote>
  <w:footnote w:id="11">
    <w:p w14:paraId="42006E20" w14:textId="77777777" w:rsidR="00024F2E" w:rsidRDefault="00024F2E" w:rsidP="00640970">
      <w:pPr>
        <w:pStyle w:val="FootnoteText"/>
      </w:pPr>
      <w:r>
        <w:rPr>
          <w:rStyle w:val="FootnoteReference"/>
        </w:rPr>
        <w:footnoteRef/>
      </w:r>
      <w:r>
        <w:t xml:space="preserve"> Rollo, pp. 13-18. </w:t>
      </w:r>
    </w:p>
  </w:footnote>
  <w:footnote w:id="12">
    <w:p w14:paraId="0BDBE841" w14:textId="63B5F8B2" w:rsidR="00024F2E" w:rsidRDefault="00024F2E">
      <w:pPr>
        <w:pStyle w:val="FootnoteText"/>
      </w:pPr>
      <w:r>
        <w:rPr>
          <w:rStyle w:val="FootnoteReference"/>
        </w:rPr>
        <w:footnoteRef/>
      </w:r>
      <w:r>
        <w:t xml:space="preserve"> Rollo, p. 21. </w:t>
      </w:r>
    </w:p>
  </w:footnote>
  <w:footnote w:id="13">
    <w:p w14:paraId="195105EE" w14:textId="449F9BDF" w:rsidR="00024F2E" w:rsidRDefault="00024F2E">
      <w:pPr>
        <w:pStyle w:val="FootnoteText"/>
      </w:pPr>
      <w:r>
        <w:rPr>
          <w:rStyle w:val="FootnoteReference"/>
        </w:rPr>
        <w:footnoteRef/>
      </w:r>
      <w:r>
        <w:t xml:space="preserve"> Rollo, p. 23. </w:t>
      </w:r>
    </w:p>
  </w:footnote>
  <w:footnote w:id="14">
    <w:p w14:paraId="0F5BEFF5" w14:textId="0CF36809" w:rsidR="00024F2E" w:rsidRDefault="00024F2E">
      <w:pPr>
        <w:pStyle w:val="FootnoteText"/>
      </w:pPr>
      <w:r>
        <w:rPr>
          <w:rStyle w:val="FootnoteReference"/>
        </w:rPr>
        <w:footnoteRef/>
      </w:r>
      <w:r>
        <w:t xml:space="preserve"> Rollo, p. 22. </w:t>
      </w:r>
    </w:p>
  </w:footnote>
  <w:footnote w:id="15">
    <w:p w14:paraId="5CBBDADF" w14:textId="28CB4877" w:rsidR="00024F2E" w:rsidRDefault="00024F2E">
      <w:pPr>
        <w:pStyle w:val="FootnoteText"/>
      </w:pPr>
      <w:r>
        <w:rPr>
          <w:rStyle w:val="FootnoteReference"/>
        </w:rPr>
        <w:footnoteRef/>
      </w:r>
      <w:r>
        <w:t xml:space="preserve"> TRANSCRIPT OF STENOGRAPHIC NOTES dated MAY 4, 2021. </w:t>
      </w:r>
    </w:p>
  </w:footnote>
  <w:footnote w:id="16">
    <w:p w14:paraId="49DFB781" w14:textId="26BD045B" w:rsidR="00024F2E" w:rsidRDefault="00024F2E">
      <w:pPr>
        <w:pStyle w:val="FootnoteText"/>
      </w:pPr>
      <w:r>
        <w:rPr>
          <w:rStyle w:val="FootnoteReference"/>
        </w:rPr>
        <w:footnoteRef/>
      </w:r>
      <w:r>
        <w:t xml:space="preserve"> Ibid. </w:t>
      </w:r>
    </w:p>
  </w:footnote>
  <w:footnote w:id="17">
    <w:p w14:paraId="6BD8E4AB" w14:textId="5695A4E8" w:rsidR="005D14B1" w:rsidRDefault="005D14B1">
      <w:pPr>
        <w:pStyle w:val="FootnoteText"/>
      </w:pPr>
      <w:r>
        <w:rPr>
          <w:rStyle w:val="FootnoteReference"/>
        </w:rPr>
        <w:footnoteRef/>
      </w:r>
      <w:r>
        <w:t xml:space="preserve"> Rollo, p. </w:t>
      </w:r>
      <w:r w:rsidR="004E6425">
        <w:t xml:space="preserve">12. </w:t>
      </w:r>
    </w:p>
  </w:footnote>
  <w:footnote w:id="18">
    <w:p w14:paraId="5A476D8E" w14:textId="6139ECC8" w:rsidR="00024F2E" w:rsidRDefault="00024F2E">
      <w:pPr>
        <w:pStyle w:val="FootnoteText"/>
      </w:pPr>
      <w:r>
        <w:rPr>
          <w:rStyle w:val="FootnoteReference"/>
        </w:rPr>
        <w:footnoteRef/>
      </w:r>
      <w:r>
        <w:t xml:space="preserve"> TRANSCRIPT OF STENOGRAPHIC NOTES dated AUGUST 3, 2021. </w:t>
      </w:r>
    </w:p>
  </w:footnote>
  <w:footnote w:id="19">
    <w:p w14:paraId="34DB72A0" w14:textId="158B3591" w:rsidR="00024F2E" w:rsidRDefault="00024F2E">
      <w:pPr>
        <w:pStyle w:val="FootnoteText"/>
      </w:pPr>
      <w:r>
        <w:rPr>
          <w:rStyle w:val="FootnoteReference"/>
        </w:rPr>
        <w:footnoteRef/>
      </w:r>
      <w:r>
        <w:t xml:space="preserve"> Rollo, p. 36. </w:t>
      </w:r>
    </w:p>
  </w:footnote>
  <w:footnote w:id="20">
    <w:p w14:paraId="5654BEE5" w14:textId="48B1AB23" w:rsidR="007A78E9" w:rsidRDefault="007A78E9">
      <w:pPr>
        <w:pStyle w:val="FootnoteText"/>
      </w:pPr>
      <w:r>
        <w:rPr>
          <w:rStyle w:val="FootnoteReference"/>
        </w:rPr>
        <w:footnoteRef/>
      </w:r>
      <w:r>
        <w:t xml:space="preserve"> Ibid. </w:t>
      </w:r>
    </w:p>
  </w:footnote>
  <w:footnote w:id="21">
    <w:p w14:paraId="13A43C40" w14:textId="1813D03E" w:rsidR="007A78E9" w:rsidRDefault="007A78E9">
      <w:pPr>
        <w:pStyle w:val="FootnoteText"/>
      </w:pPr>
      <w:r>
        <w:rPr>
          <w:rStyle w:val="FootnoteReference"/>
        </w:rPr>
        <w:footnoteRef/>
      </w:r>
      <w:r>
        <w:t xml:space="preserve"> Rollo, p. 26. </w:t>
      </w:r>
    </w:p>
  </w:footnote>
  <w:footnote w:id="22">
    <w:p w14:paraId="6CDCE1AF" w14:textId="4D309751" w:rsidR="007A78E9" w:rsidRDefault="007A78E9">
      <w:pPr>
        <w:pStyle w:val="FootnoteText"/>
      </w:pPr>
      <w:r>
        <w:rPr>
          <w:rStyle w:val="FootnoteReference"/>
        </w:rPr>
        <w:footnoteRef/>
      </w:r>
      <w:r>
        <w:t xml:space="preserve"> Rollo, p. 110. </w:t>
      </w:r>
    </w:p>
  </w:footnote>
  <w:footnote w:id="23">
    <w:p w14:paraId="49806B62" w14:textId="55BEC7BE" w:rsidR="004E6425" w:rsidRDefault="004E6425">
      <w:pPr>
        <w:pStyle w:val="FootnoteText"/>
      </w:pPr>
      <w:r>
        <w:rPr>
          <w:rStyle w:val="FootnoteReference"/>
        </w:rPr>
        <w:footnoteRef/>
      </w:r>
      <w:r>
        <w:t xml:space="preserve"> Rollo, p. 22. </w:t>
      </w:r>
    </w:p>
  </w:footnote>
  <w:footnote w:id="24">
    <w:p w14:paraId="036DD56D" w14:textId="15D73B0F" w:rsidR="004E6425" w:rsidRDefault="004E6425">
      <w:pPr>
        <w:pStyle w:val="FootnoteText"/>
      </w:pPr>
      <w:r>
        <w:rPr>
          <w:rStyle w:val="FootnoteReference"/>
        </w:rPr>
        <w:footnoteRef/>
      </w:r>
      <w:r>
        <w:t xml:space="preserve"> Rollo, p. 126. </w:t>
      </w:r>
    </w:p>
  </w:footnote>
  <w:footnote w:id="25">
    <w:p w14:paraId="7CC28DBB" w14:textId="1A389433" w:rsidR="008216CA" w:rsidRDefault="008216CA">
      <w:pPr>
        <w:pStyle w:val="FootnoteText"/>
      </w:pPr>
      <w:r>
        <w:rPr>
          <w:rStyle w:val="FootnoteReference"/>
        </w:rPr>
        <w:footnoteRef/>
      </w:r>
      <w:r>
        <w:t xml:space="preserve"> TRANSCRIPT OF STENOGRAPHIC NOTES dated MAY 26, 2022. </w:t>
      </w:r>
    </w:p>
  </w:footnote>
  <w:footnote w:id="26">
    <w:p w14:paraId="6F1165DC" w14:textId="1817D0C6" w:rsidR="00024F2E" w:rsidRDefault="00024F2E">
      <w:pPr>
        <w:pStyle w:val="FootnoteText"/>
      </w:pPr>
      <w:r>
        <w:rPr>
          <w:rStyle w:val="FootnoteReference"/>
        </w:rPr>
        <w:footnoteRef/>
      </w:r>
      <w:r>
        <w:t xml:space="preserve"> Rollo, p. </w:t>
      </w:r>
      <w:r w:rsidR="008216CA">
        <w:t>135</w:t>
      </w:r>
      <w:r>
        <w:t xml:space="preserve">. </w:t>
      </w:r>
    </w:p>
  </w:footnote>
  <w:footnote w:id="27">
    <w:p w14:paraId="14EC7F7A" w14:textId="085C9E38" w:rsidR="008216CA" w:rsidRDefault="008216CA">
      <w:pPr>
        <w:pStyle w:val="FootnoteText"/>
      </w:pPr>
      <w:r>
        <w:rPr>
          <w:rStyle w:val="FootnoteReference"/>
        </w:rPr>
        <w:footnoteRef/>
      </w:r>
      <w:r>
        <w:t xml:space="preserve"> Rollo, pp. 136-158. </w:t>
      </w:r>
    </w:p>
  </w:footnote>
  <w:footnote w:id="28">
    <w:p w14:paraId="752FA253" w14:textId="52C03AF3" w:rsidR="00D729A9" w:rsidRDefault="00D729A9">
      <w:pPr>
        <w:pStyle w:val="FootnoteText"/>
      </w:pPr>
      <w:r>
        <w:rPr>
          <w:rStyle w:val="FootnoteReference"/>
        </w:rPr>
        <w:footnoteRef/>
      </w:r>
      <w:r>
        <w:t xml:space="preserve"> Rollo, pp. 160-161. </w:t>
      </w:r>
    </w:p>
  </w:footnote>
  <w:footnote w:id="29">
    <w:p w14:paraId="4CC0ED6D" w14:textId="55B9F440" w:rsidR="008216CA" w:rsidRDefault="008216CA">
      <w:pPr>
        <w:pStyle w:val="FootnoteText"/>
      </w:pPr>
      <w:r>
        <w:rPr>
          <w:rStyle w:val="FootnoteReference"/>
        </w:rPr>
        <w:footnoteRef/>
      </w:r>
      <w:r>
        <w:t xml:space="preserve"> Rollo, p. 159. </w:t>
      </w:r>
    </w:p>
  </w:footnote>
  <w:footnote w:id="30">
    <w:p w14:paraId="3450C1E0" w14:textId="4604BAD5" w:rsidR="00D729A9" w:rsidRDefault="00D729A9">
      <w:pPr>
        <w:pStyle w:val="FootnoteText"/>
      </w:pPr>
      <w:r>
        <w:rPr>
          <w:rStyle w:val="FootnoteReference"/>
        </w:rPr>
        <w:footnoteRef/>
      </w:r>
      <w:r>
        <w:t xml:space="preserve"> Rollo, pp. 163-164. </w:t>
      </w:r>
    </w:p>
  </w:footnote>
  <w:footnote w:id="31">
    <w:p w14:paraId="5CF22D44" w14:textId="4D34F938" w:rsidR="00D729A9" w:rsidRDefault="00D729A9">
      <w:pPr>
        <w:pStyle w:val="FootnoteText"/>
      </w:pPr>
      <w:r>
        <w:rPr>
          <w:rStyle w:val="FootnoteReference"/>
        </w:rPr>
        <w:footnoteRef/>
      </w:r>
      <w:r>
        <w:t xml:space="preserve"> Rollo, p. 166. </w:t>
      </w:r>
    </w:p>
  </w:footnote>
  <w:footnote w:id="32">
    <w:p w14:paraId="28BA41E1" w14:textId="5DD5B8E6" w:rsidR="00024F2E" w:rsidRPr="00066A20" w:rsidRDefault="00024F2E">
      <w:pPr>
        <w:pStyle w:val="FootnoteText"/>
        <w:rPr>
          <w:lang w:val="en-PH"/>
        </w:rPr>
      </w:pPr>
      <w:r>
        <w:rPr>
          <w:rStyle w:val="FootnoteReference"/>
        </w:rPr>
        <w:footnoteRef/>
      </w:r>
      <w:r>
        <w:t xml:space="preserve"> Rollo, pp. </w:t>
      </w:r>
      <w:r>
        <w:rPr>
          <w:lang w:val="en-PH"/>
        </w:rPr>
        <w:t xml:space="preserve">72-74. </w:t>
      </w:r>
    </w:p>
  </w:footnote>
  <w:footnote w:id="33">
    <w:p w14:paraId="2523321D" w14:textId="2CB3BC0E" w:rsidR="00024F2E" w:rsidRDefault="00024F2E" w:rsidP="00017DC4">
      <w:pPr>
        <w:pStyle w:val="FootnoteText"/>
        <w:jc w:val="both"/>
      </w:pPr>
      <w:r>
        <w:rPr>
          <w:rStyle w:val="FootnoteReference"/>
        </w:rPr>
        <w:footnoteRef/>
      </w:r>
      <w:r>
        <w:t xml:space="preserve"> NILO MACAYAN, JR. y MALANA, Petitioner, vs. PEOPLE OF THE PHILIPPINES, Respondent, </w:t>
      </w:r>
      <w:r w:rsidRPr="00017DC4">
        <w:t>G.R. No. 175842</w:t>
      </w:r>
      <w:r>
        <w:t xml:space="preserve">, March 18, 2015. </w:t>
      </w:r>
    </w:p>
  </w:footnote>
  <w:footnote w:id="34">
    <w:p w14:paraId="1B70EC20" w14:textId="3EC42EA4" w:rsidR="00FA78D6" w:rsidRPr="00FA78D6" w:rsidRDefault="00FA78D6" w:rsidP="00FA78D6">
      <w:pPr>
        <w:pStyle w:val="FootnoteText"/>
        <w:jc w:val="both"/>
      </w:pPr>
      <w:r>
        <w:rPr>
          <w:rStyle w:val="FootnoteReference"/>
        </w:rPr>
        <w:footnoteRef/>
      </w:r>
      <w:r>
        <w:t xml:space="preserve"> </w:t>
      </w:r>
      <w:r>
        <w:t>CRISOSTOMO VILLARIN and ANIANO LATAYADA, Petitioners,</w:t>
      </w:r>
      <w:r>
        <w:t xml:space="preserve"> </w:t>
      </w:r>
      <w:r>
        <w:t>vs.</w:t>
      </w:r>
      <w:r>
        <w:t xml:space="preserve"> P</w:t>
      </w:r>
      <w:r>
        <w:t>EOPLE OF THE PHILIPPINES, Respondent</w:t>
      </w:r>
      <w:r>
        <w:t xml:space="preserve">, </w:t>
      </w:r>
      <w:r w:rsidRPr="00FA78D6">
        <w:t>G.R. No. 175289</w:t>
      </w:r>
      <w:r>
        <w:t xml:space="preserve">, </w:t>
      </w:r>
      <w:r w:rsidRPr="00FA78D6">
        <w:t>August 31, 2011</w:t>
      </w:r>
      <w:r>
        <w:t xml:space="preserve">. </w:t>
      </w:r>
    </w:p>
  </w:footnote>
  <w:footnote w:id="35">
    <w:p w14:paraId="3BD23B1F" w14:textId="34D99B35" w:rsidR="00F420FC" w:rsidRDefault="00F420FC">
      <w:pPr>
        <w:pStyle w:val="FootnoteText"/>
      </w:pPr>
      <w:r>
        <w:rPr>
          <w:rStyle w:val="FootnoteReference"/>
        </w:rPr>
        <w:footnoteRef/>
      </w:r>
      <w:r>
        <w:t xml:space="preserve"> Rollo, pp. 5-7. </w:t>
      </w:r>
    </w:p>
  </w:footnote>
  <w:footnote w:id="36">
    <w:p w14:paraId="00EAC851" w14:textId="4746B0FB" w:rsidR="002A28A9" w:rsidRDefault="002A28A9" w:rsidP="002A28A9">
      <w:pPr>
        <w:pStyle w:val="FootnoteText"/>
      </w:pPr>
      <w:r>
        <w:rPr>
          <w:rStyle w:val="FootnoteReference"/>
        </w:rPr>
        <w:footnoteRef/>
      </w:r>
      <w:r>
        <w:t xml:space="preserve"> </w:t>
      </w:r>
      <w:r w:rsidR="00CA111F">
        <w:t>Rollo, pp. 144-149</w:t>
      </w:r>
      <w:r>
        <w:t xml:space="preserve">. </w:t>
      </w:r>
    </w:p>
  </w:footnote>
  <w:footnote w:id="37">
    <w:p w14:paraId="2B519883" w14:textId="793FE2C5" w:rsidR="00CA111F" w:rsidRPr="00CA111F" w:rsidRDefault="00CA111F">
      <w:pPr>
        <w:pStyle w:val="FootnoteText"/>
        <w:rPr>
          <w:lang w:val="en-PH"/>
        </w:rPr>
      </w:pPr>
      <w:r>
        <w:rPr>
          <w:rStyle w:val="FootnoteReference"/>
        </w:rPr>
        <w:footnoteRef/>
      </w:r>
      <w:r>
        <w:t xml:space="preserve"> </w:t>
      </w:r>
      <w:r>
        <w:rPr>
          <w:lang w:val="en-PH"/>
        </w:rPr>
        <w:t xml:space="preserve">Rollo, p. 142. </w:t>
      </w:r>
    </w:p>
  </w:footnote>
  <w:footnote w:id="38">
    <w:p w14:paraId="12642692" w14:textId="7974B0FB" w:rsidR="00CA111F" w:rsidRPr="00CA111F" w:rsidRDefault="00CA111F">
      <w:pPr>
        <w:pStyle w:val="FootnoteText"/>
        <w:rPr>
          <w:lang w:val="en-PH"/>
        </w:rPr>
      </w:pPr>
      <w:r>
        <w:rPr>
          <w:rStyle w:val="FootnoteReference"/>
        </w:rPr>
        <w:footnoteRef/>
      </w:r>
      <w:r>
        <w:t xml:space="preserve"> </w:t>
      </w:r>
      <w:r>
        <w:rPr>
          <w:lang w:val="en-PH"/>
        </w:rPr>
        <w:t xml:space="preserve">Rollo, p. 158. </w:t>
      </w:r>
    </w:p>
  </w:footnote>
  <w:footnote w:id="39">
    <w:p w14:paraId="348190E8" w14:textId="13E8BCDA" w:rsidR="00CA111F" w:rsidRDefault="00CA111F" w:rsidP="00CA111F">
      <w:pPr>
        <w:pStyle w:val="FootnoteText"/>
      </w:pPr>
      <w:r>
        <w:rPr>
          <w:rStyle w:val="FootnoteReference"/>
        </w:rPr>
        <w:footnoteRef/>
      </w:r>
      <w:r>
        <w:t xml:space="preserve"> Rollo, pp. 1</w:t>
      </w:r>
      <w:r>
        <w:t>44-149</w:t>
      </w:r>
      <w:r>
        <w:t xml:space="preserve">. </w:t>
      </w:r>
    </w:p>
  </w:footnote>
  <w:footnote w:id="40">
    <w:p w14:paraId="018A12DE" w14:textId="77777777" w:rsidR="00D704FB" w:rsidRPr="00CA111F" w:rsidRDefault="00D704FB" w:rsidP="00D704FB">
      <w:pPr>
        <w:pStyle w:val="FootnoteText"/>
        <w:rPr>
          <w:lang w:val="en-PH"/>
        </w:rPr>
      </w:pPr>
      <w:r>
        <w:rPr>
          <w:rStyle w:val="FootnoteReference"/>
        </w:rPr>
        <w:footnoteRef/>
      </w:r>
      <w:r>
        <w:t xml:space="preserve"> </w:t>
      </w:r>
      <w:r>
        <w:rPr>
          <w:lang w:val="en-PH"/>
        </w:rPr>
        <w:t xml:space="preserve">Rollo, p. 158.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F3B8B" w14:textId="77777777" w:rsidR="00024F2E" w:rsidRDefault="00024F2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9CC408D" w14:textId="77777777" w:rsidR="00024F2E" w:rsidRDefault="00024F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E8458" w14:textId="77777777" w:rsidR="00024F2E" w:rsidRDefault="00024F2E">
    <w:pPr>
      <w:pStyle w:val="Header"/>
      <w:framePr w:h="360" w:hRule="exact" w:wrap="around" w:vAnchor="text" w:hAnchor="margin" w:xAlign="center" w:y="181"/>
      <w:jc w:val="center"/>
      <w:rPr>
        <w:rStyle w:val="PageNumber"/>
        <w:rFonts w:ascii="Arial" w:hAnsi="Arial" w:cs="Arial"/>
        <w:snapToGrid w:val="0"/>
        <w:sz w:val="18"/>
      </w:rPr>
    </w:pPr>
  </w:p>
  <w:p w14:paraId="7667EF92" w14:textId="77777777" w:rsidR="00024F2E" w:rsidRDefault="00024F2E">
    <w:pPr>
      <w:pStyle w:val="Header"/>
      <w:framePr w:wrap="around" w:vAnchor="text" w:hAnchor="margin" w:xAlign="center" w:y="1"/>
      <w:rPr>
        <w:rStyle w:val="PageNumber"/>
        <w:rFonts w:ascii="Courier New" w:hAnsi="Courier New"/>
      </w:rPr>
    </w:pPr>
  </w:p>
  <w:p w14:paraId="0C5E9872" w14:textId="77777777" w:rsidR="00024F2E" w:rsidRDefault="00024F2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8F722E6"/>
    <w:multiLevelType w:val="singleLevel"/>
    <w:tmpl w:val="98F722E6"/>
    <w:lvl w:ilvl="0">
      <w:start w:val="1"/>
      <w:numFmt w:val="decimal"/>
      <w:suff w:val="space"/>
      <w:lvlText w:val="(%1)"/>
      <w:lvlJc w:val="left"/>
    </w:lvl>
  </w:abstractNum>
  <w:abstractNum w:abstractNumId="1" w15:restartNumberingAfterBreak="0">
    <w:nsid w:val="03155DA2"/>
    <w:multiLevelType w:val="hybridMultilevel"/>
    <w:tmpl w:val="910045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03BE422A"/>
    <w:multiLevelType w:val="hybridMultilevel"/>
    <w:tmpl w:val="D2FCCC36"/>
    <w:lvl w:ilvl="0" w:tplc="C148865A">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EF1B68"/>
    <w:multiLevelType w:val="hybridMultilevel"/>
    <w:tmpl w:val="63423CCC"/>
    <w:lvl w:ilvl="0" w:tplc="C5FA7D96">
      <w:start w:val="5"/>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0F684338"/>
    <w:multiLevelType w:val="hybridMultilevel"/>
    <w:tmpl w:val="276CB23A"/>
    <w:lvl w:ilvl="0" w:tplc="C148865A">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3AB1483"/>
    <w:multiLevelType w:val="hybridMultilevel"/>
    <w:tmpl w:val="DA0CA84C"/>
    <w:lvl w:ilvl="0" w:tplc="1A6E5F98">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23BD44D8"/>
    <w:multiLevelType w:val="hybridMultilevel"/>
    <w:tmpl w:val="CFD22F90"/>
    <w:lvl w:ilvl="0" w:tplc="A860DF16">
      <w:start w:val="1"/>
      <w:numFmt w:val="decimal"/>
      <w:lvlText w:val="%1."/>
      <w:lvlJc w:val="left"/>
      <w:pPr>
        <w:ind w:left="1069" w:hanging="360"/>
      </w:pPr>
      <w:rPr>
        <w:rFonts w:hint="default"/>
      </w:rPr>
    </w:lvl>
    <w:lvl w:ilvl="1" w:tplc="34090019" w:tentative="1">
      <w:start w:val="1"/>
      <w:numFmt w:val="lowerLetter"/>
      <w:lvlText w:val="%2."/>
      <w:lvlJc w:val="left"/>
      <w:pPr>
        <w:ind w:left="1789" w:hanging="360"/>
      </w:pPr>
    </w:lvl>
    <w:lvl w:ilvl="2" w:tplc="3409001B" w:tentative="1">
      <w:start w:val="1"/>
      <w:numFmt w:val="lowerRoman"/>
      <w:lvlText w:val="%3."/>
      <w:lvlJc w:val="right"/>
      <w:pPr>
        <w:ind w:left="2509" w:hanging="180"/>
      </w:pPr>
    </w:lvl>
    <w:lvl w:ilvl="3" w:tplc="3409000F" w:tentative="1">
      <w:start w:val="1"/>
      <w:numFmt w:val="decimal"/>
      <w:lvlText w:val="%4."/>
      <w:lvlJc w:val="left"/>
      <w:pPr>
        <w:ind w:left="3229" w:hanging="360"/>
      </w:pPr>
    </w:lvl>
    <w:lvl w:ilvl="4" w:tplc="34090019" w:tentative="1">
      <w:start w:val="1"/>
      <w:numFmt w:val="lowerLetter"/>
      <w:lvlText w:val="%5."/>
      <w:lvlJc w:val="left"/>
      <w:pPr>
        <w:ind w:left="3949" w:hanging="360"/>
      </w:pPr>
    </w:lvl>
    <w:lvl w:ilvl="5" w:tplc="3409001B" w:tentative="1">
      <w:start w:val="1"/>
      <w:numFmt w:val="lowerRoman"/>
      <w:lvlText w:val="%6."/>
      <w:lvlJc w:val="right"/>
      <w:pPr>
        <w:ind w:left="4669" w:hanging="180"/>
      </w:pPr>
    </w:lvl>
    <w:lvl w:ilvl="6" w:tplc="3409000F" w:tentative="1">
      <w:start w:val="1"/>
      <w:numFmt w:val="decimal"/>
      <w:lvlText w:val="%7."/>
      <w:lvlJc w:val="left"/>
      <w:pPr>
        <w:ind w:left="5389" w:hanging="360"/>
      </w:pPr>
    </w:lvl>
    <w:lvl w:ilvl="7" w:tplc="34090019" w:tentative="1">
      <w:start w:val="1"/>
      <w:numFmt w:val="lowerLetter"/>
      <w:lvlText w:val="%8."/>
      <w:lvlJc w:val="left"/>
      <w:pPr>
        <w:ind w:left="6109" w:hanging="360"/>
      </w:pPr>
    </w:lvl>
    <w:lvl w:ilvl="8" w:tplc="3409001B" w:tentative="1">
      <w:start w:val="1"/>
      <w:numFmt w:val="lowerRoman"/>
      <w:lvlText w:val="%9."/>
      <w:lvlJc w:val="right"/>
      <w:pPr>
        <w:ind w:left="6829" w:hanging="180"/>
      </w:pPr>
    </w:lvl>
  </w:abstractNum>
  <w:abstractNum w:abstractNumId="7" w15:restartNumberingAfterBreak="0">
    <w:nsid w:val="2DD4493B"/>
    <w:multiLevelType w:val="hybridMultilevel"/>
    <w:tmpl w:val="A724A8D4"/>
    <w:lvl w:ilvl="0" w:tplc="528AEC1C">
      <w:start w:val="1"/>
      <w:numFmt w:val="decimal"/>
      <w:lvlText w:val="%1."/>
      <w:lvlJc w:val="left"/>
      <w:pPr>
        <w:ind w:left="927" w:hanging="360"/>
      </w:pPr>
      <w:rPr>
        <w:rFonts w:hint="default"/>
      </w:rPr>
    </w:lvl>
    <w:lvl w:ilvl="1" w:tplc="34090019" w:tentative="1">
      <w:start w:val="1"/>
      <w:numFmt w:val="lowerLetter"/>
      <w:lvlText w:val="%2."/>
      <w:lvlJc w:val="left"/>
      <w:pPr>
        <w:ind w:left="1647" w:hanging="360"/>
      </w:pPr>
    </w:lvl>
    <w:lvl w:ilvl="2" w:tplc="3409001B" w:tentative="1">
      <w:start w:val="1"/>
      <w:numFmt w:val="lowerRoman"/>
      <w:lvlText w:val="%3."/>
      <w:lvlJc w:val="right"/>
      <w:pPr>
        <w:ind w:left="2367" w:hanging="180"/>
      </w:pPr>
    </w:lvl>
    <w:lvl w:ilvl="3" w:tplc="3409000F" w:tentative="1">
      <w:start w:val="1"/>
      <w:numFmt w:val="decimal"/>
      <w:lvlText w:val="%4."/>
      <w:lvlJc w:val="left"/>
      <w:pPr>
        <w:ind w:left="3087" w:hanging="360"/>
      </w:pPr>
    </w:lvl>
    <w:lvl w:ilvl="4" w:tplc="34090019" w:tentative="1">
      <w:start w:val="1"/>
      <w:numFmt w:val="lowerLetter"/>
      <w:lvlText w:val="%5."/>
      <w:lvlJc w:val="left"/>
      <w:pPr>
        <w:ind w:left="3807" w:hanging="360"/>
      </w:pPr>
    </w:lvl>
    <w:lvl w:ilvl="5" w:tplc="3409001B" w:tentative="1">
      <w:start w:val="1"/>
      <w:numFmt w:val="lowerRoman"/>
      <w:lvlText w:val="%6."/>
      <w:lvlJc w:val="right"/>
      <w:pPr>
        <w:ind w:left="4527" w:hanging="180"/>
      </w:pPr>
    </w:lvl>
    <w:lvl w:ilvl="6" w:tplc="3409000F" w:tentative="1">
      <w:start w:val="1"/>
      <w:numFmt w:val="decimal"/>
      <w:lvlText w:val="%7."/>
      <w:lvlJc w:val="left"/>
      <w:pPr>
        <w:ind w:left="5247" w:hanging="360"/>
      </w:pPr>
    </w:lvl>
    <w:lvl w:ilvl="7" w:tplc="34090019" w:tentative="1">
      <w:start w:val="1"/>
      <w:numFmt w:val="lowerLetter"/>
      <w:lvlText w:val="%8."/>
      <w:lvlJc w:val="left"/>
      <w:pPr>
        <w:ind w:left="5967" w:hanging="360"/>
      </w:pPr>
    </w:lvl>
    <w:lvl w:ilvl="8" w:tplc="3409001B" w:tentative="1">
      <w:start w:val="1"/>
      <w:numFmt w:val="lowerRoman"/>
      <w:lvlText w:val="%9."/>
      <w:lvlJc w:val="right"/>
      <w:pPr>
        <w:ind w:left="6687" w:hanging="180"/>
      </w:pPr>
    </w:lvl>
  </w:abstractNum>
  <w:abstractNum w:abstractNumId="8" w15:restartNumberingAfterBreak="0">
    <w:nsid w:val="35B3553B"/>
    <w:multiLevelType w:val="hybridMultilevel"/>
    <w:tmpl w:val="910045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364E10FF"/>
    <w:multiLevelType w:val="hybridMultilevel"/>
    <w:tmpl w:val="9344251C"/>
    <w:lvl w:ilvl="0" w:tplc="1BEC863E">
      <w:start w:val="1"/>
      <w:numFmt w:val="decimal"/>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10" w15:restartNumberingAfterBreak="0">
    <w:nsid w:val="3D04021C"/>
    <w:multiLevelType w:val="hybridMultilevel"/>
    <w:tmpl w:val="3342D556"/>
    <w:lvl w:ilvl="0" w:tplc="DA4AE7B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50976C13"/>
    <w:multiLevelType w:val="hybridMultilevel"/>
    <w:tmpl w:val="0448A004"/>
    <w:lvl w:ilvl="0" w:tplc="ED5C71E6">
      <w:start w:val="1"/>
      <w:numFmt w:val="decimal"/>
      <w:lvlText w:val="%1."/>
      <w:lvlJc w:val="left"/>
      <w:pPr>
        <w:ind w:left="927" w:hanging="360"/>
      </w:pPr>
      <w:rPr>
        <w:rFonts w:hint="default"/>
      </w:rPr>
    </w:lvl>
    <w:lvl w:ilvl="1" w:tplc="34090019" w:tentative="1">
      <w:start w:val="1"/>
      <w:numFmt w:val="lowerLetter"/>
      <w:lvlText w:val="%2."/>
      <w:lvlJc w:val="left"/>
      <w:pPr>
        <w:ind w:left="1647" w:hanging="360"/>
      </w:pPr>
    </w:lvl>
    <w:lvl w:ilvl="2" w:tplc="3409001B" w:tentative="1">
      <w:start w:val="1"/>
      <w:numFmt w:val="lowerRoman"/>
      <w:lvlText w:val="%3."/>
      <w:lvlJc w:val="right"/>
      <w:pPr>
        <w:ind w:left="2367" w:hanging="180"/>
      </w:pPr>
    </w:lvl>
    <w:lvl w:ilvl="3" w:tplc="3409000F" w:tentative="1">
      <w:start w:val="1"/>
      <w:numFmt w:val="decimal"/>
      <w:lvlText w:val="%4."/>
      <w:lvlJc w:val="left"/>
      <w:pPr>
        <w:ind w:left="3087" w:hanging="360"/>
      </w:pPr>
    </w:lvl>
    <w:lvl w:ilvl="4" w:tplc="34090019" w:tentative="1">
      <w:start w:val="1"/>
      <w:numFmt w:val="lowerLetter"/>
      <w:lvlText w:val="%5."/>
      <w:lvlJc w:val="left"/>
      <w:pPr>
        <w:ind w:left="3807" w:hanging="360"/>
      </w:pPr>
    </w:lvl>
    <w:lvl w:ilvl="5" w:tplc="3409001B" w:tentative="1">
      <w:start w:val="1"/>
      <w:numFmt w:val="lowerRoman"/>
      <w:lvlText w:val="%6."/>
      <w:lvlJc w:val="right"/>
      <w:pPr>
        <w:ind w:left="4527" w:hanging="180"/>
      </w:pPr>
    </w:lvl>
    <w:lvl w:ilvl="6" w:tplc="3409000F" w:tentative="1">
      <w:start w:val="1"/>
      <w:numFmt w:val="decimal"/>
      <w:lvlText w:val="%7."/>
      <w:lvlJc w:val="left"/>
      <w:pPr>
        <w:ind w:left="5247" w:hanging="360"/>
      </w:pPr>
    </w:lvl>
    <w:lvl w:ilvl="7" w:tplc="34090019" w:tentative="1">
      <w:start w:val="1"/>
      <w:numFmt w:val="lowerLetter"/>
      <w:lvlText w:val="%8."/>
      <w:lvlJc w:val="left"/>
      <w:pPr>
        <w:ind w:left="5967" w:hanging="360"/>
      </w:pPr>
    </w:lvl>
    <w:lvl w:ilvl="8" w:tplc="3409001B" w:tentative="1">
      <w:start w:val="1"/>
      <w:numFmt w:val="lowerRoman"/>
      <w:lvlText w:val="%9."/>
      <w:lvlJc w:val="right"/>
      <w:pPr>
        <w:ind w:left="6687" w:hanging="180"/>
      </w:pPr>
    </w:lvl>
  </w:abstractNum>
  <w:abstractNum w:abstractNumId="12" w15:restartNumberingAfterBreak="0">
    <w:nsid w:val="617E634D"/>
    <w:multiLevelType w:val="hybridMultilevel"/>
    <w:tmpl w:val="EC70329A"/>
    <w:lvl w:ilvl="0" w:tplc="DB3AE482">
      <w:start w:val="1"/>
      <w:numFmt w:val="decimal"/>
      <w:lvlText w:val="(%1)"/>
      <w:lvlJc w:val="left"/>
      <w:pPr>
        <w:ind w:left="1440" w:hanging="72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 w15:restartNumberingAfterBreak="0">
    <w:nsid w:val="673355B4"/>
    <w:multiLevelType w:val="hybridMultilevel"/>
    <w:tmpl w:val="96328EB2"/>
    <w:lvl w:ilvl="0" w:tplc="4C1AF2A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7B716749"/>
    <w:multiLevelType w:val="hybridMultilevel"/>
    <w:tmpl w:val="E1867718"/>
    <w:lvl w:ilvl="0" w:tplc="F790F99E">
      <w:start w:val="1"/>
      <w:numFmt w:val="decimal"/>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4"/>
  </w:num>
  <w:num w:numId="2">
    <w:abstractNumId w:val="2"/>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5"/>
  </w:num>
  <w:num w:numId="7">
    <w:abstractNumId w:val="9"/>
  </w:num>
  <w:num w:numId="8">
    <w:abstractNumId w:val="13"/>
  </w:num>
  <w:num w:numId="9">
    <w:abstractNumId w:val="3"/>
  </w:num>
  <w:num w:numId="10">
    <w:abstractNumId w:val="7"/>
  </w:num>
  <w:num w:numId="11">
    <w:abstractNumId w:val="12"/>
  </w:num>
  <w:num w:numId="12">
    <w:abstractNumId w:val="10"/>
  </w:num>
  <w:num w:numId="13">
    <w:abstractNumId w:val="11"/>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43C"/>
    <w:rsid w:val="00002486"/>
    <w:rsid w:val="0000431D"/>
    <w:rsid w:val="000103BB"/>
    <w:rsid w:val="000111DC"/>
    <w:rsid w:val="0001329A"/>
    <w:rsid w:val="00017C9B"/>
    <w:rsid w:val="00017DC4"/>
    <w:rsid w:val="000202D2"/>
    <w:rsid w:val="000214AB"/>
    <w:rsid w:val="00021E11"/>
    <w:rsid w:val="00024F2E"/>
    <w:rsid w:val="00026516"/>
    <w:rsid w:val="00026BB3"/>
    <w:rsid w:val="00031497"/>
    <w:rsid w:val="000325C8"/>
    <w:rsid w:val="00034397"/>
    <w:rsid w:val="000345E3"/>
    <w:rsid w:val="00035831"/>
    <w:rsid w:val="0003608C"/>
    <w:rsid w:val="00040C17"/>
    <w:rsid w:val="00041323"/>
    <w:rsid w:val="00056019"/>
    <w:rsid w:val="000652BE"/>
    <w:rsid w:val="00066A20"/>
    <w:rsid w:val="00067179"/>
    <w:rsid w:val="0006787B"/>
    <w:rsid w:val="0007141B"/>
    <w:rsid w:val="00077F34"/>
    <w:rsid w:val="000806E1"/>
    <w:rsid w:val="000815AD"/>
    <w:rsid w:val="00085CA2"/>
    <w:rsid w:val="00086B63"/>
    <w:rsid w:val="000941D3"/>
    <w:rsid w:val="00094B5F"/>
    <w:rsid w:val="00094E39"/>
    <w:rsid w:val="000961ED"/>
    <w:rsid w:val="00096C9E"/>
    <w:rsid w:val="000A0155"/>
    <w:rsid w:val="000A1955"/>
    <w:rsid w:val="000A4C16"/>
    <w:rsid w:val="000A581A"/>
    <w:rsid w:val="000B0BF0"/>
    <w:rsid w:val="000B1A58"/>
    <w:rsid w:val="000B1EE9"/>
    <w:rsid w:val="000B38BC"/>
    <w:rsid w:val="000B4FD5"/>
    <w:rsid w:val="000B52E0"/>
    <w:rsid w:val="000B663C"/>
    <w:rsid w:val="000B7917"/>
    <w:rsid w:val="000B7DF5"/>
    <w:rsid w:val="000C2EB0"/>
    <w:rsid w:val="000D0D77"/>
    <w:rsid w:val="000D1BAF"/>
    <w:rsid w:val="000D2152"/>
    <w:rsid w:val="000D5473"/>
    <w:rsid w:val="000E1582"/>
    <w:rsid w:val="000E2E9B"/>
    <w:rsid w:val="000E6A59"/>
    <w:rsid w:val="000F08F8"/>
    <w:rsid w:val="000F08FA"/>
    <w:rsid w:val="000F222D"/>
    <w:rsid w:val="000F3D43"/>
    <w:rsid w:val="000F535A"/>
    <w:rsid w:val="000F66C5"/>
    <w:rsid w:val="000F6BF3"/>
    <w:rsid w:val="000F7258"/>
    <w:rsid w:val="000F736B"/>
    <w:rsid w:val="001003F5"/>
    <w:rsid w:val="00100AA2"/>
    <w:rsid w:val="0010310E"/>
    <w:rsid w:val="00104750"/>
    <w:rsid w:val="00107579"/>
    <w:rsid w:val="001116DD"/>
    <w:rsid w:val="001132E8"/>
    <w:rsid w:val="001135BC"/>
    <w:rsid w:val="00120470"/>
    <w:rsid w:val="00121342"/>
    <w:rsid w:val="001228A3"/>
    <w:rsid w:val="0012478F"/>
    <w:rsid w:val="00131346"/>
    <w:rsid w:val="0013212B"/>
    <w:rsid w:val="001323FE"/>
    <w:rsid w:val="00133558"/>
    <w:rsid w:val="00134007"/>
    <w:rsid w:val="001410EF"/>
    <w:rsid w:val="00144640"/>
    <w:rsid w:val="00144CAA"/>
    <w:rsid w:val="0014533F"/>
    <w:rsid w:val="001506AE"/>
    <w:rsid w:val="001549C9"/>
    <w:rsid w:val="00160D96"/>
    <w:rsid w:val="001647F5"/>
    <w:rsid w:val="0016540E"/>
    <w:rsid w:val="001655ED"/>
    <w:rsid w:val="0016644E"/>
    <w:rsid w:val="00170C8C"/>
    <w:rsid w:val="00170F02"/>
    <w:rsid w:val="001710F5"/>
    <w:rsid w:val="00173971"/>
    <w:rsid w:val="0017408D"/>
    <w:rsid w:val="0017766E"/>
    <w:rsid w:val="00177828"/>
    <w:rsid w:val="00177F16"/>
    <w:rsid w:val="00183675"/>
    <w:rsid w:val="00186F04"/>
    <w:rsid w:val="00187092"/>
    <w:rsid w:val="00190C27"/>
    <w:rsid w:val="001915FF"/>
    <w:rsid w:val="001928CF"/>
    <w:rsid w:val="00194A84"/>
    <w:rsid w:val="001A013E"/>
    <w:rsid w:val="001A2EEC"/>
    <w:rsid w:val="001A604D"/>
    <w:rsid w:val="001A6C29"/>
    <w:rsid w:val="001B0A21"/>
    <w:rsid w:val="001B0C71"/>
    <w:rsid w:val="001B108F"/>
    <w:rsid w:val="001B378F"/>
    <w:rsid w:val="001B7D13"/>
    <w:rsid w:val="001C18AD"/>
    <w:rsid w:val="001C2A42"/>
    <w:rsid w:val="001C3E6D"/>
    <w:rsid w:val="001C4EE2"/>
    <w:rsid w:val="001C66E5"/>
    <w:rsid w:val="001D51AF"/>
    <w:rsid w:val="001D527E"/>
    <w:rsid w:val="001D7DE0"/>
    <w:rsid w:val="001E26C4"/>
    <w:rsid w:val="001E518D"/>
    <w:rsid w:val="001F0890"/>
    <w:rsid w:val="001F2466"/>
    <w:rsid w:val="001F4B29"/>
    <w:rsid w:val="0020248E"/>
    <w:rsid w:val="00202983"/>
    <w:rsid w:val="00204478"/>
    <w:rsid w:val="00204C37"/>
    <w:rsid w:val="00206188"/>
    <w:rsid w:val="00206619"/>
    <w:rsid w:val="00207000"/>
    <w:rsid w:val="0021168D"/>
    <w:rsid w:val="0021208C"/>
    <w:rsid w:val="0022576A"/>
    <w:rsid w:val="0022731B"/>
    <w:rsid w:val="00232552"/>
    <w:rsid w:val="00236C9E"/>
    <w:rsid w:val="00240D54"/>
    <w:rsid w:val="0024135E"/>
    <w:rsid w:val="0025018A"/>
    <w:rsid w:val="00253532"/>
    <w:rsid w:val="00256124"/>
    <w:rsid w:val="002627FA"/>
    <w:rsid w:val="00265B72"/>
    <w:rsid w:val="0026657A"/>
    <w:rsid w:val="002670F2"/>
    <w:rsid w:val="00270E93"/>
    <w:rsid w:val="0027130E"/>
    <w:rsid w:val="00271F9D"/>
    <w:rsid w:val="00272287"/>
    <w:rsid w:val="00276232"/>
    <w:rsid w:val="0028243C"/>
    <w:rsid w:val="00283B9C"/>
    <w:rsid w:val="0028574B"/>
    <w:rsid w:val="00285A88"/>
    <w:rsid w:val="00290181"/>
    <w:rsid w:val="002928DA"/>
    <w:rsid w:val="00292C4C"/>
    <w:rsid w:val="0029320D"/>
    <w:rsid w:val="002A28A9"/>
    <w:rsid w:val="002A28BC"/>
    <w:rsid w:val="002B1B49"/>
    <w:rsid w:val="002B3D52"/>
    <w:rsid w:val="002B5034"/>
    <w:rsid w:val="002B510B"/>
    <w:rsid w:val="002C1E9F"/>
    <w:rsid w:val="002C52F7"/>
    <w:rsid w:val="002C541A"/>
    <w:rsid w:val="002D27AE"/>
    <w:rsid w:val="002D4826"/>
    <w:rsid w:val="002D5470"/>
    <w:rsid w:val="002D65CF"/>
    <w:rsid w:val="002D68FE"/>
    <w:rsid w:val="002D6A30"/>
    <w:rsid w:val="002E2D32"/>
    <w:rsid w:val="002E394C"/>
    <w:rsid w:val="002E3F50"/>
    <w:rsid w:val="002E53D2"/>
    <w:rsid w:val="002E6E7D"/>
    <w:rsid w:val="002F0742"/>
    <w:rsid w:val="002F353C"/>
    <w:rsid w:val="002F481F"/>
    <w:rsid w:val="002F513F"/>
    <w:rsid w:val="002F54DF"/>
    <w:rsid w:val="002F580F"/>
    <w:rsid w:val="002F5EC5"/>
    <w:rsid w:val="003012B1"/>
    <w:rsid w:val="003027A9"/>
    <w:rsid w:val="003038BE"/>
    <w:rsid w:val="00305DAD"/>
    <w:rsid w:val="003067C7"/>
    <w:rsid w:val="0030682E"/>
    <w:rsid w:val="00307BA3"/>
    <w:rsid w:val="00314686"/>
    <w:rsid w:val="00324085"/>
    <w:rsid w:val="003245BE"/>
    <w:rsid w:val="003304D8"/>
    <w:rsid w:val="0033426E"/>
    <w:rsid w:val="00334B1C"/>
    <w:rsid w:val="003379AD"/>
    <w:rsid w:val="003401F8"/>
    <w:rsid w:val="0034227F"/>
    <w:rsid w:val="00343A18"/>
    <w:rsid w:val="00345A82"/>
    <w:rsid w:val="00356840"/>
    <w:rsid w:val="00356C71"/>
    <w:rsid w:val="00356CF1"/>
    <w:rsid w:val="00357A10"/>
    <w:rsid w:val="00357F8A"/>
    <w:rsid w:val="00360D4F"/>
    <w:rsid w:val="003612FD"/>
    <w:rsid w:val="00361908"/>
    <w:rsid w:val="00363A04"/>
    <w:rsid w:val="00365B11"/>
    <w:rsid w:val="003739C5"/>
    <w:rsid w:val="00376329"/>
    <w:rsid w:val="0038058B"/>
    <w:rsid w:val="003833C5"/>
    <w:rsid w:val="00396EEC"/>
    <w:rsid w:val="00397000"/>
    <w:rsid w:val="003A0ACF"/>
    <w:rsid w:val="003A1B7A"/>
    <w:rsid w:val="003A2B45"/>
    <w:rsid w:val="003A3656"/>
    <w:rsid w:val="003A481C"/>
    <w:rsid w:val="003B1D41"/>
    <w:rsid w:val="003B395F"/>
    <w:rsid w:val="003B3CA4"/>
    <w:rsid w:val="003B449A"/>
    <w:rsid w:val="003B6DAA"/>
    <w:rsid w:val="003B77F2"/>
    <w:rsid w:val="003C086B"/>
    <w:rsid w:val="003C1474"/>
    <w:rsid w:val="003C25C7"/>
    <w:rsid w:val="003C2B89"/>
    <w:rsid w:val="003C371F"/>
    <w:rsid w:val="003C4B4F"/>
    <w:rsid w:val="003C7354"/>
    <w:rsid w:val="003D4881"/>
    <w:rsid w:val="003D60FD"/>
    <w:rsid w:val="003D739F"/>
    <w:rsid w:val="003E02E5"/>
    <w:rsid w:val="003E1677"/>
    <w:rsid w:val="003E4673"/>
    <w:rsid w:val="003E47D1"/>
    <w:rsid w:val="003E743F"/>
    <w:rsid w:val="003E768C"/>
    <w:rsid w:val="003F032D"/>
    <w:rsid w:val="003F085B"/>
    <w:rsid w:val="003F65AD"/>
    <w:rsid w:val="00400333"/>
    <w:rsid w:val="0040147E"/>
    <w:rsid w:val="00401F82"/>
    <w:rsid w:val="00403035"/>
    <w:rsid w:val="00404AC5"/>
    <w:rsid w:val="00405254"/>
    <w:rsid w:val="00413450"/>
    <w:rsid w:val="00413AD5"/>
    <w:rsid w:val="00415B82"/>
    <w:rsid w:val="00416400"/>
    <w:rsid w:val="004168FE"/>
    <w:rsid w:val="00416B3E"/>
    <w:rsid w:val="004212D0"/>
    <w:rsid w:val="00422CDF"/>
    <w:rsid w:val="004230BE"/>
    <w:rsid w:val="004250F7"/>
    <w:rsid w:val="0043008E"/>
    <w:rsid w:val="00432B3A"/>
    <w:rsid w:val="00433AA7"/>
    <w:rsid w:val="00433C90"/>
    <w:rsid w:val="0043781A"/>
    <w:rsid w:val="00444564"/>
    <w:rsid w:val="0044497B"/>
    <w:rsid w:val="00445C06"/>
    <w:rsid w:val="00446EB8"/>
    <w:rsid w:val="00446ED8"/>
    <w:rsid w:val="00447D8B"/>
    <w:rsid w:val="004536B1"/>
    <w:rsid w:val="00460541"/>
    <w:rsid w:val="00460A7E"/>
    <w:rsid w:val="004641B0"/>
    <w:rsid w:val="00465197"/>
    <w:rsid w:val="00471E2A"/>
    <w:rsid w:val="00472F28"/>
    <w:rsid w:val="00473883"/>
    <w:rsid w:val="00474513"/>
    <w:rsid w:val="004749FB"/>
    <w:rsid w:val="00475795"/>
    <w:rsid w:val="00475BA0"/>
    <w:rsid w:val="00475D3A"/>
    <w:rsid w:val="0047723D"/>
    <w:rsid w:val="00477759"/>
    <w:rsid w:val="004809BC"/>
    <w:rsid w:val="00483F88"/>
    <w:rsid w:val="00486273"/>
    <w:rsid w:val="004864EA"/>
    <w:rsid w:val="00486D1C"/>
    <w:rsid w:val="00486F52"/>
    <w:rsid w:val="004920EA"/>
    <w:rsid w:val="004929DB"/>
    <w:rsid w:val="00492C87"/>
    <w:rsid w:val="0049417D"/>
    <w:rsid w:val="00494A95"/>
    <w:rsid w:val="00494BC2"/>
    <w:rsid w:val="00496C52"/>
    <w:rsid w:val="00496F20"/>
    <w:rsid w:val="004A05EA"/>
    <w:rsid w:val="004A130C"/>
    <w:rsid w:val="004A17ED"/>
    <w:rsid w:val="004A25BB"/>
    <w:rsid w:val="004A28E0"/>
    <w:rsid w:val="004A5AA2"/>
    <w:rsid w:val="004B1C4D"/>
    <w:rsid w:val="004B2C28"/>
    <w:rsid w:val="004B5107"/>
    <w:rsid w:val="004C1082"/>
    <w:rsid w:val="004C200A"/>
    <w:rsid w:val="004C4EEA"/>
    <w:rsid w:val="004C68A5"/>
    <w:rsid w:val="004D17DB"/>
    <w:rsid w:val="004D34A7"/>
    <w:rsid w:val="004D4B78"/>
    <w:rsid w:val="004D508E"/>
    <w:rsid w:val="004D5294"/>
    <w:rsid w:val="004D540F"/>
    <w:rsid w:val="004D66B3"/>
    <w:rsid w:val="004E019D"/>
    <w:rsid w:val="004E38A3"/>
    <w:rsid w:val="004E46D7"/>
    <w:rsid w:val="004E5F17"/>
    <w:rsid w:val="004E6425"/>
    <w:rsid w:val="004F288D"/>
    <w:rsid w:val="004F479A"/>
    <w:rsid w:val="004F67E2"/>
    <w:rsid w:val="00501227"/>
    <w:rsid w:val="0050136B"/>
    <w:rsid w:val="00501836"/>
    <w:rsid w:val="00501EE7"/>
    <w:rsid w:val="00502542"/>
    <w:rsid w:val="005027B5"/>
    <w:rsid w:val="005045F9"/>
    <w:rsid w:val="00504CCE"/>
    <w:rsid w:val="00505AAD"/>
    <w:rsid w:val="00510797"/>
    <w:rsid w:val="0051486D"/>
    <w:rsid w:val="00514C5A"/>
    <w:rsid w:val="00514FBF"/>
    <w:rsid w:val="005155B7"/>
    <w:rsid w:val="005266FB"/>
    <w:rsid w:val="00527363"/>
    <w:rsid w:val="00532954"/>
    <w:rsid w:val="00535557"/>
    <w:rsid w:val="005372FF"/>
    <w:rsid w:val="005409DE"/>
    <w:rsid w:val="005413EE"/>
    <w:rsid w:val="00541888"/>
    <w:rsid w:val="00542DF8"/>
    <w:rsid w:val="0054413F"/>
    <w:rsid w:val="00544439"/>
    <w:rsid w:val="00546DBD"/>
    <w:rsid w:val="00546F39"/>
    <w:rsid w:val="00547F0E"/>
    <w:rsid w:val="005543E7"/>
    <w:rsid w:val="00556300"/>
    <w:rsid w:val="005568C0"/>
    <w:rsid w:val="00561A6C"/>
    <w:rsid w:val="0056330C"/>
    <w:rsid w:val="00566C0B"/>
    <w:rsid w:val="005705C0"/>
    <w:rsid w:val="00570C44"/>
    <w:rsid w:val="00575A23"/>
    <w:rsid w:val="00581A3C"/>
    <w:rsid w:val="00591BE2"/>
    <w:rsid w:val="00592499"/>
    <w:rsid w:val="00593D57"/>
    <w:rsid w:val="005A39D0"/>
    <w:rsid w:val="005A44FB"/>
    <w:rsid w:val="005A6D74"/>
    <w:rsid w:val="005A70A9"/>
    <w:rsid w:val="005A758C"/>
    <w:rsid w:val="005B0DC9"/>
    <w:rsid w:val="005B2C6C"/>
    <w:rsid w:val="005B4BCF"/>
    <w:rsid w:val="005B5035"/>
    <w:rsid w:val="005B52F0"/>
    <w:rsid w:val="005C0B17"/>
    <w:rsid w:val="005C12B4"/>
    <w:rsid w:val="005C2899"/>
    <w:rsid w:val="005C6481"/>
    <w:rsid w:val="005C7E1B"/>
    <w:rsid w:val="005D05D0"/>
    <w:rsid w:val="005D0ED6"/>
    <w:rsid w:val="005D14B1"/>
    <w:rsid w:val="005D6C3D"/>
    <w:rsid w:val="005D7D66"/>
    <w:rsid w:val="005D7EBF"/>
    <w:rsid w:val="005E0BA6"/>
    <w:rsid w:val="005E1265"/>
    <w:rsid w:val="005E131E"/>
    <w:rsid w:val="005E3C35"/>
    <w:rsid w:val="005E4434"/>
    <w:rsid w:val="005E5A09"/>
    <w:rsid w:val="005F0B38"/>
    <w:rsid w:val="005F29ED"/>
    <w:rsid w:val="005F430D"/>
    <w:rsid w:val="005F53B3"/>
    <w:rsid w:val="005F5DA1"/>
    <w:rsid w:val="005F7574"/>
    <w:rsid w:val="005F7A79"/>
    <w:rsid w:val="00602373"/>
    <w:rsid w:val="006035E8"/>
    <w:rsid w:val="00603C83"/>
    <w:rsid w:val="00605582"/>
    <w:rsid w:val="00605B6E"/>
    <w:rsid w:val="006062A9"/>
    <w:rsid w:val="00607A10"/>
    <w:rsid w:val="006112BC"/>
    <w:rsid w:val="0061347E"/>
    <w:rsid w:val="00617C28"/>
    <w:rsid w:val="006203AA"/>
    <w:rsid w:val="0062296C"/>
    <w:rsid w:val="00622EE4"/>
    <w:rsid w:val="006239F6"/>
    <w:rsid w:val="00624400"/>
    <w:rsid w:val="0062591C"/>
    <w:rsid w:val="00630344"/>
    <w:rsid w:val="00630558"/>
    <w:rsid w:val="00630713"/>
    <w:rsid w:val="006337C3"/>
    <w:rsid w:val="00634B8D"/>
    <w:rsid w:val="00636AEF"/>
    <w:rsid w:val="00640970"/>
    <w:rsid w:val="00641133"/>
    <w:rsid w:val="00641706"/>
    <w:rsid w:val="0064251E"/>
    <w:rsid w:val="00643BB7"/>
    <w:rsid w:val="00644067"/>
    <w:rsid w:val="006463EB"/>
    <w:rsid w:val="00650188"/>
    <w:rsid w:val="00653CC2"/>
    <w:rsid w:val="00653F54"/>
    <w:rsid w:val="006556D9"/>
    <w:rsid w:val="00655F08"/>
    <w:rsid w:val="006578E4"/>
    <w:rsid w:val="00657A5B"/>
    <w:rsid w:val="00657F34"/>
    <w:rsid w:val="006623EC"/>
    <w:rsid w:val="00664154"/>
    <w:rsid w:val="00670993"/>
    <w:rsid w:val="006715C1"/>
    <w:rsid w:val="00671F7A"/>
    <w:rsid w:val="00673F6F"/>
    <w:rsid w:val="006752A7"/>
    <w:rsid w:val="00675601"/>
    <w:rsid w:val="00677886"/>
    <w:rsid w:val="006809EA"/>
    <w:rsid w:val="00681C51"/>
    <w:rsid w:val="0068338F"/>
    <w:rsid w:val="00691D8C"/>
    <w:rsid w:val="006932B6"/>
    <w:rsid w:val="006939A7"/>
    <w:rsid w:val="00693D36"/>
    <w:rsid w:val="006A0B52"/>
    <w:rsid w:val="006A28EA"/>
    <w:rsid w:val="006A70DF"/>
    <w:rsid w:val="006A72F6"/>
    <w:rsid w:val="006A7BCD"/>
    <w:rsid w:val="006A7F1C"/>
    <w:rsid w:val="006A7FCF"/>
    <w:rsid w:val="006B0C5C"/>
    <w:rsid w:val="006B2927"/>
    <w:rsid w:val="006B3396"/>
    <w:rsid w:val="006B53C9"/>
    <w:rsid w:val="006C0856"/>
    <w:rsid w:val="006C2A15"/>
    <w:rsid w:val="006C2BF7"/>
    <w:rsid w:val="006C6AD9"/>
    <w:rsid w:val="006D0DF7"/>
    <w:rsid w:val="006E03F3"/>
    <w:rsid w:val="006E3432"/>
    <w:rsid w:val="006E5438"/>
    <w:rsid w:val="006F3446"/>
    <w:rsid w:val="006F3DDF"/>
    <w:rsid w:val="0070077A"/>
    <w:rsid w:val="00702E7C"/>
    <w:rsid w:val="007054E1"/>
    <w:rsid w:val="00707E4A"/>
    <w:rsid w:val="007102ED"/>
    <w:rsid w:val="00710DF7"/>
    <w:rsid w:val="007110AE"/>
    <w:rsid w:val="0071179C"/>
    <w:rsid w:val="007124FC"/>
    <w:rsid w:val="00720921"/>
    <w:rsid w:val="00720AD9"/>
    <w:rsid w:val="00721584"/>
    <w:rsid w:val="00722146"/>
    <w:rsid w:val="007223E8"/>
    <w:rsid w:val="0072331C"/>
    <w:rsid w:val="00723689"/>
    <w:rsid w:val="00726CB0"/>
    <w:rsid w:val="00733C71"/>
    <w:rsid w:val="00736895"/>
    <w:rsid w:val="00737652"/>
    <w:rsid w:val="00741077"/>
    <w:rsid w:val="00743B45"/>
    <w:rsid w:val="007441F8"/>
    <w:rsid w:val="00744A41"/>
    <w:rsid w:val="00746916"/>
    <w:rsid w:val="0074699E"/>
    <w:rsid w:val="00750770"/>
    <w:rsid w:val="0075224F"/>
    <w:rsid w:val="007524F3"/>
    <w:rsid w:val="007527FD"/>
    <w:rsid w:val="0075458C"/>
    <w:rsid w:val="007549FB"/>
    <w:rsid w:val="0076059E"/>
    <w:rsid w:val="00760CDB"/>
    <w:rsid w:val="00761908"/>
    <w:rsid w:val="00762754"/>
    <w:rsid w:val="00766C03"/>
    <w:rsid w:val="00772FDE"/>
    <w:rsid w:val="00773792"/>
    <w:rsid w:val="00773999"/>
    <w:rsid w:val="00775358"/>
    <w:rsid w:val="00776EFC"/>
    <w:rsid w:val="007775FC"/>
    <w:rsid w:val="00777A57"/>
    <w:rsid w:val="00780DFD"/>
    <w:rsid w:val="007837C3"/>
    <w:rsid w:val="00787471"/>
    <w:rsid w:val="00790E97"/>
    <w:rsid w:val="0079623A"/>
    <w:rsid w:val="007A0033"/>
    <w:rsid w:val="007A236A"/>
    <w:rsid w:val="007A6AA0"/>
    <w:rsid w:val="007A78E9"/>
    <w:rsid w:val="007B1870"/>
    <w:rsid w:val="007C32C4"/>
    <w:rsid w:val="007C4F64"/>
    <w:rsid w:val="007D3016"/>
    <w:rsid w:val="007D59EE"/>
    <w:rsid w:val="007E0983"/>
    <w:rsid w:val="007F14A2"/>
    <w:rsid w:val="007F1763"/>
    <w:rsid w:val="007F2226"/>
    <w:rsid w:val="007F2DD8"/>
    <w:rsid w:val="007F46D1"/>
    <w:rsid w:val="007F49DE"/>
    <w:rsid w:val="00801214"/>
    <w:rsid w:val="00803852"/>
    <w:rsid w:val="00814BCE"/>
    <w:rsid w:val="00815CB4"/>
    <w:rsid w:val="00816443"/>
    <w:rsid w:val="00820CCD"/>
    <w:rsid w:val="008216CA"/>
    <w:rsid w:val="00822A84"/>
    <w:rsid w:val="0082718D"/>
    <w:rsid w:val="00831F2C"/>
    <w:rsid w:val="0084023E"/>
    <w:rsid w:val="00840F59"/>
    <w:rsid w:val="00845907"/>
    <w:rsid w:val="008466A1"/>
    <w:rsid w:val="0085067C"/>
    <w:rsid w:val="00851FE5"/>
    <w:rsid w:val="00855FC4"/>
    <w:rsid w:val="008616B9"/>
    <w:rsid w:val="00861EC7"/>
    <w:rsid w:val="008664AB"/>
    <w:rsid w:val="008669B1"/>
    <w:rsid w:val="00866B25"/>
    <w:rsid w:val="00873324"/>
    <w:rsid w:val="00874C48"/>
    <w:rsid w:val="00875B88"/>
    <w:rsid w:val="008765CA"/>
    <w:rsid w:val="00886986"/>
    <w:rsid w:val="008878E3"/>
    <w:rsid w:val="00890340"/>
    <w:rsid w:val="00893905"/>
    <w:rsid w:val="00894534"/>
    <w:rsid w:val="0089505C"/>
    <w:rsid w:val="00896C94"/>
    <w:rsid w:val="008975B8"/>
    <w:rsid w:val="0089782E"/>
    <w:rsid w:val="008A0A28"/>
    <w:rsid w:val="008A2E87"/>
    <w:rsid w:val="008A4EF5"/>
    <w:rsid w:val="008B4FE4"/>
    <w:rsid w:val="008B79DC"/>
    <w:rsid w:val="008C18FE"/>
    <w:rsid w:val="008C2B42"/>
    <w:rsid w:val="008C32A5"/>
    <w:rsid w:val="008C663B"/>
    <w:rsid w:val="008C6CB7"/>
    <w:rsid w:val="008D7039"/>
    <w:rsid w:val="008D72AB"/>
    <w:rsid w:val="008D7695"/>
    <w:rsid w:val="008E07DA"/>
    <w:rsid w:val="008E1213"/>
    <w:rsid w:val="008E6384"/>
    <w:rsid w:val="008E7932"/>
    <w:rsid w:val="008F0E9C"/>
    <w:rsid w:val="008F12A4"/>
    <w:rsid w:val="008F291F"/>
    <w:rsid w:val="008F3170"/>
    <w:rsid w:val="00900239"/>
    <w:rsid w:val="00904182"/>
    <w:rsid w:val="00913D82"/>
    <w:rsid w:val="00914688"/>
    <w:rsid w:val="009151A4"/>
    <w:rsid w:val="00917FA6"/>
    <w:rsid w:val="00921472"/>
    <w:rsid w:val="00925361"/>
    <w:rsid w:val="00925E58"/>
    <w:rsid w:val="009260B7"/>
    <w:rsid w:val="0092633D"/>
    <w:rsid w:val="00926F4D"/>
    <w:rsid w:val="0093375C"/>
    <w:rsid w:val="00937E57"/>
    <w:rsid w:val="00943F7E"/>
    <w:rsid w:val="00945E61"/>
    <w:rsid w:val="009467E5"/>
    <w:rsid w:val="00950DEB"/>
    <w:rsid w:val="009519BF"/>
    <w:rsid w:val="00952BCE"/>
    <w:rsid w:val="00953339"/>
    <w:rsid w:val="00962F89"/>
    <w:rsid w:val="009707B1"/>
    <w:rsid w:val="0097216C"/>
    <w:rsid w:val="00972A0E"/>
    <w:rsid w:val="00975832"/>
    <w:rsid w:val="009820E0"/>
    <w:rsid w:val="0098328B"/>
    <w:rsid w:val="009856D1"/>
    <w:rsid w:val="00986D94"/>
    <w:rsid w:val="00987055"/>
    <w:rsid w:val="00992D3F"/>
    <w:rsid w:val="00993AB2"/>
    <w:rsid w:val="0099435B"/>
    <w:rsid w:val="00995F85"/>
    <w:rsid w:val="00996A64"/>
    <w:rsid w:val="009A10C4"/>
    <w:rsid w:val="009A2360"/>
    <w:rsid w:val="009A4B11"/>
    <w:rsid w:val="009B478C"/>
    <w:rsid w:val="009B5685"/>
    <w:rsid w:val="009B73EA"/>
    <w:rsid w:val="009C1117"/>
    <w:rsid w:val="009C1465"/>
    <w:rsid w:val="009C1823"/>
    <w:rsid w:val="009C1A07"/>
    <w:rsid w:val="009C62BD"/>
    <w:rsid w:val="009C6D25"/>
    <w:rsid w:val="009D0DDB"/>
    <w:rsid w:val="009D160D"/>
    <w:rsid w:val="009D17CB"/>
    <w:rsid w:val="009D61FB"/>
    <w:rsid w:val="009D7D5C"/>
    <w:rsid w:val="009E03F7"/>
    <w:rsid w:val="009E125D"/>
    <w:rsid w:val="009E499C"/>
    <w:rsid w:val="009E783B"/>
    <w:rsid w:val="009F102B"/>
    <w:rsid w:val="009F2CD1"/>
    <w:rsid w:val="009F2D44"/>
    <w:rsid w:val="009F2F0D"/>
    <w:rsid w:val="009F5A95"/>
    <w:rsid w:val="009F5DA1"/>
    <w:rsid w:val="00A010A4"/>
    <w:rsid w:val="00A104C7"/>
    <w:rsid w:val="00A158FA"/>
    <w:rsid w:val="00A15F20"/>
    <w:rsid w:val="00A170C8"/>
    <w:rsid w:val="00A20DD0"/>
    <w:rsid w:val="00A223A9"/>
    <w:rsid w:val="00A22AA8"/>
    <w:rsid w:val="00A2442B"/>
    <w:rsid w:val="00A25C61"/>
    <w:rsid w:val="00A263AA"/>
    <w:rsid w:val="00A265FD"/>
    <w:rsid w:val="00A31DCD"/>
    <w:rsid w:val="00A321C6"/>
    <w:rsid w:val="00A323B6"/>
    <w:rsid w:val="00A3326D"/>
    <w:rsid w:val="00A422A6"/>
    <w:rsid w:val="00A44010"/>
    <w:rsid w:val="00A45B64"/>
    <w:rsid w:val="00A50B90"/>
    <w:rsid w:val="00A51C56"/>
    <w:rsid w:val="00A526E9"/>
    <w:rsid w:val="00A53D10"/>
    <w:rsid w:val="00A54799"/>
    <w:rsid w:val="00A549E7"/>
    <w:rsid w:val="00A5703A"/>
    <w:rsid w:val="00A6002A"/>
    <w:rsid w:val="00A652E4"/>
    <w:rsid w:val="00A659F0"/>
    <w:rsid w:val="00A660B6"/>
    <w:rsid w:val="00A66130"/>
    <w:rsid w:val="00A67450"/>
    <w:rsid w:val="00A700A1"/>
    <w:rsid w:val="00A70C97"/>
    <w:rsid w:val="00A70E15"/>
    <w:rsid w:val="00A7478D"/>
    <w:rsid w:val="00A8141A"/>
    <w:rsid w:val="00A8443A"/>
    <w:rsid w:val="00A85907"/>
    <w:rsid w:val="00A866C7"/>
    <w:rsid w:val="00A8723D"/>
    <w:rsid w:val="00A87D76"/>
    <w:rsid w:val="00A906B2"/>
    <w:rsid w:val="00A90CB2"/>
    <w:rsid w:val="00A92516"/>
    <w:rsid w:val="00A935E6"/>
    <w:rsid w:val="00A93EB7"/>
    <w:rsid w:val="00A94837"/>
    <w:rsid w:val="00A9589D"/>
    <w:rsid w:val="00A96FC7"/>
    <w:rsid w:val="00AA100B"/>
    <w:rsid w:val="00AA1B44"/>
    <w:rsid w:val="00AA3195"/>
    <w:rsid w:val="00AB3CDA"/>
    <w:rsid w:val="00AB49B5"/>
    <w:rsid w:val="00AC3143"/>
    <w:rsid w:val="00AC5DBD"/>
    <w:rsid w:val="00AD30E8"/>
    <w:rsid w:val="00AD33F5"/>
    <w:rsid w:val="00AD42A8"/>
    <w:rsid w:val="00AE054B"/>
    <w:rsid w:val="00AE0EAC"/>
    <w:rsid w:val="00AE12E9"/>
    <w:rsid w:val="00AE2157"/>
    <w:rsid w:val="00AE2B45"/>
    <w:rsid w:val="00AE2D29"/>
    <w:rsid w:val="00AE4039"/>
    <w:rsid w:val="00AF6E61"/>
    <w:rsid w:val="00AF79CF"/>
    <w:rsid w:val="00B02A82"/>
    <w:rsid w:val="00B03434"/>
    <w:rsid w:val="00B10162"/>
    <w:rsid w:val="00B108EF"/>
    <w:rsid w:val="00B2032E"/>
    <w:rsid w:val="00B204DE"/>
    <w:rsid w:val="00B227E3"/>
    <w:rsid w:val="00B25F64"/>
    <w:rsid w:val="00B26372"/>
    <w:rsid w:val="00B266EC"/>
    <w:rsid w:val="00B33431"/>
    <w:rsid w:val="00B3590A"/>
    <w:rsid w:val="00B35ACB"/>
    <w:rsid w:val="00B3645F"/>
    <w:rsid w:val="00B43838"/>
    <w:rsid w:val="00B45692"/>
    <w:rsid w:val="00B460C0"/>
    <w:rsid w:val="00B464DB"/>
    <w:rsid w:val="00B53191"/>
    <w:rsid w:val="00B5499B"/>
    <w:rsid w:val="00B549AF"/>
    <w:rsid w:val="00B54E75"/>
    <w:rsid w:val="00B56DF8"/>
    <w:rsid w:val="00B576A8"/>
    <w:rsid w:val="00B62AB7"/>
    <w:rsid w:val="00B648AE"/>
    <w:rsid w:val="00B7408D"/>
    <w:rsid w:val="00B74614"/>
    <w:rsid w:val="00B755E8"/>
    <w:rsid w:val="00B777E2"/>
    <w:rsid w:val="00B81C5C"/>
    <w:rsid w:val="00B82AF7"/>
    <w:rsid w:val="00B86F4E"/>
    <w:rsid w:val="00B90730"/>
    <w:rsid w:val="00B9095D"/>
    <w:rsid w:val="00B90C1F"/>
    <w:rsid w:val="00B944CA"/>
    <w:rsid w:val="00B94DC1"/>
    <w:rsid w:val="00B97845"/>
    <w:rsid w:val="00BA18B8"/>
    <w:rsid w:val="00BA3160"/>
    <w:rsid w:val="00BA579A"/>
    <w:rsid w:val="00BB1438"/>
    <w:rsid w:val="00BB164C"/>
    <w:rsid w:val="00BB1DCE"/>
    <w:rsid w:val="00BB2860"/>
    <w:rsid w:val="00BB3641"/>
    <w:rsid w:val="00BB6ED4"/>
    <w:rsid w:val="00BC1596"/>
    <w:rsid w:val="00BC32F6"/>
    <w:rsid w:val="00BC3739"/>
    <w:rsid w:val="00BC4375"/>
    <w:rsid w:val="00BC5E31"/>
    <w:rsid w:val="00BD5895"/>
    <w:rsid w:val="00BE13D3"/>
    <w:rsid w:val="00BE77EB"/>
    <w:rsid w:val="00BF342D"/>
    <w:rsid w:val="00BF48BC"/>
    <w:rsid w:val="00BF6B85"/>
    <w:rsid w:val="00C11198"/>
    <w:rsid w:val="00C159E4"/>
    <w:rsid w:val="00C15CE5"/>
    <w:rsid w:val="00C16C2B"/>
    <w:rsid w:val="00C22A9C"/>
    <w:rsid w:val="00C22B70"/>
    <w:rsid w:val="00C23CA0"/>
    <w:rsid w:val="00C244FD"/>
    <w:rsid w:val="00C25814"/>
    <w:rsid w:val="00C25A71"/>
    <w:rsid w:val="00C33C39"/>
    <w:rsid w:val="00C34637"/>
    <w:rsid w:val="00C35799"/>
    <w:rsid w:val="00C376EB"/>
    <w:rsid w:val="00C41D08"/>
    <w:rsid w:val="00C42A87"/>
    <w:rsid w:val="00C43B34"/>
    <w:rsid w:val="00C45688"/>
    <w:rsid w:val="00C503D3"/>
    <w:rsid w:val="00C511BF"/>
    <w:rsid w:val="00C512E1"/>
    <w:rsid w:val="00C54479"/>
    <w:rsid w:val="00C55391"/>
    <w:rsid w:val="00C628B8"/>
    <w:rsid w:val="00C6429E"/>
    <w:rsid w:val="00C6445C"/>
    <w:rsid w:val="00C65606"/>
    <w:rsid w:val="00C66532"/>
    <w:rsid w:val="00C67190"/>
    <w:rsid w:val="00C67FF2"/>
    <w:rsid w:val="00C708F8"/>
    <w:rsid w:val="00C710A0"/>
    <w:rsid w:val="00C74D3D"/>
    <w:rsid w:val="00C76263"/>
    <w:rsid w:val="00C77D85"/>
    <w:rsid w:val="00C82452"/>
    <w:rsid w:val="00C82E23"/>
    <w:rsid w:val="00C876DA"/>
    <w:rsid w:val="00C876F8"/>
    <w:rsid w:val="00C903FF"/>
    <w:rsid w:val="00C93882"/>
    <w:rsid w:val="00C94EB2"/>
    <w:rsid w:val="00CA0A1D"/>
    <w:rsid w:val="00CA111F"/>
    <w:rsid w:val="00CA2359"/>
    <w:rsid w:val="00CA7572"/>
    <w:rsid w:val="00CB0D13"/>
    <w:rsid w:val="00CB1978"/>
    <w:rsid w:val="00CB32F8"/>
    <w:rsid w:val="00CB6896"/>
    <w:rsid w:val="00CB7298"/>
    <w:rsid w:val="00CB79A2"/>
    <w:rsid w:val="00CB7BEC"/>
    <w:rsid w:val="00CC00D6"/>
    <w:rsid w:val="00CC051E"/>
    <w:rsid w:val="00CC1D87"/>
    <w:rsid w:val="00CC5B46"/>
    <w:rsid w:val="00CC7BD4"/>
    <w:rsid w:val="00CD00C9"/>
    <w:rsid w:val="00CD5165"/>
    <w:rsid w:val="00CD65AF"/>
    <w:rsid w:val="00CE2439"/>
    <w:rsid w:val="00CE2BE6"/>
    <w:rsid w:val="00CE3B39"/>
    <w:rsid w:val="00CE708F"/>
    <w:rsid w:val="00CF0EE3"/>
    <w:rsid w:val="00CF1CEF"/>
    <w:rsid w:val="00CF6138"/>
    <w:rsid w:val="00D002B0"/>
    <w:rsid w:val="00D07848"/>
    <w:rsid w:val="00D100B9"/>
    <w:rsid w:val="00D10592"/>
    <w:rsid w:val="00D10EC2"/>
    <w:rsid w:val="00D11721"/>
    <w:rsid w:val="00D1578B"/>
    <w:rsid w:val="00D15B66"/>
    <w:rsid w:val="00D163B5"/>
    <w:rsid w:val="00D172FF"/>
    <w:rsid w:val="00D20F17"/>
    <w:rsid w:val="00D30B1F"/>
    <w:rsid w:val="00D34D02"/>
    <w:rsid w:val="00D35118"/>
    <w:rsid w:val="00D36C88"/>
    <w:rsid w:val="00D37DCD"/>
    <w:rsid w:val="00D42046"/>
    <w:rsid w:val="00D42F73"/>
    <w:rsid w:val="00D4522E"/>
    <w:rsid w:val="00D47C43"/>
    <w:rsid w:val="00D5740F"/>
    <w:rsid w:val="00D64566"/>
    <w:rsid w:val="00D704FB"/>
    <w:rsid w:val="00D72956"/>
    <w:rsid w:val="00D729A9"/>
    <w:rsid w:val="00D7429A"/>
    <w:rsid w:val="00D75FC3"/>
    <w:rsid w:val="00D776C4"/>
    <w:rsid w:val="00D77B95"/>
    <w:rsid w:val="00D8582C"/>
    <w:rsid w:val="00D85D5A"/>
    <w:rsid w:val="00D871D2"/>
    <w:rsid w:val="00D90651"/>
    <w:rsid w:val="00D92F22"/>
    <w:rsid w:val="00DA039E"/>
    <w:rsid w:val="00DA16FC"/>
    <w:rsid w:val="00DA310F"/>
    <w:rsid w:val="00DA4342"/>
    <w:rsid w:val="00DA4E67"/>
    <w:rsid w:val="00DA6FC3"/>
    <w:rsid w:val="00DB2B14"/>
    <w:rsid w:val="00DB4809"/>
    <w:rsid w:val="00DB6BB0"/>
    <w:rsid w:val="00DC3A8B"/>
    <w:rsid w:val="00DC6822"/>
    <w:rsid w:val="00DC7173"/>
    <w:rsid w:val="00DD2D5C"/>
    <w:rsid w:val="00DD3ABB"/>
    <w:rsid w:val="00DD53FA"/>
    <w:rsid w:val="00DE4A2B"/>
    <w:rsid w:val="00DF0BA4"/>
    <w:rsid w:val="00DF30D0"/>
    <w:rsid w:val="00DF65F1"/>
    <w:rsid w:val="00DF73AD"/>
    <w:rsid w:val="00DF7450"/>
    <w:rsid w:val="00E023EE"/>
    <w:rsid w:val="00E02CB5"/>
    <w:rsid w:val="00E03569"/>
    <w:rsid w:val="00E05920"/>
    <w:rsid w:val="00E12521"/>
    <w:rsid w:val="00E131F2"/>
    <w:rsid w:val="00E15204"/>
    <w:rsid w:val="00E16765"/>
    <w:rsid w:val="00E17819"/>
    <w:rsid w:val="00E1783C"/>
    <w:rsid w:val="00E20F98"/>
    <w:rsid w:val="00E2121E"/>
    <w:rsid w:val="00E21390"/>
    <w:rsid w:val="00E2218F"/>
    <w:rsid w:val="00E24383"/>
    <w:rsid w:val="00E254AB"/>
    <w:rsid w:val="00E32553"/>
    <w:rsid w:val="00E34146"/>
    <w:rsid w:val="00E34D36"/>
    <w:rsid w:val="00E35637"/>
    <w:rsid w:val="00E35717"/>
    <w:rsid w:val="00E35AA2"/>
    <w:rsid w:val="00E3600B"/>
    <w:rsid w:val="00E36E4A"/>
    <w:rsid w:val="00E37504"/>
    <w:rsid w:val="00E40B57"/>
    <w:rsid w:val="00E43F40"/>
    <w:rsid w:val="00E477B2"/>
    <w:rsid w:val="00E47FD4"/>
    <w:rsid w:val="00E50B3F"/>
    <w:rsid w:val="00E64D13"/>
    <w:rsid w:val="00E6573B"/>
    <w:rsid w:val="00E70509"/>
    <w:rsid w:val="00E72637"/>
    <w:rsid w:val="00E7525B"/>
    <w:rsid w:val="00E8058B"/>
    <w:rsid w:val="00E8079C"/>
    <w:rsid w:val="00E83391"/>
    <w:rsid w:val="00E84D33"/>
    <w:rsid w:val="00E867C1"/>
    <w:rsid w:val="00E872B0"/>
    <w:rsid w:val="00E9150C"/>
    <w:rsid w:val="00E97C40"/>
    <w:rsid w:val="00EA02D7"/>
    <w:rsid w:val="00EA0A77"/>
    <w:rsid w:val="00EA2577"/>
    <w:rsid w:val="00EB055E"/>
    <w:rsid w:val="00EB151E"/>
    <w:rsid w:val="00EB63B0"/>
    <w:rsid w:val="00EC085E"/>
    <w:rsid w:val="00EC0A4A"/>
    <w:rsid w:val="00EC3354"/>
    <w:rsid w:val="00EC3916"/>
    <w:rsid w:val="00EC3EE2"/>
    <w:rsid w:val="00EC57D2"/>
    <w:rsid w:val="00EC66B0"/>
    <w:rsid w:val="00ED240E"/>
    <w:rsid w:val="00EE0567"/>
    <w:rsid w:val="00EE2FED"/>
    <w:rsid w:val="00EE780F"/>
    <w:rsid w:val="00EF4915"/>
    <w:rsid w:val="00EF6F95"/>
    <w:rsid w:val="00F0389C"/>
    <w:rsid w:val="00F03921"/>
    <w:rsid w:val="00F057DB"/>
    <w:rsid w:val="00F06949"/>
    <w:rsid w:val="00F11767"/>
    <w:rsid w:val="00F12EDD"/>
    <w:rsid w:val="00F130B6"/>
    <w:rsid w:val="00F15DB2"/>
    <w:rsid w:val="00F15DEB"/>
    <w:rsid w:val="00F212B6"/>
    <w:rsid w:val="00F22AA8"/>
    <w:rsid w:val="00F2367F"/>
    <w:rsid w:val="00F23E32"/>
    <w:rsid w:val="00F337C6"/>
    <w:rsid w:val="00F403CE"/>
    <w:rsid w:val="00F40D8B"/>
    <w:rsid w:val="00F413DB"/>
    <w:rsid w:val="00F416A1"/>
    <w:rsid w:val="00F420FC"/>
    <w:rsid w:val="00F461E0"/>
    <w:rsid w:val="00F462E2"/>
    <w:rsid w:val="00F467AF"/>
    <w:rsid w:val="00F513C7"/>
    <w:rsid w:val="00F51D7D"/>
    <w:rsid w:val="00F54F08"/>
    <w:rsid w:val="00F57BC0"/>
    <w:rsid w:val="00F63893"/>
    <w:rsid w:val="00F6664D"/>
    <w:rsid w:val="00F71B81"/>
    <w:rsid w:val="00F746B3"/>
    <w:rsid w:val="00F7542B"/>
    <w:rsid w:val="00F80E7E"/>
    <w:rsid w:val="00F85562"/>
    <w:rsid w:val="00F863E1"/>
    <w:rsid w:val="00F958D5"/>
    <w:rsid w:val="00F96FB3"/>
    <w:rsid w:val="00FA26FF"/>
    <w:rsid w:val="00FA5B20"/>
    <w:rsid w:val="00FA78D6"/>
    <w:rsid w:val="00FB1E03"/>
    <w:rsid w:val="00FC1F2E"/>
    <w:rsid w:val="00FC22F6"/>
    <w:rsid w:val="00FC28A6"/>
    <w:rsid w:val="00FC37D8"/>
    <w:rsid w:val="00FC7E56"/>
    <w:rsid w:val="00FD0320"/>
    <w:rsid w:val="00FD381C"/>
    <w:rsid w:val="00FD3886"/>
    <w:rsid w:val="00FD65D1"/>
    <w:rsid w:val="00FD7AE4"/>
    <w:rsid w:val="00FE03CD"/>
    <w:rsid w:val="00FE1FC2"/>
    <w:rsid w:val="00FE2F16"/>
    <w:rsid w:val="00FE3537"/>
    <w:rsid w:val="00FE6BB2"/>
    <w:rsid w:val="00FE746E"/>
    <w:rsid w:val="00FF00E5"/>
    <w:rsid w:val="00FF081C"/>
    <w:rsid w:val="00FF4AFF"/>
    <w:rsid w:val="00FF7310"/>
    <w:rsid w:val="00FF7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FE133"/>
  <w15:docId w15:val="{81103E67-6192-4291-8942-8AD305DE2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243C"/>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28243C"/>
    <w:pPr>
      <w:keepNext/>
      <w:jc w:val="center"/>
      <w:outlineLvl w:val="1"/>
    </w:pPr>
    <w:rPr>
      <w:rFonts w:ascii="Courier New" w:hAnsi="Courier New"/>
      <w:sz w:val="26"/>
    </w:rPr>
  </w:style>
  <w:style w:type="paragraph" w:styleId="Heading3">
    <w:name w:val="heading 3"/>
    <w:basedOn w:val="Normal"/>
    <w:next w:val="Normal"/>
    <w:link w:val="Heading3Char"/>
    <w:qFormat/>
    <w:rsid w:val="0028243C"/>
    <w:pPr>
      <w:keepNext/>
      <w:jc w:val="center"/>
      <w:outlineLvl w:val="2"/>
    </w:pPr>
    <w:rPr>
      <w:rFonts w:ascii="Courier New" w:hAnsi="Courier New"/>
      <w:sz w:val="24"/>
    </w:rPr>
  </w:style>
  <w:style w:type="paragraph" w:styleId="Heading4">
    <w:name w:val="heading 4"/>
    <w:basedOn w:val="Normal"/>
    <w:next w:val="Normal"/>
    <w:link w:val="Heading4Char"/>
    <w:qFormat/>
    <w:rsid w:val="0028243C"/>
    <w:pPr>
      <w:keepNext/>
      <w:jc w:val="center"/>
      <w:outlineLvl w:val="3"/>
    </w:pPr>
    <w:rPr>
      <w:rFonts w:ascii="Bookman Old Style" w:hAnsi="Bookman Old Style"/>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8243C"/>
    <w:rPr>
      <w:rFonts w:ascii="Courier New" w:eastAsia="Times New Roman" w:hAnsi="Courier New" w:cs="Times New Roman"/>
      <w:sz w:val="26"/>
      <w:szCs w:val="20"/>
    </w:rPr>
  </w:style>
  <w:style w:type="character" w:customStyle="1" w:styleId="Heading3Char">
    <w:name w:val="Heading 3 Char"/>
    <w:basedOn w:val="DefaultParagraphFont"/>
    <w:link w:val="Heading3"/>
    <w:rsid w:val="0028243C"/>
    <w:rPr>
      <w:rFonts w:ascii="Courier New" w:eastAsia="Times New Roman" w:hAnsi="Courier New" w:cs="Times New Roman"/>
      <w:sz w:val="24"/>
      <w:szCs w:val="20"/>
    </w:rPr>
  </w:style>
  <w:style w:type="character" w:customStyle="1" w:styleId="Heading4Char">
    <w:name w:val="Heading 4 Char"/>
    <w:basedOn w:val="DefaultParagraphFont"/>
    <w:link w:val="Heading4"/>
    <w:rsid w:val="0028243C"/>
    <w:rPr>
      <w:rFonts w:ascii="Bookman Old Style" w:eastAsia="Times New Roman" w:hAnsi="Bookman Old Style" w:cs="Times New Roman"/>
      <w:b/>
      <w:sz w:val="26"/>
      <w:szCs w:val="20"/>
    </w:rPr>
  </w:style>
  <w:style w:type="paragraph" w:styleId="BodyText">
    <w:name w:val="Body Text"/>
    <w:basedOn w:val="Normal"/>
    <w:link w:val="BodyTextChar"/>
    <w:rsid w:val="0028243C"/>
    <w:pPr>
      <w:spacing w:line="240" w:lineRule="atLeast"/>
      <w:jc w:val="both"/>
    </w:pPr>
    <w:rPr>
      <w:rFonts w:ascii="Memorandum" w:hAnsi="Memorandum"/>
      <w:sz w:val="26"/>
    </w:rPr>
  </w:style>
  <w:style w:type="character" w:customStyle="1" w:styleId="BodyTextChar">
    <w:name w:val="Body Text Char"/>
    <w:basedOn w:val="DefaultParagraphFont"/>
    <w:link w:val="BodyText"/>
    <w:rsid w:val="0028243C"/>
    <w:rPr>
      <w:rFonts w:ascii="Memorandum" w:eastAsia="Times New Roman" w:hAnsi="Memorandum" w:cs="Times New Roman"/>
      <w:sz w:val="26"/>
      <w:szCs w:val="20"/>
    </w:rPr>
  </w:style>
  <w:style w:type="paragraph" w:styleId="Title">
    <w:name w:val="Title"/>
    <w:basedOn w:val="Normal"/>
    <w:link w:val="TitleChar"/>
    <w:qFormat/>
    <w:rsid w:val="0028243C"/>
    <w:pPr>
      <w:jc w:val="center"/>
    </w:pPr>
    <w:rPr>
      <w:rFonts w:ascii="Courier New" w:hAnsi="Courier New"/>
      <w:b/>
      <w:sz w:val="24"/>
    </w:rPr>
  </w:style>
  <w:style w:type="character" w:customStyle="1" w:styleId="TitleChar">
    <w:name w:val="Title Char"/>
    <w:basedOn w:val="DefaultParagraphFont"/>
    <w:link w:val="Title"/>
    <w:rsid w:val="0028243C"/>
    <w:rPr>
      <w:rFonts w:ascii="Courier New" w:eastAsia="Times New Roman" w:hAnsi="Courier New" w:cs="Times New Roman"/>
      <w:b/>
      <w:sz w:val="24"/>
      <w:szCs w:val="20"/>
    </w:rPr>
  </w:style>
  <w:style w:type="paragraph" w:styleId="Header">
    <w:name w:val="header"/>
    <w:basedOn w:val="Normal"/>
    <w:link w:val="HeaderChar"/>
    <w:rsid w:val="0028243C"/>
    <w:pPr>
      <w:tabs>
        <w:tab w:val="center" w:pos="4320"/>
        <w:tab w:val="right" w:pos="8640"/>
      </w:tabs>
    </w:pPr>
  </w:style>
  <w:style w:type="character" w:customStyle="1" w:styleId="HeaderChar">
    <w:name w:val="Header Char"/>
    <w:basedOn w:val="DefaultParagraphFont"/>
    <w:link w:val="Header"/>
    <w:rsid w:val="0028243C"/>
    <w:rPr>
      <w:rFonts w:ascii="Times New Roman" w:eastAsia="Times New Roman" w:hAnsi="Times New Roman" w:cs="Times New Roman"/>
      <w:sz w:val="20"/>
      <w:szCs w:val="20"/>
    </w:rPr>
  </w:style>
  <w:style w:type="character" w:styleId="PageNumber">
    <w:name w:val="page number"/>
    <w:basedOn w:val="DefaultParagraphFont"/>
    <w:rsid w:val="0028243C"/>
  </w:style>
  <w:style w:type="paragraph" w:styleId="Footer">
    <w:name w:val="footer"/>
    <w:basedOn w:val="Normal"/>
    <w:link w:val="FooterChar"/>
    <w:rsid w:val="0028243C"/>
    <w:pPr>
      <w:tabs>
        <w:tab w:val="center" w:pos="4320"/>
        <w:tab w:val="right" w:pos="8640"/>
      </w:tabs>
    </w:pPr>
  </w:style>
  <w:style w:type="character" w:customStyle="1" w:styleId="FooterChar">
    <w:name w:val="Footer Char"/>
    <w:basedOn w:val="DefaultParagraphFont"/>
    <w:link w:val="Footer"/>
    <w:rsid w:val="0028243C"/>
    <w:rPr>
      <w:rFonts w:ascii="Times New Roman" w:eastAsia="Times New Roman" w:hAnsi="Times New Roman" w:cs="Times New Roman"/>
      <w:sz w:val="20"/>
      <w:szCs w:val="20"/>
    </w:rPr>
  </w:style>
  <w:style w:type="paragraph" w:styleId="ListParagraph">
    <w:name w:val="List Paragraph"/>
    <w:basedOn w:val="Normal"/>
    <w:uiPriority w:val="34"/>
    <w:qFormat/>
    <w:rsid w:val="006E5438"/>
    <w:pPr>
      <w:ind w:left="720"/>
      <w:contextualSpacing/>
    </w:pPr>
  </w:style>
  <w:style w:type="paragraph" w:styleId="NormalWeb">
    <w:name w:val="Normal (Web)"/>
    <w:basedOn w:val="Normal"/>
    <w:uiPriority w:val="99"/>
    <w:unhideWhenUsed/>
    <w:rsid w:val="000C2EB0"/>
    <w:pPr>
      <w:spacing w:before="100" w:beforeAutospacing="1" w:after="100" w:afterAutospacing="1"/>
    </w:pPr>
    <w:rPr>
      <w:sz w:val="24"/>
      <w:szCs w:val="24"/>
    </w:rPr>
  </w:style>
  <w:style w:type="character" w:customStyle="1" w:styleId="apple-converted-space">
    <w:name w:val="apple-converted-space"/>
    <w:basedOn w:val="DefaultParagraphFont"/>
    <w:rsid w:val="000C2EB0"/>
  </w:style>
  <w:style w:type="paragraph" w:styleId="FootnoteText">
    <w:name w:val="footnote text"/>
    <w:basedOn w:val="Normal"/>
    <w:link w:val="FootnoteTextChar"/>
    <w:uiPriority w:val="99"/>
    <w:semiHidden/>
    <w:unhideWhenUsed/>
    <w:rsid w:val="0025018A"/>
  </w:style>
  <w:style w:type="character" w:customStyle="1" w:styleId="FootnoteTextChar">
    <w:name w:val="Footnote Text Char"/>
    <w:basedOn w:val="DefaultParagraphFont"/>
    <w:link w:val="FootnoteText"/>
    <w:uiPriority w:val="99"/>
    <w:semiHidden/>
    <w:rsid w:val="0025018A"/>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25018A"/>
    <w:rPr>
      <w:vertAlign w:val="superscript"/>
    </w:rPr>
  </w:style>
  <w:style w:type="paragraph" w:styleId="BalloonText">
    <w:name w:val="Balloon Text"/>
    <w:basedOn w:val="Normal"/>
    <w:link w:val="BalloonTextChar"/>
    <w:uiPriority w:val="99"/>
    <w:semiHidden/>
    <w:unhideWhenUsed/>
    <w:rsid w:val="003240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085"/>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17770">
      <w:bodyDiv w:val="1"/>
      <w:marLeft w:val="0"/>
      <w:marRight w:val="0"/>
      <w:marTop w:val="0"/>
      <w:marBottom w:val="0"/>
      <w:divBdr>
        <w:top w:val="none" w:sz="0" w:space="0" w:color="auto"/>
        <w:left w:val="none" w:sz="0" w:space="0" w:color="auto"/>
        <w:bottom w:val="none" w:sz="0" w:space="0" w:color="auto"/>
        <w:right w:val="none" w:sz="0" w:space="0" w:color="auto"/>
      </w:divBdr>
    </w:div>
    <w:div w:id="108016893">
      <w:bodyDiv w:val="1"/>
      <w:marLeft w:val="0"/>
      <w:marRight w:val="0"/>
      <w:marTop w:val="0"/>
      <w:marBottom w:val="0"/>
      <w:divBdr>
        <w:top w:val="none" w:sz="0" w:space="0" w:color="auto"/>
        <w:left w:val="none" w:sz="0" w:space="0" w:color="auto"/>
        <w:bottom w:val="none" w:sz="0" w:space="0" w:color="auto"/>
        <w:right w:val="none" w:sz="0" w:space="0" w:color="auto"/>
      </w:divBdr>
    </w:div>
    <w:div w:id="192501406">
      <w:bodyDiv w:val="1"/>
      <w:marLeft w:val="0"/>
      <w:marRight w:val="0"/>
      <w:marTop w:val="0"/>
      <w:marBottom w:val="0"/>
      <w:divBdr>
        <w:top w:val="none" w:sz="0" w:space="0" w:color="auto"/>
        <w:left w:val="none" w:sz="0" w:space="0" w:color="auto"/>
        <w:bottom w:val="none" w:sz="0" w:space="0" w:color="auto"/>
        <w:right w:val="none" w:sz="0" w:space="0" w:color="auto"/>
      </w:divBdr>
    </w:div>
    <w:div w:id="195849527">
      <w:bodyDiv w:val="1"/>
      <w:marLeft w:val="0"/>
      <w:marRight w:val="0"/>
      <w:marTop w:val="0"/>
      <w:marBottom w:val="0"/>
      <w:divBdr>
        <w:top w:val="none" w:sz="0" w:space="0" w:color="auto"/>
        <w:left w:val="none" w:sz="0" w:space="0" w:color="auto"/>
        <w:bottom w:val="none" w:sz="0" w:space="0" w:color="auto"/>
        <w:right w:val="none" w:sz="0" w:space="0" w:color="auto"/>
      </w:divBdr>
    </w:div>
    <w:div w:id="230390688">
      <w:bodyDiv w:val="1"/>
      <w:marLeft w:val="0"/>
      <w:marRight w:val="0"/>
      <w:marTop w:val="0"/>
      <w:marBottom w:val="0"/>
      <w:divBdr>
        <w:top w:val="none" w:sz="0" w:space="0" w:color="auto"/>
        <w:left w:val="none" w:sz="0" w:space="0" w:color="auto"/>
        <w:bottom w:val="none" w:sz="0" w:space="0" w:color="auto"/>
        <w:right w:val="none" w:sz="0" w:space="0" w:color="auto"/>
      </w:divBdr>
    </w:div>
    <w:div w:id="237910609">
      <w:bodyDiv w:val="1"/>
      <w:marLeft w:val="0"/>
      <w:marRight w:val="0"/>
      <w:marTop w:val="0"/>
      <w:marBottom w:val="0"/>
      <w:divBdr>
        <w:top w:val="none" w:sz="0" w:space="0" w:color="auto"/>
        <w:left w:val="none" w:sz="0" w:space="0" w:color="auto"/>
        <w:bottom w:val="none" w:sz="0" w:space="0" w:color="auto"/>
        <w:right w:val="none" w:sz="0" w:space="0" w:color="auto"/>
      </w:divBdr>
    </w:div>
    <w:div w:id="247471449">
      <w:bodyDiv w:val="1"/>
      <w:marLeft w:val="0"/>
      <w:marRight w:val="0"/>
      <w:marTop w:val="0"/>
      <w:marBottom w:val="0"/>
      <w:divBdr>
        <w:top w:val="none" w:sz="0" w:space="0" w:color="auto"/>
        <w:left w:val="none" w:sz="0" w:space="0" w:color="auto"/>
        <w:bottom w:val="none" w:sz="0" w:space="0" w:color="auto"/>
        <w:right w:val="none" w:sz="0" w:space="0" w:color="auto"/>
      </w:divBdr>
    </w:div>
    <w:div w:id="382607453">
      <w:bodyDiv w:val="1"/>
      <w:marLeft w:val="0"/>
      <w:marRight w:val="0"/>
      <w:marTop w:val="0"/>
      <w:marBottom w:val="0"/>
      <w:divBdr>
        <w:top w:val="none" w:sz="0" w:space="0" w:color="auto"/>
        <w:left w:val="none" w:sz="0" w:space="0" w:color="auto"/>
        <w:bottom w:val="none" w:sz="0" w:space="0" w:color="auto"/>
        <w:right w:val="none" w:sz="0" w:space="0" w:color="auto"/>
      </w:divBdr>
      <w:divsChild>
        <w:div w:id="1177622920">
          <w:marLeft w:val="0"/>
          <w:marRight w:val="0"/>
          <w:marTop w:val="0"/>
          <w:marBottom w:val="0"/>
          <w:divBdr>
            <w:top w:val="none" w:sz="0" w:space="0" w:color="auto"/>
            <w:left w:val="none" w:sz="0" w:space="0" w:color="auto"/>
            <w:bottom w:val="none" w:sz="0" w:space="0" w:color="auto"/>
            <w:right w:val="none" w:sz="0" w:space="0" w:color="auto"/>
          </w:divBdr>
        </w:div>
      </w:divsChild>
    </w:div>
    <w:div w:id="394859588">
      <w:bodyDiv w:val="1"/>
      <w:marLeft w:val="0"/>
      <w:marRight w:val="0"/>
      <w:marTop w:val="0"/>
      <w:marBottom w:val="0"/>
      <w:divBdr>
        <w:top w:val="none" w:sz="0" w:space="0" w:color="auto"/>
        <w:left w:val="none" w:sz="0" w:space="0" w:color="auto"/>
        <w:bottom w:val="none" w:sz="0" w:space="0" w:color="auto"/>
        <w:right w:val="none" w:sz="0" w:space="0" w:color="auto"/>
      </w:divBdr>
    </w:div>
    <w:div w:id="467238209">
      <w:bodyDiv w:val="1"/>
      <w:marLeft w:val="0"/>
      <w:marRight w:val="0"/>
      <w:marTop w:val="0"/>
      <w:marBottom w:val="0"/>
      <w:divBdr>
        <w:top w:val="none" w:sz="0" w:space="0" w:color="auto"/>
        <w:left w:val="none" w:sz="0" w:space="0" w:color="auto"/>
        <w:bottom w:val="none" w:sz="0" w:space="0" w:color="auto"/>
        <w:right w:val="none" w:sz="0" w:space="0" w:color="auto"/>
      </w:divBdr>
      <w:divsChild>
        <w:div w:id="425923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972708">
      <w:bodyDiv w:val="1"/>
      <w:marLeft w:val="0"/>
      <w:marRight w:val="0"/>
      <w:marTop w:val="0"/>
      <w:marBottom w:val="0"/>
      <w:divBdr>
        <w:top w:val="none" w:sz="0" w:space="0" w:color="auto"/>
        <w:left w:val="none" w:sz="0" w:space="0" w:color="auto"/>
        <w:bottom w:val="none" w:sz="0" w:space="0" w:color="auto"/>
        <w:right w:val="none" w:sz="0" w:space="0" w:color="auto"/>
      </w:divBdr>
    </w:div>
    <w:div w:id="517963253">
      <w:bodyDiv w:val="1"/>
      <w:marLeft w:val="0"/>
      <w:marRight w:val="0"/>
      <w:marTop w:val="0"/>
      <w:marBottom w:val="0"/>
      <w:divBdr>
        <w:top w:val="none" w:sz="0" w:space="0" w:color="auto"/>
        <w:left w:val="none" w:sz="0" w:space="0" w:color="auto"/>
        <w:bottom w:val="none" w:sz="0" w:space="0" w:color="auto"/>
        <w:right w:val="none" w:sz="0" w:space="0" w:color="auto"/>
      </w:divBdr>
    </w:div>
    <w:div w:id="535703979">
      <w:bodyDiv w:val="1"/>
      <w:marLeft w:val="0"/>
      <w:marRight w:val="0"/>
      <w:marTop w:val="0"/>
      <w:marBottom w:val="0"/>
      <w:divBdr>
        <w:top w:val="none" w:sz="0" w:space="0" w:color="auto"/>
        <w:left w:val="none" w:sz="0" w:space="0" w:color="auto"/>
        <w:bottom w:val="none" w:sz="0" w:space="0" w:color="auto"/>
        <w:right w:val="none" w:sz="0" w:space="0" w:color="auto"/>
      </w:divBdr>
      <w:divsChild>
        <w:div w:id="1592354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066140">
      <w:bodyDiv w:val="1"/>
      <w:marLeft w:val="0"/>
      <w:marRight w:val="0"/>
      <w:marTop w:val="0"/>
      <w:marBottom w:val="0"/>
      <w:divBdr>
        <w:top w:val="none" w:sz="0" w:space="0" w:color="auto"/>
        <w:left w:val="none" w:sz="0" w:space="0" w:color="auto"/>
        <w:bottom w:val="none" w:sz="0" w:space="0" w:color="auto"/>
        <w:right w:val="none" w:sz="0" w:space="0" w:color="auto"/>
      </w:divBdr>
    </w:div>
    <w:div w:id="664750336">
      <w:bodyDiv w:val="1"/>
      <w:marLeft w:val="0"/>
      <w:marRight w:val="0"/>
      <w:marTop w:val="0"/>
      <w:marBottom w:val="0"/>
      <w:divBdr>
        <w:top w:val="none" w:sz="0" w:space="0" w:color="auto"/>
        <w:left w:val="none" w:sz="0" w:space="0" w:color="auto"/>
        <w:bottom w:val="none" w:sz="0" w:space="0" w:color="auto"/>
        <w:right w:val="none" w:sz="0" w:space="0" w:color="auto"/>
      </w:divBdr>
    </w:div>
    <w:div w:id="754521056">
      <w:bodyDiv w:val="1"/>
      <w:marLeft w:val="0"/>
      <w:marRight w:val="0"/>
      <w:marTop w:val="0"/>
      <w:marBottom w:val="0"/>
      <w:divBdr>
        <w:top w:val="none" w:sz="0" w:space="0" w:color="auto"/>
        <w:left w:val="none" w:sz="0" w:space="0" w:color="auto"/>
        <w:bottom w:val="none" w:sz="0" w:space="0" w:color="auto"/>
        <w:right w:val="none" w:sz="0" w:space="0" w:color="auto"/>
      </w:divBdr>
    </w:div>
    <w:div w:id="850341667">
      <w:bodyDiv w:val="1"/>
      <w:marLeft w:val="0"/>
      <w:marRight w:val="0"/>
      <w:marTop w:val="0"/>
      <w:marBottom w:val="0"/>
      <w:divBdr>
        <w:top w:val="none" w:sz="0" w:space="0" w:color="auto"/>
        <w:left w:val="none" w:sz="0" w:space="0" w:color="auto"/>
        <w:bottom w:val="none" w:sz="0" w:space="0" w:color="auto"/>
        <w:right w:val="none" w:sz="0" w:space="0" w:color="auto"/>
      </w:divBdr>
    </w:div>
    <w:div w:id="924800610">
      <w:bodyDiv w:val="1"/>
      <w:marLeft w:val="0"/>
      <w:marRight w:val="0"/>
      <w:marTop w:val="0"/>
      <w:marBottom w:val="0"/>
      <w:divBdr>
        <w:top w:val="none" w:sz="0" w:space="0" w:color="auto"/>
        <w:left w:val="none" w:sz="0" w:space="0" w:color="auto"/>
        <w:bottom w:val="none" w:sz="0" w:space="0" w:color="auto"/>
        <w:right w:val="none" w:sz="0" w:space="0" w:color="auto"/>
      </w:divBdr>
      <w:divsChild>
        <w:div w:id="139075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0629953">
      <w:bodyDiv w:val="1"/>
      <w:marLeft w:val="0"/>
      <w:marRight w:val="0"/>
      <w:marTop w:val="0"/>
      <w:marBottom w:val="0"/>
      <w:divBdr>
        <w:top w:val="none" w:sz="0" w:space="0" w:color="auto"/>
        <w:left w:val="none" w:sz="0" w:space="0" w:color="auto"/>
        <w:bottom w:val="none" w:sz="0" w:space="0" w:color="auto"/>
        <w:right w:val="none" w:sz="0" w:space="0" w:color="auto"/>
      </w:divBdr>
    </w:div>
    <w:div w:id="967659109">
      <w:bodyDiv w:val="1"/>
      <w:marLeft w:val="0"/>
      <w:marRight w:val="0"/>
      <w:marTop w:val="0"/>
      <w:marBottom w:val="0"/>
      <w:divBdr>
        <w:top w:val="none" w:sz="0" w:space="0" w:color="auto"/>
        <w:left w:val="none" w:sz="0" w:space="0" w:color="auto"/>
        <w:bottom w:val="none" w:sz="0" w:space="0" w:color="auto"/>
        <w:right w:val="none" w:sz="0" w:space="0" w:color="auto"/>
      </w:divBdr>
    </w:div>
    <w:div w:id="1027947583">
      <w:bodyDiv w:val="1"/>
      <w:marLeft w:val="0"/>
      <w:marRight w:val="0"/>
      <w:marTop w:val="0"/>
      <w:marBottom w:val="0"/>
      <w:divBdr>
        <w:top w:val="none" w:sz="0" w:space="0" w:color="auto"/>
        <w:left w:val="none" w:sz="0" w:space="0" w:color="auto"/>
        <w:bottom w:val="none" w:sz="0" w:space="0" w:color="auto"/>
        <w:right w:val="none" w:sz="0" w:space="0" w:color="auto"/>
      </w:divBdr>
    </w:div>
    <w:div w:id="1113939293">
      <w:bodyDiv w:val="1"/>
      <w:marLeft w:val="0"/>
      <w:marRight w:val="0"/>
      <w:marTop w:val="0"/>
      <w:marBottom w:val="0"/>
      <w:divBdr>
        <w:top w:val="none" w:sz="0" w:space="0" w:color="auto"/>
        <w:left w:val="none" w:sz="0" w:space="0" w:color="auto"/>
        <w:bottom w:val="none" w:sz="0" w:space="0" w:color="auto"/>
        <w:right w:val="none" w:sz="0" w:space="0" w:color="auto"/>
      </w:divBdr>
    </w:div>
    <w:div w:id="1184130448">
      <w:bodyDiv w:val="1"/>
      <w:marLeft w:val="0"/>
      <w:marRight w:val="0"/>
      <w:marTop w:val="0"/>
      <w:marBottom w:val="0"/>
      <w:divBdr>
        <w:top w:val="none" w:sz="0" w:space="0" w:color="auto"/>
        <w:left w:val="none" w:sz="0" w:space="0" w:color="auto"/>
        <w:bottom w:val="none" w:sz="0" w:space="0" w:color="auto"/>
        <w:right w:val="none" w:sz="0" w:space="0" w:color="auto"/>
      </w:divBdr>
    </w:div>
    <w:div w:id="1195848614">
      <w:bodyDiv w:val="1"/>
      <w:marLeft w:val="0"/>
      <w:marRight w:val="0"/>
      <w:marTop w:val="0"/>
      <w:marBottom w:val="0"/>
      <w:divBdr>
        <w:top w:val="none" w:sz="0" w:space="0" w:color="auto"/>
        <w:left w:val="none" w:sz="0" w:space="0" w:color="auto"/>
        <w:bottom w:val="none" w:sz="0" w:space="0" w:color="auto"/>
        <w:right w:val="none" w:sz="0" w:space="0" w:color="auto"/>
      </w:divBdr>
    </w:div>
    <w:div w:id="1287543228">
      <w:bodyDiv w:val="1"/>
      <w:marLeft w:val="0"/>
      <w:marRight w:val="0"/>
      <w:marTop w:val="0"/>
      <w:marBottom w:val="0"/>
      <w:divBdr>
        <w:top w:val="none" w:sz="0" w:space="0" w:color="auto"/>
        <w:left w:val="none" w:sz="0" w:space="0" w:color="auto"/>
        <w:bottom w:val="none" w:sz="0" w:space="0" w:color="auto"/>
        <w:right w:val="none" w:sz="0" w:space="0" w:color="auto"/>
      </w:divBdr>
      <w:divsChild>
        <w:div w:id="2008049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975217">
      <w:bodyDiv w:val="1"/>
      <w:marLeft w:val="0"/>
      <w:marRight w:val="0"/>
      <w:marTop w:val="0"/>
      <w:marBottom w:val="0"/>
      <w:divBdr>
        <w:top w:val="none" w:sz="0" w:space="0" w:color="auto"/>
        <w:left w:val="none" w:sz="0" w:space="0" w:color="auto"/>
        <w:bottom w:val="none" w:sz="0" w:space="0" w:color="auto"/>
        <w:right w:val="none" w:sz="0" w:space="0" w:color="auto"/>
      </w:divBdr>
    </w:div>
    <w:div w:id="1337003791">
      <w:bodyDiv w:val="1"/>
      <w:marLeft w:val="0"/>
      <w:marRight w:val="0"/>
      <w:marTop w:val="0"/>
      <w:marBottom w:val="0"/>
      <w:divBdr>
        <w:top w:val="none" w:sz="0" w:space="0" w:color="auto"/>
        <w:left w:val="none" w:sz="0" w:space="0" w:color="auto"/>
        <w:bottom w:val="none" w:sz="0" w:space="0" w:color="auto"/>
        <w:right w:val="none" w:sz="0" w:space="0" w:color="auto"/>
      </w:divBdr>
    </w:div>
    <w:div w:id="1360547449">
      <w:bodyDiv w:val="1"/>
      <w:marLeft w:val="0"/>
      <w:marRight w:val="0"/>
      <w:marTop w:val="0"/>
      <w:marBottom w:val="0"/>
      <w:divBdr>
        <w:top w:val="none" w:sz="0" w:space="0" w:color="auto"/>
        <w:left w:val="none" w:sz="0" w:space="0" w:color="auto"/>
        <w:bottom w:val="none" w:sz="0" w:space="0" w:color="auto"/>
        <w:right w:val="none" w:sz="0" w:space="0" w:color="auto"/>
      </w:divBdr>
    </w:div>
    <w:div w:id="1476868730">
      <w:bodyDiv w:val="1"/>
      <w:marLeft w:val="0"/>
      <w:marRight w:val="0"/>
      <w:marTop w:val="0"/>
      <w:marBottom w:val="0"/>
      <w:divBdr>
        <w:top w:val="none" w:sz="0" w:space="0" w:color="auto"/>
        <w:left w:val="none" w:sz="0" w:space="0" w:color="auto"/>
        <w:bottom w:val="none" w:sz="0" w:space="0" w:color="auto"/>
        <w:right w:val="none" w:sz="0" w:space="0" w:color="auto"/>
      </w:divBdr>
    </w:div>
    <w:div w:id="1509365973">
      <w:bodyDiv w:val="1"/>
      <w:marLeft w:val="0"/>
      <w:marRight w:val="0"/>
      <w:marTop w:val="0"/>
      <w:marBottom w:val="0"/>
      <w:divBdr>
        <w:top w:val="none" w:sz="0" w:space="0" w:color="auto"/>
        <w:left w:val="none" w:sz="0" w:space="0" w:color="auto"/>
        <w:bottom w:val="none" w:sz="0" w:space="0" w:color="auto"/>
        <w:right w:val="none" w:sz="0" w:space="0" w:color="auto"/>
      </w:divBdr>
    </w:div>
    <w:div w:id="1612666444">
      <w:bodyDiv w:val="1"/>
      <w:marLeft w:val="0"/>
      <w:marRight w:val="0"/>
      <w:marTop w:val="0"/>
      <w:marBottom w:val="0"/>
      <w:divBdr>
        <w:top w:val="none" w:sz="0" w:space="0" w:color="auto"/>
        <w:left w:val="none" w:sz="0" w:space="0" w:color="auto"/>
        <w:bottom w:val="none" w:sz="0" w:space="0" w:color="auto"/>
        <w:right w:val="none" w:sz="0" w:space="0" w:color="auto"/>
      </w:divBdr>
    </w:div>
    <w:div w:id="1745443843">
      <w:bodyDiv w:val="1"/>
      <w:marLeft w:val="0"/>
      <w:marRight w:val="0"/>
      <w:marTop w:val="0"/>
      <w:marBottom w:val="0"/>
      <w:divBdr>
        <w:top w:val="none" w:sz="0" w:space="0" w:color="auto"/>
        <w:left w:val="none" w:sz="0" w:space="0" w:color="auto"/>
        <w:bottom w:val="none" w:sz="0" w:space="0" w:color="auto"/>
        <w:right w:val="none" w:sz="0" w:space="0" w:color="auto"/>
      </w:divBdr>
    </w:div>
    <w:div w:id="183522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9D0B1-514E-4564-8201-8B0867888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12</Pages>
  <Words>3380</Words>
  <Characters>19266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PGO Del Norte</dc:creator>
  <cp:lastModifiedBy>RTC Branch 57 Mabini, Davao De Oro</cp:lastModifiedBy>
  <cp:revision>27</cp:revision>
  <cp:lastPrinted>2021-04-22T09:25:00Z</cp:lastPrinted>
  <dcterms:created xsi:type="dcterms:W3CDTF">2023-02-20T00:47:00Z</dcterms:created>
  <dcterms:modified xsi:type="dcterms:W3CDTF">2023-02-20T08:32:00Z</dcterms:modified>
</cp:coreProperties>
</file>