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Министерство науки и высшего образования Российской Федерации</w:t>
      </w:r>
    </w:p>
    <w:p>
      <w:r>
        <w:rPr>
          <w:sz w:val="40"/>
        </w:rPr>
        <w:t>ВЫПУСКНАЯ КВАЛИФИКАЦИОННАЯ РАБОТА</w:t>
      </w:r>
    </w:p>
    <w:p>
      <w:r>
        <w:t>РЕФЕРАТ</w:t>
      </w:r>
    </w:p>
    <w:p>
      <w:r>
        <w:t xml:space="preserve">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Анонимный контроль сложного документа. </w:t>
      </w:r>
    </w:p>
    <w:p>
      <w:r>
        <w:t>СОДЕРЖАНИЕ</w:t>
      </w:r>
    </w:p>
    <w:p>
      <w:r>
        <w:t>ВВЕДЕНИЕ 3</w:t>
      </w:r>
    </w:p>
    <w:p>
      <w:r>
        <w:br w:type="page"/>
      </w:r>
    </w:p>
    <w:p>
      <w:r>
        <w:t>ВВЕДЕНИЕ</w:t>
      </w:r>
    </w:p>
    <w:p>
      <w:r>
        <w:rPr>
          <w:sz w:val="14"/>
        </w:rPr>
        <w:t xml:space="preserve">Контроль основного текста и точечного исправления размера символов. Контроль основного текста и точечного исправления размера символов. Контроль основного текста и точечного исправления размера символов. Контроль основного текста и точечного исправления размера символов. Контроль основного текста и точечного исправления размера символов. </w:t>
      </w:r>
    </w:p>
    <w:p>
      <w:r>
        <w:br w:type="page"/>
      </w:r>
    </w:p>
    <w:p>
      <w:pPr>
        <w:pStyle w:val="Heading1"/>
      </w:pPr>
      <w:r>
        <w:t>Формулы и графические материалы</w:t>
      </w:r>
    </w:p>
    <w:p>
      <w:r>
        <w:rPr>
          <w:sz w:val="14"/>
        </w:rPr>
        <w:t xml:space="preserve">Уравнение сохраняется без изменения форматирования. Уравнение сохраняется без изменения форматирования. Уравнение сохраняется без изменения форматирования. </w:t>
      </w:r>
      <m:oMath>
        <m:r>
          <m:t>F = m a</m:t>
        </m:r>
      </m:oMath>
    </w:p>
    <w:p>
      <w:r>
        <w:rPr>
          <w:sz w:val="12"/>
          <w:vertAlign w:val="subscript"/>
        </w:rPr>
        <w:t>x</w:t>
      </w:r>
    </w:p>
    <w:p>
      <w:r>
        <w:drawing>
          <wp:inline xmlns:a="http://schemas.openxmlformats.org/drawingml/2006/main" xmlns:pic="http://schemas.openxmlformats.org/drawingml/2006/picture">
            <wp:extent cx="3657600" cy="1524000"/>
            <wp:docPr id="1" name="Picture 1"/>
            <wp:cNvGraphicFramePr>
              <a:graphicFrameLocks noChangeAspect="1"/>
            </wp:cNvGraphicFramePr>
            <a:graphic>
              <a:graphicData uri="http://schemas.openxmlformats.org/drawingml/2006/picture">
                <pic:pic>
                  <pic:nvPicPr>
                    <pic:cNvPr id="0" name="plot.png"/>
                    <pic:cNvPicPr/>
                  </pic:nvPicPr>
                  <pic:blipFill>
                    <a:blip r:embed="rId9"/>
                    <a:stretch>
                      <a:fillRect/>
                    </a:stretch>
                  </pic:blipFill>
                  <pic:spPr>
                    <a:xfrm>
                      <a:off x="0" y="0"/>
                      <a:ext cx="3657600" cy="1524000"/>
                    </a:xfrm>
                    <a:prstGeom prst="rect"/>
                  </pic:spPr>
                </pic:pic>
              </a:graphicData>
            </a:graphic>
          </wp:inline>
        </w:drawing>
      </w:r>
    </w:p>
    <w:p>
      <w:pPr>
        <w:pStyle w:val="Caption"/>
      </w:pPr>
      <w:r>
        <w:t>Рисунок 1 — Анонимный график</w:t>
      </w:r>
    </w:p>
    <w:tbl>
      <w:tblPr>
        <w:tblStyle w:val="TableGrid"/>
        <w:tblW w:type="auto" w:w="0"/>
        <w:tblLook w:firstColumn="1" w:firstRow="1" w:lastColumn="0" w:lastRow="0" w:noHBand="0" w:noVBand="1" w:val="04A0"/>
      </w:tblPr>
      <w:tblGrid>
        <w:gridCol w:w="2769"/>
        <w:gridCol w:w="2769"/>
        <w:gridCol w:w="2769"/>
      </w:tblGrid>
      <w:tr>
        <w:tc>
          <w:tcPr>
            <w:tcW w:type="dxa" w:w="2769"/>
          </w:tcPr>
          <w:p>
            <w:r>
              <w:t>1.1</w:t>
            </w:r>
          </w:p>
        </w:tc>
        <w:tc>
          <w:tcPr>
            <w:tcW w:type="dxa" w:w="2769"/>
          </w:tcPr>
          <w:p>
            <w:r>
              <w:t>1.2</w:t>
            </w:r>
          </w:p>
        </w:tc>
        <w:tc>
          <w:tcPr>
            <w:tcW w:type="dxa" w:w="2769"/>
          </w:tcPr>
          <w:p>
            <w:r>
              <w:t>1.3</w:t>
            </w:r>
          </w:p>
        </w:tc>
      </w:tr>
      <w:tr>
        <w:tc>
          <w:tcPr>
            <w:tcW w:type="dxa" w:w="2769"/>
          </w:tcPr>
          <w:p>
            <w:r>
              <w:t>2.1</w:t>
            </w:r>
          </w:p>
        </w:tc>
        <w:tc>
          <w:tcPr>
            <w:tcW w:type="dxa" w:w="2769"/>
          </w:tcPr>
          <w:p>
            <w:r>
              <w:t>2.2</w:t>
            </w:r>
          </w:p>
        </w:tc>
        <w:tc>
          <w:tcPr>
            <w:tcW w:type="dxa" w:w="2769"/>
          </w:tcPr>
          <w:p>
            <w:r>
              <w:t>2.3</w:t>
            </w:r>
          </w:p>
        </w:tc>
      </w:tr>
      <w:tr>
        <w:tc>
          <w:tcPr>
            <w:tcW w:type="dxa" w:w="2769"/>
          </w:tcPr>
          <w:p>
            <w:r>
              <w:t>3.1</w:t>
            </w:r>
          </w:p>
        </w:tc>
        <w:tc>
          <w:tcPr>
            <w:tcW w:type="dxa" w:w="2769"/>
          </w:tcPr>
          <w:p>
            <w:r>
              <w:t>3.2</w:t>
            </w:r>
          </w:p>
        </w:tc>
        <w:tc>
          <w:tcPr>
            <w:tcW w:type="dxa" w:w="2769"/>
          </w:tcPr>
          <w:p>
            <w:r>
              <w:t>3.3</w:t>
            </w:r>
          </w:p>
        </w:tc>
      </w:tr>
    </w:tbl>
    <w:p>
      <w:hyperlink>
        <w:r>
          <w:t>Protected hyperlink text</w:t>
        </w:r>
      </w:hyperlink>
    </w:p>
    <w:p>
      <w:fldSimple w:instr=" PAGE "/>
    </w:p>
    <w:sdt>
      <w:sdtContent>
        <w:p>
          <w:r>
            <w:t>Protected content control</w:t>
          </w:r>
        </w:p>
      </w:sdtContent>
    </w:sdt>
    <w:p>
      <w:r>
        <w:t>ЗАКЛЮЧЕНИЕ</w:t>
      </w:r>
    </w:p>
    <w:p>
      <w:r>
        <w:t xml:space="preserve">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Контрольный вывод. </w:t>
      </w:r>
    </w:p>
    <w:p>
      <w:r>
        <w:t>СПИСОК ИСПОЛЬЗОВАННЫХ ИСТОЧНИКОВ</w:t>
      </w:r>
    </w:p>
    <w:p>
      <w:r>
        <w:t>1. Анонимный источник.</w:t>
      </w:r>
    </w:p>
    <w:p>
      <w:r>
        <w:t>ПРИЛОЖЕНИЕ А</w:t>
      </w:r>
    </w:p>
    <w:sectPr w:rsidR="00FC693F" w:rsidRPr="0006063C" w:rsidSect="00034616">
      <w:headerReference w:type="default" r:id="rId10"/>
      <w:footerReference w:type="default" r:id="rId1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Protected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Protected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