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rPr>
          <w:color w:val="000000"/>
        </w:rP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p>
      <w:r>
        <w:rPr>
          <w:color w:val="000000"/>
          <w:sz w:val="28"/>
        </w:rPr>
        <w:t>Методы обработки данных и анализа результатов исследования позволяют проверить форматирование текста.</w:t>
      </w:r>
    </w:p>
    <w:p>
      <w:r>
        <w:rPr>
          <w:color w:val="000000"/>
          <w:sz w:val="28"/>
        </w:rPr>
        <w:t>Методы обработки данных и анализа результатов исследования позволяют проверить форматирование текста.</w:t>
      </w:r>
    </w:p>
    <w:p>
      <w:r>
        <w:rPr>
          <w:color w:val="000000"/>
          <w:sz w:val="28"/>
        </w:rPr>
        <w:t>Методы обработки данных и анализа результатов исследования позволяют проверить форматирование текста.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