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p>
      <w:r>
        <w:rPr>
          <w:color w:val="000000"/>
          <w:sz w:val="14"/>
        </w:rPr>
        <w:t>Методы обработки данных и анализа результатов исследования позволяют проверить форматирование текста.</w:t>
      </w:r>
    </w:p>
    <w:p>
      <w:r>
        <w:rPr>
          <w:color w:val="000000"/>
          <w:sz w:val="37"/>
        </w:rPr>
        <w:t>Методы обработки данных и анализа результатов исследования позволяют проверить форматирование текста.</w:t>
      </w:r>
    </w:p>
    <w:p>
      <w:r>
        <w:rPr>
          <w:color w:val="FF0000"/>
          <w:sz w:val="28"/>
        </w:rPr>
        <w:t>Методы обработки данных и анализа результатов исследования позволяют проверить форматирование текста.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sectPr w:rsidR="00FC693F" w:rsidRPr="0006063C" w:rsidSect="00034616">
      <w:pgSz w:w="12246" w:h="15817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