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Hybrid Generative Residual Networks for Battery RUL Forecasting</w:t>
      </w:r>
    </w:p>
    <w:p>
      <w:pPr>
        <w:jc w:val="center"/>
      </w:pPr>
      <w:r>
        <w:t>Technical Research Summary | Project Results Submission</w:t>
      </w:r>
    </w:p>
    <w:p>
      <w:pPr>
        <w:pStyle w:val="Heading1"/>
      </w:pPr>
      <w:r>
        <w:t>I. Proposed Hybrid SLM-RUL Framework</w:t>
      </w:r>
    </w:p>
    <w:p>
      <w:r>
        <w:t>The framework synergizes the generalized pattern recognition of Amazon Chronos with a localized Small Language Model (SLM) trained specifically on generative residual errors. Post-hoc calibration via Ridge-Affine mapping ensures peak precision across varying battery chemistries.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511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5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1. Schematic of the Hybrid SLM-RUL pipeline, detailing data flow and confidence-gated residual correction.</w:t>
      </w:r>
    </w:p>
    <w:p>
      <w:r>
        <w:br w:type="page"/>
      </w:r>
    </w:p>
    <w:p>
      <w:pPr>
        <w:pStyle w:val="Heading1"/>
      </w:pPr>
      <w:r>
        <w:t>II. Data Manifold Validation (t-SNE)</w:t>
      </w:r>
    </w:p>
    <w:p>
      <w:r>
        <w:t>Generative data augmentation was utilized to address cycle-life data scarcity. t-SNE manifold projections verify that synthetic features effectively occupy the operational feature space of true operational cells.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25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005_ts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5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2. t-SNE projection of concatenated real and synthetic datasets for battery cell B0005.</w:t>
      </w:r>
    </w:p>
    <w:p>
      <w:r>
        <w:br w:type="page"/>
      </w:r>
    </w:p>
    <w:p>
      <w:pPr>
        <w:pStyle w:val="Heading1"/>
      </w:pPr>
      <w:r>
        <w:t>III. Training Convergence Dynamics (Case 1)</w:t>
      </w:r>
    </w:p>
    <w:p>
      <w:r>
        <w:t>Evaluates temporal generalization on individual trajectories. The optimization objective shows stable blue (train) and green (val) trajectories, verifying efficient feature extraction.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1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as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3. Training and Validation trajectories under the Case 1 (Intra-cell) split.</w:t>
      </w:r>
    </w:p>
    <w:p>
      <w:r>
        <w:br w:type="page"/>
      </w:r>
    </w:p>
    <w:p>
      <w:pPr>
        <w:pStyle w:val="Heading1"/>
      </w:pPr>
      <w:r>
        <w:t>IV. Cross-Battery Stability (Case 3 - LOO)</w:t>
      </w:r>
    </w:p>
    <w:p>
      <w:r>
        <w:t>The Leave-One-Out (LOO) test on Case 3 confirms the model's capacity to maintain a low error gap even when forecasting for completely unseen cell signatures.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1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as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4. Convergence profiles for the cross-battery Leave-One-Out experimental setup.</w:t>
      </w:r>
    </w:p>
    <w:p>
      <w:r>
        <w:br w:type="page"/>
      </w:r>
    </w:p>
    <w:p>
      <w:pPr>
        <w:pStyle w:val="Heading1"/>
      </w:pPr>
      <w:r>
        <w:t>V. Technical Specifications &amp; Hyperparameters</w:t>
      </w:r>
    </w:p>
    <w:p>
      <w:r>
        <w:t>The table below outlines the converged configuration settings for the SLM Transformer, PatchTST Residuals, and Chronos Baseline forensic settings.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99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hyperparame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9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Table 1. Unified hyperparameter matrix across all experimental boundary cases.</w:t>
      </w:r>
    </w:p>
    <w:p>
      <w:r>
        <w:br w:type="page"/>
      </w:r>
    </w:p>
    <w:p>
      <w:pPr>
        <w:pStyle w:val="Heading1"/>
      </w:pPr>
      <w:r>
        <w:t>VI. Integrated Remaining Useful Life Forecasts</w:t>
      </w:r>
    </w:p>
    <w:p>
      <w:r>
        <w:t>Observed vs. Predicted discharge capacity profiles. The system effectively tracks non-linear degradation and stays within tight Ah tolerance boundaries even as the cell approaches End-of-Life (EOL).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03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_case1_B0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5. Comparative RUL predictions for cell B0005. The transition line denotes the autonomous forecasting start.</w:t>
      </w:r>
    </w:p>
    <w:p>
      <w:r>
        <w:br w:type="page"/>
      </w:r>
    </w:p>
    <w:p>
      <w:pPr>
        <w:pStyle w:val="Heading1"/>
      </w:pPr>
      <w:r>
        <w:t>VII. Methodological Implementation</w:t>
      </w:r>
    </w:p>
    <w:p>
      <w:r>
        <w:t>Standardized computational algorithm for the implementation of the Hybrid Slm-RUL framework.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785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pseudo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7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Algorithm 1. Hybrid Inference Methodology for battery health prognosis.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