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rPr>
          <w:rFonts w:ascii="Arial" w:hAnsi="Arial" w:cs="Arial"/>
          <w:b/>
          <w:color w:val="auto"/>
          <w:sz w:val="32"/>
          <w:szCs w:val="32"/>
        </w:rPr>
      </w:pPr>
      <w:r>
        <w:rPr>
          <w:rFonts w:ascii="Arial" w:hAnsi="Arial" w:cs="Arial"/>
          <w:b/>
          <w:color w:val="auto"/>
          <w:sz w:val="32"/>
          <w:szCs w:val="32"/>
        </w:rPr>
        <w:t>Exploratory Data Analysis (EDA) Summary</w:t>
      </w:r>
      <w:r>
        <w:br/>
      </w:r>
      <w:r>
        <w:rPr>
          <w:rFonts w:ascii="Arial" w:hAnsi="Arial" w:cs="Arial"/>
          <w:b/>
          <w:color w:val="auto"/>
          <w:sz w:val="32"/>
          <w:szCs w:val="32"/>
        </w:rPr>
        <w:t>Customer E-Commerce Dataset — Delinquency Risk Analysis</w:t>
      </w:r>
    </w:p>
    <w:p>
      <w:pPr>
        <w:jc w:val="center"/>
        <w:rPr>
          <w:rFonts w:ascii="Arial" w:hAnsi="Arial" w:cs="Arial"/>
          <w:color w:val="888888"/>
          <w:sz w:val="20"/>
        </w:rPr>
      </w:pPr>
      <w:r>
        <w:rPr>
          <w:rFonts w:ascii="Arial" w:hAnsi="Arial" w:cs="Arial"/>
          <w:color w:val="888888"/>
          <w:sz w:val="20"/>
        </w:rPr>
        <w:t>Prepared: June 2026</w:t>
      </w:r>
    </w:p>
    <w:p>
      <w:pPr>
        <w:spacing w:after="200"/>
      </w:pPr>
    </w:p>
    <w:p>
      <w:pPr>
        <w:pStyle w:val="Heading1"/>
      </w:pPr>
      <w:r>
        <w:rPr>
          <w:rFonts w:ascii="Arial" w:hAnsi="Arial" w:cs="Arial"/>
        </w:rPr>
        <w:t>1. Introduction</w:t>
      </w:r>
    </w:p>
    <w:p>
      <w:pPr>
        <w:spacing w:after="160" w:line="276" w:lineRule="auto"/>
      </w:pPr>
      <w:r>
        <w:rPr>
          <w:rFonts w:ascii="Arial" w:hAnsi="Arial" w:cs="Arial"/>
          <w:sz w:val="22"/>
        </w:rPr>
        <w:t xml:space="preserve">This report presents the findings of an Exploratory Data Analysis (EDA) conducted on a customer e-commerce dataset to identify patterns, anomalies, and early risk indicators relevant to delinquency prediction. The primary objective is to assess data quality, surface behavioural signals associated with churn, and recommend preprocessing steps before any predictive model is built. All findings in this report are directional; a larger dataset with a minimum of 200–500 confirmed churn events will be required before deploying a production-grade delinquency model.</w:t>
      </w:r>
    </w:p>
    <w:p>
      <w:pPr>
        <w:spacing w:after="120"/>
      </w:pPr>
    </w:p>
    <w:p>
      <w:pPr>
        <w:pStyle w:val="Heading1"/>
      </w:pPr>
      <w:r>
        <w:rPr>
          <w:rFonts w:ascii="Arial" w:hAnsi="Arial" w:cs="Arial"/>
        </w:rPr>
        <w:t>2. Dataset Overview</w:t>
      </w:r>
    </w:p>
    <w:p>
      <w:pPr>
        <w:spacing w:after="160" w:line="276" w:lineRule="auto"/>
      </w:pPr>
      <w:r>
        <w:rPr>
          <w:rFonts w:ascii="Arial" w:hAnsi="Arial" w:cs="Arial"/>
          <w:sz w:val="22"/>
        </w:rPr>
        <w:t>This section summarizes the dataset, including the number of records, key variables, and data types. It also highlights anomalies and inconsistencies observed during the initial review.</w:t>
      </w:r>
    </w:p>
    <w:p>
      <w:pPr>
        <w:spacing w:after="100"/>
      </w:pPr>
      <w:r>
        <w:rPr>
          <w:rFonts w:ascii="Arial" w:hAnsi="Arial" w:cs="Arial"/>
          <w:b/>
          <w:sz w:val="22"/>
        </w:rPr>
        <w:t>Key dataset attributes:</w:t>
      </w:r>
    </w:p>
    <w:p>
      <w:pPr>
        <w:spacing w:after="80" w:line="276" w:lineRule="auto"/>
        <w:ind w:left="360"/>
      </w:pPr>
      <w:r>
        <w:rPr>
          <w:rFonts w:ascii="Arial" w:hAnsi="Arial" w:cs="Arial"/>
          <w:sz w:val="22"/>
        </w:rPr>
        <w:t xml:space="preserve">•  Number of records: 20 customers</w:t>
      </w:r>
    </w:p>
    <w:p>
      <w:pPr>
        <w:spacing w:after="80" w:line="276" w:lineRule="auto"/>
        <w:ind w:left="360"/>
      </w:pPr>
      <w:r>
        <w:rPr>
          <w:rFonts w:ascii="Arial" w:hAnsi="Arial" w:cs="Arial"/>
          <w:sz w:val="22"/>
        </w:rPr>
        <w:t xml:space="preserve">•  Key variables: Customer ID, Age, Gender, Country, Product Category, Purchase Date, Units Sold, Unit Price (USD), Total Revenue (USD), Payment Method, Customer Segment, Churn Flag, Satisfaction Score (1–5)</w:t>
      </w:r>
    </w:p>
    <w:p>
      <w:pPr>
        <w:spacing w:after="80" w:line="276" w:lineRule="auto"/>
        <w:ind w:left="360"/>
      </w:pPr>
      <w:r>
        <w:rPr>
          <w:rFonts w:ascii="Arial" w:hAnsi="Arial" w:cs="Arial"/>
          <w:sz w:val="22"/>
        </w:rPr>
        <w:t xml:space="preserve">•  Data types: Numerical (Age, Units Sold, Unit Price, Satisfaction Score, Churn Flag); Categorical (Gender, Country, Product Category, Payment Method, Customer Segment); Date string (Purchase Date)</w:t>
      </w:r>
    </w:p>
    <w:p>
      <w:pPr>
        <w:spacing w:after="80" w:line="276" w:lineRule="auto"/>
        <w:ind w:left="360"/>
      </w:pPr>
      <w:r>
        <w:rPr>
          <w:rFonts w:ascii="Arial" w:hAnsi="Arial" w:cs="Arial"/>
          <w:sz w:val="22"/>
        </w:rPr>
        <w:t xml:space="preserve">•  Churn rate: 15% (3 churned, 17 retained) — severe class imbalance (85/15 split)</w:t>
      </w:r>
    </w:p>
    <w:p>
      <w:pPr>
        <w:spacing w:after="80" w:line="276" w:lineRule="auto"/>
        <w:ind w:left="360"/>
      </w:pPr>
      <w:r>
        <w:rPr>
          <w:rFonts w:ascii="Arial" w:hAnsi="Arial" w:cs="Arial"/>
          <w:sz w:val="22"/>
        </w:rPr>
        <w:t xml:space="preserve">•  Anomalies: Unit Price outliers at $899.99, $749.99, and $549.99 (IQR upper fence ~$287); one Units Sold outlier at 15 (median: 3.5); Country field has 14 unique values across only 20 rows</w:t>
      </w:r>
    </w:p>
    <w:p>
      <w:pPr>
        <w:spacing w:after="120"/>
      </w:pPr>
    </w:p>
    <w:p>
      <w:pPr>
        <w:pStyle w:val="Heading1"/>
      </w:pPr>
      <w:r>
        <w:rPr>
          <w:rFonts w:ascii="Arial" w:hAnsi="Arial" w:cs="Arial"/>
        </w:rPr>
        <w:t>3. Missing Data Analysis</w:t>
      </w:r>
    </w:p>
    <w:p>
      <w:pPr>
        <w:spacing w:after="160" w:line="276" w:lineRule="auto"/>
      </w:pPr>
      <w:r>
        <w:rPr>
          <w:rFonts w:ascii="Arial" w:hAnsi="Arial" w:cs="Arial"/>
          <w:sz w:val="22"/>
        </w:rPr>
        <w:t>Identifying and addressing missing data is critical to ensuring model accuracy. This section outlines missing values in the dataset, the approach taken to handle them, and justifications for the chosen method.</w:t>
      </w:r>
    </w:p>
    <w:p>
      <w:pPr>
        <w:spacing w:after="100"/>
      </w:pPr>
      <w:r>
        <w:rPr>
          <w:rFonts w:ascii="Arial" w:hAnsi="Arial" w:cs="Arial"/>
          <w:b/>
          <w:sz w:val="22"/>
        </w:rPr>
        <w:t>Key missing data findings:</w:t>
      </w:r>
    </w:p>
    <w:p>
      <w:pPr>
        <w:spacing w:after="80" w:line="276" w:lineRule="auto"/>
        <w:ind w:left="360"/>
      </w:pPr>
      <w:r>
        <w:rPr>
          <w:rFonts w:ascii="Arial" w:hAnsi="Arial" w:cs="Arial"/>
          <w:sz w:val="22"/>
        </w:rPr>
        <w:t xml:space="preserve">•  Variables with missing values: Total Revenue (USD) — 100% null across all 20 records (the only column with missing data)</w:t>
      </w:r>
    </w:p>
    <w:p>
      <w:pPr>
        <w:spacing w:after="80" w:line="276" w:lineRule="auto"/>
        <w:ind w:left="360"/>
      </w:pPr>
      <w:r>
        <w:rPr>
          <w:rFonts w:ascii="Arial" w:hAnsi="Arial" w:cs="Arial"/>
          <w:sz w:val="22"/>
        </w:rPr>
        <w:t xml:space="preserve">•  Purchase Date is present but stored as a plain text string (YYYY-MM-DD), not a proper date type — functionally unavailable for time-series analysis until parsed</w:t>
      </w:r>
    </w:p>
    <w:p>
      <w:pPr>
        <w:spacing w:after="80" w:line="276" w:lineRule="auto"/>
        <w:ind w:left="360"/>
      </w:pPr>
      <w:r>
        <w:rPr>
          <w:rFonts w:ascii="Arial" w:hAnsi="Arial" w:cs="Arial"/>
          <w:sz w:val="22"/>
        </w:rPr>
        <w:t xml:space="preserve">•  Country carries 14 unique values across 20 rows — quasi-sparse; not missing but structurally problematic for modelling</w:t>
      </w:r>
    </w:p>
    <w:p>
      <w:pPr>
        <w:spacing w:after="160"/>
      </w:pPr>
    </w:p>
    <w:p>
      <w:pPr>
        <w:spacing w:after="100"/>
      </w:pPr>
      <w:r>
        <w:rPr>
          <w:rFonts w:ascii="Arial" w:hAnsi="Arial" w:cs="Arial"/>
          <w:b/>
          <w:sz w:val="22"/>
        </w:rPr>
        <w:t>Missing data handling summary:</w:t>
      </w:r>
    </w:p>
    <w:tbl>
      <w:tblPr>
        <w:tblW w:w="936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Grid>
        <w:gridCol w:w="2600"/>
        <w:gridCol w:w="2600"/>
        <w:gridCol w:w="4160"/>
      </w:tblGrid>
      <w:tr>
        <w:tc>
          <w:tcPr>
            <w:tcW w:w="2600" w:type="dxa"/>
            <w:shd w:val="clear" w:color="auto" w:fill="2E5496"/>
            <w:tcMar>
              <w:top w:w="80" w:type="dxa"/>
              <w:left w:w="120" w:type="dxa"/>
              <w:bottom w:w="80" w:type="dxa"/>
              <w:right w:w="120" w:type="dxa"/>
            </w:tcMar>
          </w:tcPr>
          <w:p>
            <w:r>
              <w:rPr>
                <w:rFonts w:ascii="Arial" w:hAnsi="Arial" w:cs="Arial"/>
                <w:b/>
                <w:color w:val="FFFFFF"/>
                <w:sz w:val="20"/>
              </w:rPr>
              <w:t>Issue</w:t>
            </w:r>
          </w:p>
        </w:tc>
        <w:tc>
          <w:tcPr>
            <w:tcW w:w="2600" w:type="dxa"/>
            <w:shd w:val="clear" w:color="auto" w:fill="2E5496"/>
            <w:tcMar>
              <w:top w:w="80" w:type="dxa"/>
              <w:left w:w="120" w:type="dxa"/>
              <w:bottom w:w="80" w:type="dxa"/>
              <w:right w:w="120" w:type="dxa"/>
            </w:tcMar>
          </w:tcPr>
          <w:p>
            <w:r>
              <w:rPr>
                <w:rFonts w:ascii="Arial" w:hAnsi="Arial" w:cs="Arial"/>
                <w:b/>
                <w:color w:val="FFFFFF"/>
                <w:sz w:val="20"/>
              </w:rPr>
              <w:t>Handling method</w:t>
            </w:r>
          </w:p>
        </w:tc>
        <w:tc>
          <w:tcPr>
            <w:tcW w:w="4160" w:type="dxa"/>
            <w:shd w:val="clear" w:color="auto" w:fill="2E5496"/>
            <w:tcMar>
              <w:top w:w="80" w:type="dxa"/>
              <w:left w:w="120" w:type="dxa"/>
              <w:bottom w:w="80" w:type="dxa"/>
              <w:right w:w="120" w:type="dxa"/>
            </w:tcMar>
          </w:tcPr>
          <w:p>
            <w:r>
              <w:rPr>
                <w:rFonts w:ascii="Arial" w:hAnsi="Arial" w:cs="Arial"/>
                <w:b/>
                <w:color w:val="FFFFFF"/>
                <w:sz w:val="20"/>
              </w:rPr>
              <w:t>Justification</w:t>
            </w:r>
          </w:p>
        </w:tc>
      </w:tr>
      <w:tr>
        <w:tc>
          <w:tcPr>
            <w:tcW w:w="2600" w:type="dxa"/>
            <w:tcMar>
              <w:top w:w="80" w:type="dxa"/>
              <w:left w:w="120" w:type="dxa"/>
              <w:bottom w:w="80" w:type="dxa"/>
              <w:right w:w="120" w:type="dxa"/>
            </w:tcMar>
          </w:tcPr>
          <w:p>
            <w:r>
              <w:rPr>
                <w:rFonts w:ascii="Arial" w:hAnsi="Arial" w:cs="Arial"/>
                <w:sz w:val="20"/>
              </w:rPr>
              <w:t>Total Revenue (USD) — 100% null</w:t>
            </w:r>
          </w:p>
        </w:tc>
        <w:tc>
          <w:tcPr>
            <w:tcW w:w="2600" w:type="dxa"/>
            <w:tcMar>
              <w:top w:w="80" w:type="dxa"/>
              <w:left w:w="120" w:type="dxa"/>
              <w:bottom w:w="80" w:type="dxa"/>
              <w:right w:w="120" w:type="dxa"/>
            </w:tcMar>
          </w:tcPr>
          <w:p>
            <w:r>
              <w:rPr>
                <w:rFonts w:ascii="Arial" w:hAnsi="Arial" w:cs="Arial"/>
                <w:sz w:val="20"/>
              </w:rPr>
              <w:t>Derive as Units Sold × Unit Price</w:t>
            </w:r>
          </w:p>
        </w:tc>
        <w:tc>
          <w:tcPr>
            <w:tcW w:w="4160" w:type="dxa"/>
            <w:tcMar>
              <w:top w:w="80" w:type="dxa"/>
              <w:left w:w="120" w:type="dxa"/>
              <w:bottom w:w="80" w:type="dxa"/>
              <w:right w:w="120" w:type="dxa"/>
            </w:tcMar>
          </w:tcPr>
          <w:p>
            <w:r>
              <w:rPr>
                <w:rFonts w:ascii="Arial" w:hAnsi="Arial" w:cs="Arial"/>
                <w:sz w:val="20"/>
              </w:rPr>
              <w:t>Source columns are fully intact; exact reconstruction avoids any imputation error</w:t>
            </w:r>
          </w:p>
        </w:tc>
      </w:tr>
      <w:tr>
        <w:tc>
          <w:tcPr>
            <w:tcW w:w="2600" w:type="dxa"/>
            <w:shd w:val="clear" w:color="auto" w:fill="F5F5F5"/>
            <w:tcMar>
              <w:top w:w="80" w:type="dxa"/>
              <w:left w:w="120" w:type="dxa"/>
              <w:bottom w:w="80" w:type="dxa"/>
              <w:right w:w="120" w:type="dxa"/>
            </w:tcMar>
          </w:tcPr>
          <w:p>
            <w:r>
              <w:rPr>
                <w:rFonts w:ascii="Arial" w:hAnsi="Arial" w:cs="Arial"/>
                <w:sz w:val="20"/>
              </w:rPr>
              <w:t>Purchase Date — string type</w:t>
            </w:r>
          </w:p>
        </w:tc>
        <w:tc>
          <w:tcPr>
            <w:tcW w:w="2600" w:type="dxa"/>
            <w:shd w:val="clear" w:color="auto" w:fill="F5F5F5"/>
            <w:tcMar>
              <w:top w:w="80" w:type="dxa"/>
              <w:left w:w="120" w:type="dxa"/>
              <w:bottom w:w="80" w:type="dxa"/>
              <w:right w:w="120" w:type="dxa"/>
            </w:tcMar>
          </w:tcPr>
          <w:p>
            <w:r>
              <w:rPr>
                <w:rFonts w:ascii="Arial" w:hAnsi="Arial" w:cs="Arial"/>
                <w:sz w:val="20"/>
              </w:rPr>
              <w:t>Parse to datetime on ingestion</w:t>
            </w:r>
          </w:p>
        </w:tc>
        <w:tc>
          <w:tcPr>
            <w:tcW w:w="4160" w:type="dxa"/>
            <w:shd w:val="clear" w:color="auto" w:fill="F5F5F5"/>
            <w:tcMar>
              <w:top w:w="80" w:type="dxa"/>
              <w:left w:w="120" w:type="dxa"/>
              <w:bottom w:w="80" w:type="dxa"/>
              <w:right w:w="120" w:type="dxa"/>
            </w:tcMar>
          </w:tcPr>
          <w:p>
            <w:r>
              <w:rPr>
                <w:rFonts w:ascii="Arial" w:hAnsi="Arial" w:cs="Arial"/>
                <w:sz w:val="20"/>
              </w:rPr>
              <w:t>Lossless conversion that unlocks recency and tenure features critical to churn modelling</w:t>
            </w:r>
          </w:p>
        </w:tc>
      </w:tr>
      <w:tr>
        <w:tc>
          <w:tcPr>
            <w:tcW w:w="2600" w:type="dxa"/>
            <w:tcMar>
              <w:top w:w="80" w:type="dxa"/>
              <w:left w:w="120" w:type="dxa"/>
              <w:bottom w:w="80" w:type="dxa"/>
              <w:right w:w="120" w:type="dxa"/>
            </w:tcMar>
          </w:tcPr>
          <w:p>
            <w:r>
              <w:rPr>
                <w:rFonts w:ascii="Arial" w:hAnsi="Arial" w:cs="Arial"/>
                <w:sz w:val="20"/>
              </w:rPr>
              <w:t>Country — 14 sparse categories</w:t>
            </w:r>
          </w:p>
        </w:tc>
        <w:tc>
          <w:tcPr>
            <w:tcW w:w="2600" w:type="dxa"/>
            <w:tcMar>
              <w:top w:w="80" w:type="dxa"/>
              <w:left w:w="120" w:type="dxa"/>
              <w:bottom w:w="80" w:type="dxa"/>
              <w:right w:w="120" w:type="dxa"/>
            </w:tcMar>
          </w:tcPr>
          <w:p>
            <w:r>
              <w:rPr>
                <w:rFonts w:ascii="Arial" w:hAnsi="Arial" w:cs="Arial"/>
                <w:sz w:val="20"/>
              </w:rPr>
              <w:t>Group into 4–5 world regions</w:t>
            </w:r>
          </w:p>
        </w:tc>
        <w:tc>
          <w:tcPr>
            <w:tcW w:w="4160" w:type="dxa"/>
            <w:tcMar>
              <w:top w:w="80" w:type="dxa"/>
              <w:left w:w="120" w:type="dxa"/>
              <w:bottom w:w="80" w:type="dxa"/>
              <w:right w:w="120" w:type="dxa"/>
            </w:tcMar>
          </w:tcPr>
          <w:p>
            <w:r>
              <w:rPr>
                <w:rFonts w:ascii="Arial" w:hAnsi="Arial" w:cs="Arial"/>
                <w:sz w:val="20"/>
              </w:rPr>
              <w:t>Reduces cardinality from 14 to ~5, preventing sparse columns with single observations after encoding</w:t>
            </w:r>
          </w:p>
        </w:tc>
      </w:tr>
    </w:tbl>
    <w:p>
      <w:pPr>
        <w:spacing w:after="120"/>
      </w:pPr>
    </w:p>
    <w:p>
      <w:pPr>
        <w:pStyle w:val="Heading1"/>
      </w:pPr>
      <w:r>
        <w:rPr>
          <w:rFonts w:ascii="Arial" w:hAnsi="Arial" w:cs="Arial"/>
        </w:rPr>
        <w:t>4. Key Findings and Risk Indicators</w:t>
      </w:r>
    </w:p>
    <w:p>
      <w:pPr>
        <w:spacing w:after="160" w:line="276" w:lineRule="auto"/>
      </w:pPr>
      <w:r>
        <w:rPr>
          <w:rFonts w:ascii="Arial" w:hAnsi="Arial" w:cs="Arial"/>
          <w:sz w:val="22"/>
        </w:rPr>
        <w:t>This section identifies trends and patterns that may indicate risk factors for delinquency. Feature relationships are explored to uncover insights relevant to predictive modelling.</w:t>
      </w:r>
    </w:p>
    <w:p>
      <w:pPr>
        <w:spacing w:after="100"/>
      </w:pPr>
      <w:r>
        <w:rPr>
          <w:rFonts w:ascii="Arial" w:hAnsi="Arial" w:cs="Arial"/>
          <w:b/>
          <w:sz w:val="22"/>
        </w:rPr>
        <w:t>Key findings:</w:t>
      </w:r>
    </w:p>
    <w:p>
      <w:pPr>
        <w:spacing w:after="80" w:line="276" w:lineRule="auto"/>
        <w:ind w:left="360"/>
      </w:pPr>
      <w:r>
        <w:rPr>
          <w:rFonts w:ascii="Arial" w:hAnsi="Arial" w:cs="Arial"/>
          <w:b/>
          <w:sz w:val="22"/>
        </w:rPr>
        <w:t xml:space="preserve">•  Satisfaction Score (strongest signal): </w:t>
      </w:r>
      <w:r>
        <w:rPr>
          <w:rFonts w:ascii="Arial" w:hAnsi="Arial" w:cs="Arial"/>
          <w:sz w:val="22"/>
        </w:rPr>
        <w:t>Churned customers average 2.5 vs 4.2 for retained — a 40% gap with near-zero overlap. A score below 3.0 should be treated as an early-warning threshold and trigger proactive outreach.</w:t>
      </w:r>
    </w:p>
    <w:p>
      <w:pPr>
        <w:spacing w:after="80" w:line="276" w:lineRule="auto"/>
        <w:ind w:left="360"/>
      </w:pPr>
      <w:r>
        <w:rPr>
          <w:rFonts w:ascii="Arial" w:hAnsi="Arial" w:cs="Arial"/>
          <w:b/>
          <w:sz w:val="22"/>
        </w:rPr>
        <w:t xml:space="preserve">•  Age: </w:t>
      </w:r>
      <w:r>
        <w:rPr>
          <w:rFonts w:ascii="Arial" w:hAnsi="Arial" w:cs="Arial"/>
          <w:sz w:val="22"/>
        </w:rPr>
        <w:t>All 3 churned customers are aged 43–52 (avg 47.3), while retained customers average 34.2. Older customers may require tailored engagement strategies or simplified digital experiences.</w:t>
      </w:r>
    </w:p>
    <w:p>
      <w:pPr>
        <w:spacing w:after="80" w:line="276" w:lineRule="auto"/>
        <w:ind w:left="360"/>
      </w:pPr>
      <w:r>
        <w:rPr>
          <w:rFonts w:ascii="Arial" w:hAnsi="Arial" w:cs="Arial"/>
          <w:b/>
          <w:sz w:val="22"/>
        </w:rPr>
        <w:t xml:space="preserve">•  Product Category: </w:t>
      </w:r>
      <w:r>
        <w:rPr>
          <w:rFonts w:ascii="Arial" w:hAnsi="Arial" w:cs="Arial"/>
          <w:sz w:val="22"/>
        </w:rPr>
        <w:t>Clothing and Sports each show a 50% churn rate; Electronics, Books, Beauty, and Food &amp; Beverage show zero churn. Category-level risk is highly concentrated and may reflect fulfilment or returns friction in affected segments.</w:t>
      </w:r>
    </w:p>
    <w:p>
      <w:pPr>
        <w:spacing w:after="80" w:line="276" w:lineRule="auto"/>
        <w:ind w:left="360"/>
      </w:pPr>
      <w:r>
        <w:rPr>
          <w:rFonts w:ascii="Arial" w:hAnsi="Arial" w:cs="Arial"/>
          <w:b/>
          <w:sz w:val="22"/>
        </w:rPr>
        <w:t xml:space="preserve">•  Customer Segment: </w:t>
      </w:r>
      <w:r>
        <w:rPr>
          <w:rFonts w:ascii="Arial" w:hAnsi="Arial" w:cs="Arial"/>
          <w:sz w:val="22"/>
        </w:rPr>
        <w:t>Regular segment shows 20% churn; Premium 17%; Budget 0%. Budget customers’ zero churn likely reflects higher perceived price-value satisfaction.</w:t>
      </w:r>
    </w:p>
    <w:p>
      <w:pPr>
        <w:spacing w:after="160"/>
      </w:pPr>
    </w:p>
    <w:p>
      <w:pPr>
        <w:spacing w:after="100"/>
      </w:pPr>
      <w:r>
        <w:rPr>
          <w:rFonts w:ascii="Arial" w:hAnsi="Arial" w:cs="Arial"/>
          <w:b/>
          <w:sz w:val="22"/>
        </w:rPr>
        <w:t>Unexpected anomalies requiring further investigation:</w:t>
      </w:r>
    </w:p>
    <w:p>
      <w:pPr>
        <w:spacing w:after="80" w:line="276" w:lineRule="auto"/>
        <w:ind w:left="360"/>
      </w:pPr>
      <w:r>
        <w:rPr>
          <w:rFonts w:ascii="Arial" w:hAnsi="Arial" w:cs="Arial"/>
          <w:b/>
          <w:sz w:val="22"/>
        </w:rPr>
        <w:t xml:space="preserve">•  Credit Card payment concentration: </w:t>
      </w:r>
      <w:r>
        <w:rPr>
          <w:rFonts w:ascii="Arial" w:hAnsi="Arial" w:cs="Arial"/>
          <w:sz w:val="22"/>
        </w:rPr>
        <w:t>100% of churned customers paid by Credit Card, while no Credit Card user appears in the retained group. Almost certainly coincidental at n=3, but warrants monitoring — may indicate billing-cycle friction or auto-renewal failures in a larger sample.</w:t>
      </w:r>
    </w:p>
    <w:p>
      <w:pPr>
        <w:spacing w:after="80" w:line="276" w:lineRule="auto"/>
        <w:ind w:left="360"/>
      </w:pPr>
      <w:r>
        <w:rPr>
          <w:rFonts w:ascii="Arial" w:hAnsi="Arial" w:cs="Arial"/>
          <w:b/>
          <w:sz w:val="22"/>
        </w:rPr>
        <w:t xml:space="preserve">•  Premium segment churn exceeds Budget: </w:t>
      </w:r>
      <w:r>
        <w:rPr>
          <w:rFonts w:ascii="Arial" w:hAnsi="Arial" w:cs="Arial"/>
          <w:sz w:val="22"/>
        </w:rPr>
        <w:t>High-spend customers churning at a higher rate than low-spend customers inverts the conventional risk assumption. If confirmed at scale, retention strategy should prioritise Premium segment rather than Budget.</w:t>
      </w:r>
    </w:p>
    <w:p>
      <w:pPr>
        <w:spacing w:after="80" w:line="276" w:lineRule="auto"/>
        <w:ind w:left="360"/>
      </w:pPr>
      <w:r>
        <w:rPr>
          <w:rFonts w:ascii="Arial" w:hAnsi="Arial" w:cs="Arial"/>
          <w:b/>
          <w:sz w:val="22"/>
        </w:rPr>
        <w:t xml:space="preserve">•  Unusually clean satisfaction score separation: </w:t>
      </w:r>
      <w:r>
        <w:rPr>
          <w:rFonts w:ascii="Arial" w:hAnsi="Arial" w:cs="Arial"/>
          <w:sz w:val="22"/>
        </w:rPr>
        <w:t>The gap between churned (2.2–2.8) and retained (3.5–5.0) scores is near-perfect for such a small dataset. This may reflect retrospective response bias — customers who have already decided to leave scoring low after the fact. Analytics should verify whether scores were captured before or after the churn event.</w:t>
      </w:r>
    </w:p>
    <w:p>
      <w:pPr>
        <w:spacing w:after="120"/>
      </w:pPr>
    </w:p>
    <w:p>
      <w:pPr>
        <w:pStyle w:val="Heading1"/>
      </w:pPr>
      <w:r>
        <w:rPr>
          <w:rFonts w:ascii="Arial" w:hAnsi="Arial" w:cs="Arial"/>
        </w:rPr>
        <w:t>5. AI &amp; GenAI Usage</w:t>
      </w:r>
    </w:p>
    <w:p>
      <w:pPr>
        <w:spacing w:after="160" w:line="276" w:lineRule="auto"/>
      </w:pPr>
      <w:r>
        <w:rPr>
          <w:rFonts w:ascii="Arial" w:hAnsi="Arial" w:cs="Arial"/>
          <w:sz w:val="22"/>
        </w:rPr>
        <w:t>Claude (Anthropic) was used throughout this analysis to summarise the dataset, identify anomalies, interpret patterns, and generate written findings. All AI outputs were reviewed and validated against the underlying data before inclusion in this report.</w:t>
      </w:r>
    </w:p>
    <w:p>
      <w:pPr>
        <w:spacing w:after="100"/>
      </w:pPr>
      <w:r>
        <w:rPr>
          <w:rFonts w:ascii="Arial" w:hAnsi="Arial" w:cs="Arial"/>
          <w:b/>
          <w:sz w:val="22"/>
        </w:rPr>
        <w:t>Prompts used in this analysis:</w:t>
      </w:r>
    </w:p>
    <w:p>
      <w:pPr>
        <w:spacing w:after="80" w:line="276" w:lineRule="auto"/>
        <w:ind w:left="360"/>
      </w:pPr>
      <w:r>
        <w:rPr>
          <w:rFonts w:ascii="Arial" w:hAnsi="Arial" w:cs="Arial"/>
          <w:sz w:val="22"/>
        </w:rPr>
        <w:t xml:space="preserve">•  “Summarize key patterns, outliers, and missing values in this dataset. Highlight any fields that might present problems for modeling delinquency.”</w:t>
      </w:r>
    </w:p>
    <w:p>
      <w:pPr>
        <w:spacing w:after="80" w:line="276" w:lineRule="auto"/>
        <w:ind w:left="360"/>
      </w:pPr>
      <w:r>
        <w:rPr>
          <w:rFonts w:ascii="Arial" w:hAnsi="Arial" w:cs="Arial"/>
          <w:sz w:val="22"/>
        </w:rPr>
        <w:t xml:space="preserve">•  “Identify the top 3 variables most likely to predict delinquency based on this dataset. Provide brief reasoning.”</w:t>
      </w:r>
    </w:p>
    <w:p>
      <w:pPr>
        <w:spacing w:after="80" w:line="276" w:lineRule="auto"/>
        <w:ind w:left="360"/>
      </w:pPr>
      <w:r>
        <w:rPr>
          <w:rFonts w:ascii="Arial" w:hAnsi="Arial" w:cs="Arial"/>
          <w:sz w:val="22"/>
        </w:rPr>
        <w:t xml:space="preserve">•  “Create a simple table listing 2–3 missing data issues. For each one, include your chosen handling method and a one-line justification for why you selected it.”</w:t>
      </w:r>
    </w:p>
    <w:p>
      <w:pPr>
        <w:spacing w:after="80" w:line="276" w:lineRule="auto"/>
        <w:ind w:left="360"/>
      </w:pPr>
      <w:r>
        <w:rPr>
          <w:rFonts w:ascii="Arial" w:hAnsi="Arial" w:cs="Arial"/>
          <w:sz w:val="22"/>
        </w:rPr>
        <w:t xml:space="preserve">•  “Highlight any unexpected findings that may require further investigation by the analytics team. Document key risk indicators and any insights that could impact delinquency prediction.”</w:t>
      </w:r>
    </w:p>
    <w:p>
      <w:pPr>
        <w:spacing w:after="120"/>
      </w:pPr>
    </w:p>
    <w:p>
      <w:pPr>
        <w:pStyle w:val="Heading1"/>
      </w:pPr>
      <w:r>
        <w:rPr>
          <w:rFonts w:ascii="Arial" w:hAnsi="Arial" w:cs="Arial"/>
        </w:rPr>
        <w:t>6. Conclusion &amp; Next Steps</w:t>
      </w:r>
    </w:p>
    <w:p>
      <w:pPr>
        <w:spacing w:after="160" w:line="276" w:lineRule="auto"/>
      </w:pPr>
      <w:r>
        <w:rPr>
          <w:rFonts w:ascii="Arial" w:hAnsi="Arial" w:cs="Arial"/>
          <w:sz w:val="22"/>
        </w:rPr>
        <w:t>The dataset surfaces three credible early risk indicators — low satisfaction score, older customer age, and Clothing/Sports product category — alongside three unexpected patterns that could materially reshape the delinquency model if confirmed at scale: the Credit Card payment concentration among churned customers, the counterintuitive zero-churn Budget segment, and the unusually clean satisfaction score separation that may reflect retrospective bias. The critical data quality blocker is the entirely missing Total Revenue column and the 85/15 class imbalance, both of which must be resolved before any model training begins.</w:t>
      </w:r>
    </w:p>
    <w:p>
      <w:pPr>
        <w:spacing w:after="100"/>
      </w:pPr>
      <w:r>
        <w:rPr>
          <w:rFonts w:ascii="Arial" w:hAnsi="Arial" w:cs="Arial"/>
          <w:b/>
          <w:sz w:val="22"/>
        </w:rPr>
        <w:t>Recommended next steps:</w:t>
      </w:r>
    </w:p>
    <w:p>
      <w:pPr>
        <w:spacing w:after="80" w:line="276" w:lineRule="auto"/>
        <w:ind w:left="360"/>
      </w:pPr>
      <w:r>
        <w:rPr>
          <w:rFonts w:ascii="Arial" w:hAnsi="Arial" w:cs="Arial"/>
          <w:sz w:val="22"/>
        </w:rPr>
        <w:t xml:space="preserve">•  Reconstruct Total Revenue (USD) as Units Sold × Unit Price and validate against source system</w:t>
      </w:r>
    </w:p>
    <w:p>
      <w:pPr>
        <w:spacing w:after="80" w:line="276" w:lineRule="auto"/>
        <w:ind w:left="360"/>
      </w:pPr>
      <w:r>
        <w:rPr>
          <w:rFonts w:ascii="Arial" w:hAnsi="Arial" w:cs="Arial"/>
          <w:sz w:val="22"/>
        </w:rPr>
        <w:t xml:space="preserve">•  Parse Purchase Date to datetime and engineer recency and tenure features</w:t>
      </w:r>
    </w:p>
    <w:p>
      <w:pPr>
        <w:spacing w:after="80" w:line="276" w:lineRule="auto"/>
        <w:ind w:left="360"/>
      </w:pPr>
      <w:r>
        <w:rPr>
          <w:rFonts w:ascii="Arial" w:hAnsi="Arial" w:cs="Arial"/>
          <w:sz w:val="22"/>
        </w:rPr>
        <w:t xml:space="preserve">•  Consolidate Country into 4–5 geographic regions before feature encoding</w:t>
      </w:r>
    </w:p>
    <w:p>
      <w:pPr>
        <w:spacing w:after="80" w:line="276" w:lineRule="auto"/>
        <w:ind w:left="360"/>
      </w:pPr>
      <w:r>
        <w:rPr>
          <w:rFonts w:ascii="Arial" w:hAnsi="Arial" w:cs="Arial"/>
          <w:sz w:val="22"/>
        </w:rPr>
        <w:t xml:space="preserve">•  Apply log transformation to Unit Price to reduce outlier influence</w:t>
      </w:r>
    </w:p>
    <w:p>
      <w:pPr>
        <w:spacing w:after="80" w:line="276" w:lineRule="auto"/>
        <w:ind w:left="360"/>
      </w:pPr>
      <w:r>
        <w:rPr>
          <w:rFonts w:ascii="Arial" w:hAnsi="Arial" w:cs="Arial"/>
          <w:sz w:val="22"/>
        </w:rPr>
        <w:t xml:space="preserve">•  Expand dataset to a minimum of 200–500 churn events and apply SMOTE or class weighting to address the 85/15 imbalance</w:t>
      </w:r>
    </w:p>
    <w:p>
      <w:pPr>
        <w:spacing w:after="80" w:line="276" w:lineRule="auto"/>
        <w:ind w:left="360"/>
      </w:pPr>
      <w:r>
        <w:rPr>
          <w:rFonts w:ascii="Arial" w:hAnsi="Arial" w:cs="Arial"/>
          <w:sz w:val="22"/>
        </w:rPr>
        <w:t xml:space="preserve">•  Investigate timing of Satisfaction Score capture relative to churn event to rule out retrospective response bias</w:t>
      </w:r>
    </w:p>
    <w:p>
      <w:pPr>
        <w:spacing w:after="80" w:line="276" w:lineRule="auto"/>
        <w:ind w:left="360"/>
      </w:pPr>
      <w:r>
        <w:rPr>
          <w:rFonts w:ascii="Arial" w:hAnsi="Arial" w:cs="Arial"/>
          <w:sz w:val="22"/>
        </w:rPr>
        <w:t xml:space="preserve">•  Validate Credit Card payment pattern and Premium segment churn rate in a larger sample before including as model features</w:t>
      </w:r>
    </w:p>
    <w:p>
      <w:pPr>
        <w:spacing w:after="200"/>
      </w:pPr>
    </w:p>
    <w:p>
      <w:pPr>
        <w:spacing w:after="80"/>
        <w:ind w:left="0"/>
      </w:pPr>
      <w:r>
        <w:rPr>
          <w:rFonts w:ascii="Arial" w:hAnsi="Arial" w:cs="Arial"/>
          <w:i/>
          <w:color w:val="888888"/>
          <w:sz w:val="18"/>
        </w:rPr>
        <w:t>Note: All findings are directional only and based on a sample of 20 records (3 churn events). Statistical significance cannot be established at this scale. Treat all patterns as hypotheses to be validated on a larger dataset.</w:t>
      </w:r>
    </w:p>
    <w:sectPr>
      <w:pgSz w:w="12240" w:h="15840" w:orient="portrait"/>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trackRevisions w:val="false"/>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3378EA2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9DDB7976-8890-4F3F-A184-4899E10CDAA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z="8" w:space="4"/>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styles" Target="styles.xml" Id="rId3"/><Relationship Type="http://schemas.microsoft.com/office/2007/relationships/stylesWithEffects" Target="stylesWithEffects.xml" Id="rId4"/><Relationship Type="http://schemas.openxmlformats.org/officeDocument/2006/relationships/settings" Target="settings.xml" Id="rId5"/><Relationship Type="http://schemas.openxmlformats.org/officeDocument/2006/relationships/webSettings" Target="webSettings.xml" Id="rId6"/><Relationship Type="http://schemas.openxmlformats.org/officeDocument/2006/relationships/fontTable" Target="fontTable.xml" Id="rId7"/><Relationship Type="http://schemas.openxmlformats.org/officeDocument/2006/relationships/theme" Target="theme/theme1.xml" Id="rId8"/><Relationship Type="http://schemas.openxmlformats.org/officeDocument/2006/relationships/customXml" Target="../customXml/item1.xml" Id="rId1"/><Relationship Type="http://schemas.openxmlformats.org/officeDocument/2006/relationships/numbering" Target="numbering.xml" Id="rId2"/></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python-docx</dc:creator>
  <keywords/>
  <dc:description>generated by python-docx</dc:description>
  <lastModifiedBy>Tammy Tran</lastModifiedBy>
  <revision>2</revision>
  <dcterms:created xsi:type="dcterms:W3CDTF">2013-12-23T23:15:00.0000000Z</dcterms:created>
  <dcterms:modified xsi:type="dcterms:W3CDTF">2025-03-20T13:25:54.9940568Z</dcterms:modified>
  <category/>
</coreProperties>
</file>