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095E" w14:textId="77777777" w:rsidR="0050070B" w:rsidRDefault="00000000">
      <w:pPr>
        <w:keepNext/>
        <w:spacing w:after="160" w:line="259" w:lineRule="auto"/>
        <w:jc w:val="center"/>
      </w:pPr>
      <w:r>
        <w:rPr>
          <w:rFonts w:cs="Times New Roman"/>
          <w:b/>
          <w:sz w:val="32"/>
        </w:rPr>
        <w:t>Week 7: Integration and Demo Report</w:t>
      </w:r>
    </w:p>
    <w:p w14:paraId="4E0B3703" w14:textId="77777777" w:rsidR="0050070B" w:rsidRDefault="00000000">
      <w:pPr>
        <w:spacing w:after="100" w:line="259" w:lineRule="auto"/>
      </w:pPr>
      <w:r>
        <w:rPr>
          <w:rFonts w:cs="Times New Roman"/>
          <w:b/>
        </w:rPr>
        <w:t>Project:</w:t>
      </w:r>
      <w:r>
        <w:rPr>
          <w:rFonts w:cs="Times New Roman"/>
        </w:rPr>
        <w:t xml:space="preserve"> University Knowledge Assistant, Group 4 (E020, E024, E025, E026, E028)</w:t>
      </w:r>
    </w:p>
    <w:p w14:paraId="1F4A3C18" w14:textId="77777777" w:rsidR="0050070B" w:rsidRDefault="00000000">
      <w:pPr>
        <w:keepNext/>
        <w:spacing w:before="240" w:after="80" w:line="259" w:lineRule="auto"/>
      </w:pPr>
      <w:r>
        <w:rPr>
          <w:rFonts w:cs="Times New Roman"/>
          <w:b/>
          <w:sz w:val="25"/>
        </w:rPr>
        <w:t>1. Overview</w:t>
      </w:r>
    </w:p>
    <w:p w14:paraId="7DF01B90" w14:textId="77777777" w:rsidR="0050070B" w:rsidRDefault="00000000">
      <w:pPr>
        <w:spacing w:after="100" w:line="259" w:lineRule="auto"/>
      </w:pPr>
      <w:r>
        <w:rPr>
          <w:rFonts w:cs="Times New Roman"/>
        </w:rPr>
        <w:t>This week we did not change the retrieval pipeline, the API, the evaluation scripts or the original UI. We worked on four things around them: a second demo page that uses the API over HTTP, a Responsible AI statement, a design for how our API fits into the AI University Platform, and this report.</w:t>
      </w:r>
    </w:p>
    <w:tbl>
      <w:tblPr>
        <w:tblStyle w:val="TableGrid"/>
        <w:tblW w:w="0" w:type="auto"/>
        <w:tblLayout w:type="fixed"/>
        <w:tblLook w:val="04A0" w:firstRow="1" w:lastRow="0" w:firstColumn="1" w:lastColumn="0" w:noHBand="0" w:noVBand="1"/>
      </w:tblPr>
      <w:tblGrid>
        <w:gridCol w:w="4249"/>
        <w:gridCol w:w="5389"/>
      </w:tblGrid>
      <w:tr w:rsidR="0050070B" w14:paraId="3C67BDA6" w14:textId="77777777" w:rsidTr="00E415A6">
        <w:tc>
          <w:tcPr>
            <w:tcW w:w="4249" w:type="dxa"/>
          </w:tcPr>
          <w:p w14:paraId="7F5E6203" w14:textId="77777777" w:rsidR="0050070B" w:rsidRDefault="00000000">
            <w:pPr>
              <w:keepNext/>
              <w:spacing w:before="20" w:after="20"/>
            </w:pPr>
            <w:r>
              <w:rPr>
                <w:rFonts w:cs="Times New Roman"/>
                <w:b/>
                <w:sz w:val="19"/>
              </w:rPr>
              <w:t>Deliverable</w:t>
            </w:r>
          </w:p>
        </w:tc>
        <w:tc>
          <w:tcPr>
            <w:tcW w:w="5389" w:type="dxa"/>
          </w:tcPr>
          <w:p w14:paraId="62E31349" w14:textId="77777777" w:rsidR="0050070B" w:rsidRDefault="00000000">
            <w:pPr>
              <w:keepNext/>
              <w:spacing w:before="20" w:after="20"/>
            </w:pPr>
            <w:r>
              <w:rPr>
                <w:rFonts w:cs="Times New Roman"/>
                <w:b/>
                <w:sz w:val="19"/>
              </w:rPr>
              <w:t>Location</w:t>
            </w:r>
          </w:p>
        </w:tc>
      </w:tr>
      <w:tr w:rsidR="0050070B" w14:paraId="227AF3BA" w14:textId="77777777" w:rsidTr="00E415A6">
        <w:tc>
          <w:tcPr>
            <w:tcW w:w="4249" w:type="dxa"/>
          </w:tcPr>
          <w:p w14:paraId="72E352E2" w14:textId="77777777" w:rsidR="0050070B" w:rsidRDefault="00000000">
            <w:pPr>
              <w:spacing w:before="20" w:after="20"/>
            </w:pPr>
            <w:r>
              <w:rPr>
                <w:rFonts w:cs="Times New Roman"/>
                <w:sz w:val="19"/>
              </w:rPr>
              <w:t>Responsible AI Statement (1 page)</w:t>
            </w:r>
          </w:p>
        </w:tc>
        <w:tc>
          <w:tcPr>
            <w:tcW w:w="5389" w:type="dxa"/>
          </w:tcPr>
          <w:p w14:paraId="15EF902E" w14:textId="77777777" w:rsidR="0050070B" w:rsidRDefault="00000000">
            <w:pPr>
              <w:spacing w:before="20" w:after="20"/>
            </w:pPr>
            <w:r>
              <w:rPr>
                <w:rFonts w:cs="Times New Roman"/>
                <w:sz w:val="19"/>
              </w:rPr>
              <w:t>Grp4_E020_E024_E025_E026_E028_SNLP_Responsible_AI_Statement.docx</w:t>
            </w:r>
          </w:p>
        </w:tc>
      </w:tr>
      <w:tr w:rsidR="0050070B" w14:paraId="237183C4" w14:textId="77777777" w:rsidTr="00E415A6">
        <w:tc>
          <w:tcPr>
            <w:tcW w:w="4249" w:type="dxa"/>
          </w:tcPr>
          <w:p w14:paraId="61E4F731" w14:textId="77777777" w:rsidR="0050070B" w:rsidRDefault="00000000">
            <w:pPr>
              <w:spacing w:before="20" w:after="20"/>
            </w:pPr>
            <w:r>
              <w:rPr>
                <w:rFonts w:cs="Times New Roman"/>
                <w:sz w:val="19"/>
              </w:rPr>
              <w:t>REST demo page (new, talks to the API over HTTP)</w:t>
            </w:r>
          </w:p>
        </w:tc>
        <w:tc>
          <w:tcPr>
            <w:tcW w:w="5389" w:type="dxa"/>
          </w:tcPr>
          <w:p w14:paraId="27EBFDBA" w14:textId="77777777" w:rsidR="0050070B" w:rsidRDefault="00000000">
            <w:pPr>
              <w:spacing w:before="20" w:after="20"/>
            </w:pPr>
            <w:r>
              <w:rPr>
                <w:rFonts w:ascii="Courier New" w:eastAsia="Courier New" w:hAnsi="Courier New" w:cs="Courier New"/>
                <w:sz w:val="16"/>
              </w:rPr>
              <w:t>src/rest_demo_ui.py</w:t>
            </w:r>
          </w:p>
        </w:tc>
      </w:tr>
      <w:tr w:rsidR="0050070B" w14:paraId="51E64CB8" w14:textId="77777777" w:rsidTr="00E415A6">
        <w:tc>
          <w:tcPr>
            <w:tcW w:w="4249" w:type="dxa"/>
          </w:tcPr>
          <w:p w14:paraId="54D8BCB6" w14:textId="77777777" w:rsidR="0050070B" w:rsidRDefault="00000000">
            <w:pPr>
              <w:spacing w:before="20" w:after="20"/>
            </w:pPr>
            <w:r>
              <w:rPr>
                <w:rFonts w:cs="Times New Roman"/>
                <w:sz w:val="19"/>
              </w:rPr>
              <w:t>Integration architecture (Group 9 and Group 11 into our index)</w:t>
            </w:r>
          </w:p>
        </w:tc>
        <w:tc>
          <w:tcPr>
            <w:tcW w:w="5389" w:type="dxa"/>
          </w:tcPr>
          <w:p w14:paraId="19CC6909" w14:textId="77777777" w:rsidR="0050070B" w:rsidRDefault="00000000">
            <w:pPr>
              <w:spacing w:before="20" w:after="20"/>
            </w:pPr>
            <w:r>
              <w:rPr>
                <w:rFonts w:cs="Times New Roman"/>
                <w:sz w:val="19"/>
              </w:rPr>
              <w:t>Grp4_E020_E024_E025_E026_E028_SNLP_Integration_Architecture.docx</w:t>
            </w:r>
          </w:p>
        </w:tc>
      </w:tr>
      <w:tr w:rsidR="0050070B" w14:paraId="5E473553" w14:textId="77777777" w:rsidTr="00E415A6">
        <w:tc>
          <w:tcPr>
            <w:tcW w:w="4249" w:type="dxa"/>
          </w:tcPr>
          <w:p w14:paraId="0B1A0F81" w14:textId="77777777" w:rsidR="0050070B" w:rsidRDefault="00000000">
            <w:pPr>
              <w:spacing w:before="20" w:after="20"/>
            </w:pPr>
            <w:r>
              <w:rPr>
                <w:rFonts w:cs="Times New Roman"/>
                <w:sz w:val="19"/>
              </w:rPr>
              <w:t>This report</w:t>
            </w:r>
          </w:p>
        </w:tc>
        <w:tc>
          <w:tcPr>
            <w:tcW w:w="5389" w:type="dxa"/>
          </w:tcPr>
          <w:p w14:paraId="01D1877B" w14:textId="77777777" w:rsidR="0050070B" w:rsidRDefault="00000000">
            <w:pPr>
              <w:spacing w:before="20" w:after="20"/>
            </w:pPr>
            <w:r>
              <w:rPr>
                <w:rFonts w:cs="Times New Roman"/>
                <w:sz w:val="19"/>
              </w:rPr>
              <w:t>Grp4_E020_E024_E025_E026_E028_SNLP_Week7_Integration_and_Demo_Report.docx</w:t>
            </w:r>
          </w:p>
        </w:tc>
      </w:tr>
    </w:tbl>
    <w:p w14:paraId="6CD5A178" w14:textId="77777777" w:rsidR="0050070B" w:rsidRDefault="0050070B">
      <w:pPr>
        <w:spacing w:after="80" w:line="259" w:lineRule="auto"/>
      </w:pPr>
    </w:p>
    <w:p w14:paraId="5AA07426" w14:textId="77777777" w:rsidR="0050070B" w:rsidRDefault="00000000">
      <w:pPr>
        <w:spacing w:after="100" w:line="259" w:lineRule="auto"/>
      </w:pPr>
      <w:r>
        <w:rPr>
          <w:rFonts w:cs="Times New Roman"/>
        </w:rPr>
        <w:t>Before writing, we re-ran the test suite with the LLM switched off (</w:t>
      </w:r>
      <w:r>
        <w:rPr>
          <w:rFonts w:ascii="Courier New" w:eastAsia="Courier New" w:hAnsi="Courier New" w:cs="Courier New"/>
          <w:sz w:val="18"/>
        </w:rPr>
        <w:t>USE_LLM=0</w:t>
      </w:r>
      <w:r>
        <w:rPr>
          <w:rFonts w:cs="Times New Roman"/>
        </w:rPr>
        <w:t>). All 62 tests pass, and one live-LLM test is skipped by default. We did not re-run any evaluation, so all numbers in our reports are still the Week 5 results.</w:t>
      </w:r>
    </w:p>
    <w:p w14:paraId="5894C3E0" w14:textId="77777777" w:rsidR="0050070B" w:rsidRDefault="00000000">
      <w:pPr>
        <w:keepNext/>
        <w:spacing w:before="240" w:after="80" w:line="259" w:lineRule="auto"/>
      </w:pPr>
      <w:r>
        <w:rPr>
          <w:rFonts w:cs="Times New Roman"/>
          <w:b/>
          <w:sz w:val="25"/>
        </w:rPr>
        <w:t>2. UI and API integration</w:t>
      </w:r>
    </w:p>
    <w:p w14:paraId="5E2B3BB2" w14:textId="77777777" w:rsidR="0050070B" w:rsidRDefault="00000000">
      <w:pPr>
        <w:spacing w:after="100" w:line="259" w:lineRule="auto"/>
      </w:pPr>
      <w:r>
        <w:rPr>
          <w:rFonts w:cs="Times New Roman"/>
        </w:rPr>
        <w:t>We now have two demo pages and one API, all on the same code:</w:t>
      </w:r>
    </w:p>
    <w:p w14:paraId="3B9DF4E7" w14:textId="77777777" w:rsidR="0050070B" w:rsidRDefault="00000000">
      <w:pPr>
        <w:pStyle w:val="ListBullet"/>
        <w:spacing w:after="40" w:line="252" w:lineRule="auto"/>
      </w:pPr>
      <w:r>
        <w:rPr>
          <w:rFonts w:cs="Times New Roman"/>
          <w:b/>
        </w:rPr>
        <w:t>Original Gradio demo</w:t>
      </w:r>
      <w:r>
        <w:rPr>
          <w:rFonts w:cs="Times New Roman"/>
        </w:rPr>
        <w:t xml:space="preserve"> (</w:t>
      </w:r>
      <w:r>
        <w:rPr>
          <w:rFonts w:ascii="Courier New" w:eastAsia="Courier New" w:hAnsi="Courier New" w:cs="Courier New"/>
          <w:sz w:val="18"/>
        </w:rPr>
        <w:t>python src/app.py</w:t>
      </w:r>
      <w:r>
        <w:rPr>
          <w:rFonts w:cs="Times New Roman"/>
        </w:rPr>
        <w:t xml:space="preserve">, port 7860). It calls the assistant through the </w:t>
      </w:r>
      <w:r>
        <w:rPr>
          <w:rFonts w:ascii="Courier New" w:eastAsia="Courier New" w:hAnsi="Courier New" w:cs="Courier New"/>
          <w:sz w:val="18"/>
        </w:rPr>
        <w:t>improved_rag.py</w:t>
      </w:r>
      <w:r>
        <w:rPr>
          <w:rFonts w:cs="Times New Roman"/>
        </w:rPr>
        <w:t xml:space="preserve"> wrapper, in the same Python process as the engine. It does not send HTTP requests. We left this file unchanged.</w:t>
      </w:r>
    </w:p>
    <w:p w14:paraId="35C92892" w14:textId="77777777" w:rsidR="0050070B" w:rsidRDefault="00000000">
      <w:pPr>
        <w:pStyle w:val="ListBullet"/>
        <w:spacing w:after="40" w:line="252" w:lineRule="auto"/>
      </w:pPr>
      <w:r>
        <w:rPr>
          <w:rFonts w:cs="Times New Roman"/>
          <w:b/>
        </w:rPr>
        <w:t>FastAPI service</w:t>
      </w:r>
      <w:r>
        <w:rPr>
          <w:rFonts w:cs="Times New Roman"/>
        </w:rPr>
        <w:t xml:space="preserve"> (</w:t>
      </w:r>
      <w:r>
        <w:rPr>
          <w:rFonts w:ascii="Courier New" w:eastAsia="Courier New" w:hAnsi="Courier New" w:cs="Courier New"/>
          <w:sz w:val="18"/>
        </w:rPr>
        <w:t>uvicorn src.api.app:app --port 8000</w:t>
      </w:r>
      <w:r>
        <w:rPr>
          <w:rFonts w:cs="Times New Roman"/>
        </w:rPr>
        <w:t xml:space="preserve">). It is for other programs: </w:t>
      </w:r>
      <w:r>
        <w:rPr>
          <w:rFonts w:ascii="Courier New" w:eastAsia="Courier New" w:hAnsi="Courier New" w:cs="Courier New"/>
          <w:sz w:val="18"/>
        </w:rPr>
        <w:t>/api/v1/ask</w:t>
      </w:r>
      <w:r>
        <w:rPr>
          <w:rFonts w:cs="Times New Roman"/>
        </w:rPr>
        <w:t xml:space="preserve">, </w:t>
      </w:r>
      <w:r>
        <w:rPr>
          <w:rFonts w:ascii="Courier New" w:eastAsia="Courier New" w:hAnsi="Courier New" w:cs="Courier New"/>
          <w:sz w:val="18"/>
        </w:rPr>
        <w:t>/api/v1/search</w:t>
      </w:r>
      <w:r>
        <w:rPr>
          <w:rFonts w:cs="Times New Roman"/>
        </w:rPr>
        <w:t xml:space="preserve">, </w:t>
      </w:r>
      <w:r>
        <w:rPr>
          <w:rFonts w:ascii="Courier New" w:eastAsia="Courier New" w:hAnsi="Courier New" w:cs="Courier New"/>
          <w:sz w:val="18"/>
        </w:rPr>
        <w:t>/health</w:t>
      </w:r>
      <w:r>
        <w:rPr>
          <w:rFonts w:cs="Times New Roman"/>
        </w:rPr>
        <w:t xml:space="preserve">, </w:t>
      </w:r>
      <w:r>
        <w:rPr>
          <w:rFonts w:ascii="Courier New" w:eastAsia="Courier New" w:hAnsi="Courier New" w:cs="Courier New"/>
          <w:sz w:val="18"/>
        </w:rPr>
        <w:t>/ready</w:t>
      </w:r>
      <w:r>
        <w:rPr>
          <w:rFonts w:cs="Times New Roman"/>
        </w:rPr>
        <w:t xml:space="preserve">. Swagger docs are at </w:t>
      </w:r>
      <w:r>
        <w:rPr>
          <w:rFonts w:ascii="Courier New" w:eastAsia="Courier New" w:hAnsi="Courier New" w:cs="Courier New"/>
          <w:sz w:val="18"/>
        </w:rPr>
        <w:t>/docs</w:t>
      </w:r>
      <w:r>
        <w:rPr>
          <w:rFonts w:cs="Times New Roman"/>
        </w:rPr>
        <w:t xml:space="preserve">. Example clients are in </w:t>
      </w:r>
      <w:r>
        <w:rPr>
          <w:rFonts w:ascii="Courier New" w:eastAsia="Courier New" w:hAnsi="Courier New" w:cs="Courier New"/>
          <w:sz w:val="18"/>
        </w:rPr>
        <w:t>examples/api_client.py</w:t>
      </w:r>
      <w:r>
        <w:rPr>
          <w:rFonts w:cs="Times New Roman"/>
        </w:rPr>
        <w:t xml:space="preserve"> and </w:t>
      </w:r>
      <w:r>
        <w:rPr>
          <w:rFonts w:ascii="Courier New" w:eastAsia="Courier New" w:hAnsi="Courier New" w:cs="Courier New"/>
          <w:sz w:val="18"/>
        </w:rPr>
        <w:t>examples/curl_examples.sh</w:t>
      </w:r>
      <w:r>
        <w:rPr>
          <w:rFonts w:cs="Times New Roman"/>
        </w:rPr>
        <w:t>.</w:t>
      </w:r>
    </w:p>
    <w:p w14:paraId="01263D0A" w14:textId="77777777" w:rsidR="0050070B" w:rsidRDefault="00000000">
      <w:pPr>
        <w:pStyle w:val="ListBullet"/>
        <w:spacing w:after="40" w:line="252" w:lineRule="auto"/>
      </w:pPr>
      <w:r>
        <w:rPr>
          <w:rFonts w:cs="Times New Roman"/>
          <w:b/>
        </w:rPr>
        <w:t>REST demo page</w:t>
      </w:r>
      <w:r>
        <w:rPr>
          <w:rFonts w:cs="Times New Roman"/>
        </w:rPr>
        <w:t xml:space="preserve"> (</w:t>
      </w:r>
      <w:r>
        <w:rPr>
          <w:rFonts w:ascii="Courier New" w:eastAsia="Courier New" w:hAnsi="Courier New" w:cs="Courier New"/>
          <w:sz w:val="18"/>
        </w:rPr>
        <w:t>python src/rest_demo_ui.py</w:t>
      </w:r>
      <w:r>
        <w:rPr>
          <w:rFonts w:cs="Times New Roman"/>
        </w:rPr>
        <w:t xml:space="preserve">, port 7861, new this week). It has the same look as the original but only talks to the API over HTTP. The "Ask" tab is a chat that shows the answer, source document, verbatim quote, confidence and mode. The "API inspector" tab shows the raw request and JSON response for </w:t>
      </w:r>
      <w:r>
        <w:rPr>
          <w:rFonts w:ascii="Courier New" w:eastAsia="Courier New" w:hAnsi="Courier New" w:cs="Courier New"/>
          <w:sz w:val="18"/>
        </w:rPr>
        <w:t>/ask</w:t>
      </w:r>
      <w:r>
        <w:rPr>
          <w:rFonts w:cs="Times New Roman"/>
        </w:rPr>
        <w:t xml:space="preserve"> or </w:t>
      </w:r>
      <w:r>
        <w:rPr>
          <w:rFonts w:ascii="Courier New" w:eastAsia="Courier New" w:hAnsi="Courier New" w:cs="Courier New"/>
          <w:sz w:val="18"/>
        </w:rPr>
        <w:t>/search</w:t>
      </w:r>
      <w:r>
        <w:rPr>
          <w:rFonts w:cs="Times New Roman"/>
        </w:rPr>
        <w:t xml:space="preserve">, and what a program calling the API would do with it (use the answer, or hand over to a person when </w:t>
      </w:r>
      <w:r>
        <w:rPr>
          <w:rFonts w:ascii="Courier New" w:eastAsia="Courier New" w:hAnsi="Courier New" w:cs="Courier New"/>
          <w:sz w:val="18"/>
        </w:rPr>
        <w:t>is_fallback</w:t>
      </w:r>
      <w:r>
        <w:rPr>
          <w:rFonts w:cs="Times New Roman"/>
        </w:rPr>
        <w:t xml:space="preserve"> is true). It shows the API status at the top and gives a clear message if the API is not running.</w:t>
      </w:r>
    </w:p>
    <w:p w14:paraId="33004D80" w14:textId="77777777" w:rsidR="0050070B" w:rsidRDefault="00000000">
      <w:pPr>
        <w:spacing w:after="100" w:line="259" w:lineRule="auto"/>
      </w:pPr>
      <w:r>
        <w:rPr>
          <w:rFonts w:cs="Times New Roman"/>
        </w:rPr>
        <w:t xml:space="preserve">We tested the new page against the running API. A normal question (minimum attendance for exams) came back with the Attendance Rules PDF as source, the verbatim sentence, confidence 0.97, evidence verified and </w:t>
      </w:r>
      <w:r>
        <w:rPr>
          <w:rFonts w:ascii="Courier New" w:eastAsia="Courier New" w:hAnsi="Courier New" w:cs="Courier New"/>
          <w:sz w:val="18"/>
        </w:rPr>
        <w:t>generation_mode: llm</w:t>
      </w:r>
      <w:r>
        <w:rPr>
          <w:rFonts w:cs="Times New Roman"/>
        </w:rPr>
        <w:t xml:space="preserve">. An answer-key request was refused with reason </w:t>
      </w:r>
      <w:r>
        <w:rPr>
          <w:rFonts w:ascii="Courier New" w:eastAsia="Courier New" w:hAnsi="Courier New" w:cs="Courier New"/>
          <w:sz w:val="18"/>
        </w:rPr>
        <w:t>injection:integrity_violation</w:t>
      </w:r>
      <w:r>
        <w:rPr>
          <w:rFonts w:cs="Times New Roman"/>
        </w:rPr>
        <w:t xml:space="preserve">. The inspector sent a </w:t>
      </w:r>
      <w:r>
        <w:rPr>
          <w:rFonts w:ascii="Courier New" w:eastAsia="Courier New" w:hAnsi="Courier New" w:cs="Courier New"/>
          <w:sz w:val="18"/>
        </w:rPr>
        <w:t>/search</w:t>
      </w:r>
      <w:r>
        <w:rPr>
          <w:rFonts w:cs="Times New Roman"/>
        </w:rPr>
        <w:t xml:space="preserve"> request and showed the raw response. We did not run an automated test for this page, and we only tried it in one browser.</w:t>
      </w:r>
    </w:p>
    <w:p w14:paraId="2DA9E911" w14:textId="77777777" w:rsidR="0050070B" w:rsidRDefault="00000000">
      <w:pPr>
        <w:keepNext/>
        <w:spacing w:before="240" w:after="80" w:line="259" w:lineRule="auto"/>
      </w:pPr>
      <w:r>
        <w:rPr>
          <w:rFonts w:cs="Times New Roman"/>
          <w:b/>
          <w:sz w:val="25"/>
        </w:rPr>
        <w:t>3. Responsible AI principles</w:t>
      </w:r>
    </w:p>
    <w:p w14:paraId="6A5EEDAE" w14:textId="77777777" w:rsidR="0050070B" w:rsidRDefault="00000000">
      <w:pPr>
        <w:spacing w:after="100" w:line="259" w:lineRule="auto"/>
      </w:pPr>
      <w:r>
        <w:rPr>
          <w:rFonts w:cs="Times New Roman"/>
        </w:rPr>
        <w:t>The full statement is in Grp4_E020_E024_E025_E026_E028_SNLP_Responsible_AI_Statement.docx. In short:</w:t>
      </w:r>
    </w:p>
    <w:tbl>
      <w:tblPr>
        <w:tblStyle w:val="TableGrid"/>
        <w:tblW w:w="0" w:type="auto"/>
        <w:tblLayout w:type="fixed"/>
        <w:tblLook w:val="04A0" w:firstRow="1" w:lastRow="0" w:firstColumn="1" w:lastColumn="0" w:noHBand="0" w:noVBand="1"/>
      </w:tblPr>
      <w:tblGrid>
        <w:gridCol w:w="1831"/>
        <w:gridCol w:w="7807"/>
      </w:tblGrid>
      <w:tr w:rsidR="0050070B" w14:paraId="23BC5B3C" w14:textId="77777777" w:rsidTr="00E415A6">
        <w:tc>
          <w:tcPr>
            <w:tcW w:w="1831" w:type="dxa"/>
          </w:tcPr>
          <w:p w14:paraId="56D10CC1" w14:textId="77777777" w:rsidR="0050070B" w:rsidRDefault="00000000">
            <w:pPr>
              <w:keepNext/>
              <w:spacing w:before="20" w:after="20"/>
            </w:pPr>
            <w:r>
              <w:rPr>
                <w:rFonts w:cs="Times New Roman"/>
                <w:b/>
                <w:sz w:val="19"/>
              </w:rPr>
              <w:t>Area</w:t>
            </w:r>
          </w:p>
        </w:tc>
        <w:tc>
          <w:tcPr>
            <w:tcW w:w="7807" w:type="dxa"/>
          </w:tcPr>
          <w:p w14:paraId="2CE336DC" w14:textId="77777777" w:rsidR="0050070B" w:rsidRDefault="00000000">
            <w:pPr>
              <w:keepNext/>
              <w:spacing w:before="20" w:after="20"/>
            </w:pPr>
            <w:r>
              <w:rPr>
                <w:rFonts w:cs="Times New Roman"/>
                <w:b/>
                <w:sz w:val="19"/>
              </w:rPr>
              <w:t>What we say</w:t>
            </w:r>
          </w:p>
        </w:tc>
      </w:tr>
      <w:tr w:rsidR="0050070B" w14:paraId="7A36EAD9" w14:textId="77777777" w:rsidTr="00E415A6">
        <w:tc>
          <w:tcPr>
            <w:tcW w:w="1831" w:type="dxa"/>
          </w:tcPr>
          <w:p w14:paraId="0C04C0F3" w14:textId="77777777" w:rsidR="0050070B" w:rsidRDefault="00000000">
            <w:pPr>
              <w:spacing w:before="20" w:after="20"/>
            </w:pPr>
            <w:r>
              <w:rPr>
                <w:rFonts w:cs="Times New Roman"/>
                <w:sz w:val="19"/>
              </w:rPr>
              <w:t>Privacy</w:t>
            </w:r>
          </w:p>
        </w:tc>
        <w:tc>
          <w:tcPr>
            <w:tcW w:w="7807" w:type="dxa"/>
          </w:tcPr>
          <w:p w14:paraId="2D6AEDF0" w14:textId="77777777" w:rsidR="0050070B" w:rsidRDefault="00000000">
            <w:pPr>
              <w:spacing w:before="20" w:after="20"/>
            </w:pPr>
            <w:r>
              <w:rPr>
                <w:rFonts w:cs="Times New Roman"/>
                <w:sz w:val="19"/>
              </w:rPr>
              <w:t xml:space="preserve">The index holds only university policy documents, with no student records. A pattern scan of all 2,175 chunks found no 11-digit ID numbers, but it found 117 distinct email addresses and 21 phone numbers that the university published itself (staff, and committee members in the Student Resource Book, including a few students). They are still in the index and should be redacted before wider use. </w:t>
            </w:r>
            <w:r>
              <w:rPr>
                <w:rFonts w:ascii="Courier New" w:eastAsia="Courier New" w:hAnsi="Courier New" w:cs="Courier New"/>
                <w:sz w:val="16"/>
              </w:rPr>
              <w:t>FAQ_s_.docx</w:t>
            </w:r>
            <w:r>
              <w:rPr>
                <w:rFonts w:cs="Times New Roman"/>
                <w:sz w:val="19"/>
              </w:rPr>
              <w:t xml:space="preserve"> also holds a default portal password. User questions are sent to Groq.</w:t>
            </w:r>
          </w:p>
        </w:tc>
      </w:tr>
      <w:tr w:rsidR="0050070B" w14:paraId="7C2497D6" w14:textId="77777777" w:rsidTr="00E415A6">
        <w:tc>
          <w:tcPr>
            <w:tcW w:w="1831" w:type="dxa"/>
          </w:tcPr>
          <w:p w14:paraId="27DC7ECB" w14:textId="77777777" w:rsidR="0050070B" w:rsidRDefault="00000000">
            <w:pPr>
              <w:spacing w:before="20" w:after="20"/>
            </w:pPr>
            <w:r>
              <w:rPr>
                <w:rFonts w:cs="Times New Roman"/>
                <w:sz w:val="19"/>
              </w:rPr>
              <w:t>Bias</w:t>
            </w:r>
          </w:p>
        </w:tc>
        <w:tc>
          <w:tcPr>
            <w:tcW w:w="7807" w:type="dxa"/>
          </w:tcPr>
          <w:p w14:paraId="50F9043E" w14:textId="77777777" w:rsidR="0050070B" w:rsidRDefault="00000000">
            <w:pPr>
              <w:spacing w:before="20" w:after="20"/>
            </w:pPr>
            <w:r>
              <w:rPr>
                <w:rFonts w:cs="Times New Roman"/>
                <w:sz w:val="19"/>
              </w:rPr>
              <w:t>The assistant repeats what the documents say, including any bias in them. The prompt and the quote check keep the model from adding its own claims, but the LLM still writes the wording. No bias test was run.</w:t>
            </w:r>
          </w:p>
        </w:tc>
      </w:tr>
      <w:tr w:rsidR="0050070B" w14:paraId="33808BDE" w14:textId="77777777" w:rsidTr="00E415A6">
        <w:tc>
          <w:tcPr>
            <w:tcW w:w="1831" w:type="dxa"/>
          </w:tcPr>
          <w:p w14:paraId="22E1DA5D" w14:textId="77777777" w:rsidR="0050070B" w:rsidRDefault="00000000">
            <w:pPr>
              <w:spacing w:before="20" w:after="20"/>
            </w:pPr>
            <w:r>
              <w:rPr>
                <w:rFonts w:cs="Times New Roman"/>
                <w:sz w:val="19"/>
              </w:rPr>
              <w:t>Hallucination</w:t>
            </w:r>
          </w:p>
        </w:tc>
        <w:tc>
          <w:tcPr>
            <w:tcW w:w="7807" w:type="dxa"/>
          </w:tcPr>
          <w:p w14:paraId="4D82F1BC" w14:textId="77777777" w:rsidR="0050070B" w:rsidRDefault="00000000">
            <w:pPr>
              <w:spacing w:before="20" w:after="20"/>
            </w:pPr>
            <w:r>
              <w:rPr>
                <w:rFonts w:cs="Times New Roman"/>
                <w:sz w:val="19"/>
              </w:rPr>
              <w:t xml:space="preserve">Hybrid retrieval, a confidence gate at 0.35, a verbatim quote check and a check on numbers. These reduce wrong answers but do not stop them: on our benchmark 1 of 10 unanswerable questions was </w:t>
            </w:r>
            <w:r>
              <w:rPr>
                <w:rFonts w:cs="Times New Roman"/>
                <w:sz w:val="19"/>
              </w:rPr>
              <w:lastRenderedPageBreak/>
              <w:t>answered, and answer correctness was 55%.</w:t>
            </w:r>
          </w:p>
        </w:tc>
      </w:tr>
      <w:tr w:rsidR="0050070B" w14:paraId="74920F9D" w14:textId="77777777" w:rsidTr="00E415A6">
        <w:tc>
          <w:tcPr>
            <w:tcW w:w="1831" w:type="dxa"/>
          </w:tcPr>
          <w:p w14:paraId="6582A3EE" w14:textId="77777777" w:rsidR="0050070B" w:rsidRDefault="00000000">
            <w:pPr>
              <w:spacing w:before="20" w:after="20"/>
            </w:pPr>
            <w:r>
              <w:rPr>
                <w:rFonts w:cs="Times New Roman"/>
                <w:sz w:val="19"/>
              </w:rPr>
              <w:lastRenderedPageBreak/>
              <w:t>Human oversight</w:t>
            </w:r>
          </w:p>
        </w:tc>
        <w:tc>
          <w:tcPr>
            <w:tcW w:w="7807" w:type="dxa"/>
          </w:tcPr>
          <w:p w14:paraId="5FD7CAF5" w14:textId="77777777" w:rsidR="0050070B" w:rsidRDefault="00000000">
            <w:pPr>
              <w:spacing w:before="20" w:after="20"/>
            </w:pPr>
            <w:r>
              <w:rPr>
                <w:rFonts w:ascii="Courier New" w:eastAsia="Courier New" w:hAnsi="Courier New" w:cs="Courier New"/>
                <w:sz w:val="16"/>
              </w:rPr>
              <w:t>confidence_score</w:t>
            </w:r>
            <w:r>
              <w:rPr>
                <w:rFonts w:cs="Times New Roman"/>
                <w:sz w:val="19"/>
              </w:rPr>
              <w:t xml:space="preserve"> below 0.35 gives a refusal with no source, and downstream tools should send </w:t>
            </w:r>
            <w:r>
              <w:rPr>
                <w:rFonts w:ascii="Courier New" w:eastAsia="Courier New" w:hAnsi="Courier New" w:cs="Courier New"/>
                <w:sz w:val="16"/>
              </w:rPr>
              <w:t>is_fallback</w:t>
            </w:r>
            <w:r>
              <w:rPr>
                <w:rFonts w:cs="Times New Roman"/>
                <w:sz w:val="19"/>
              </w:rPr>
              <w:t xml:space="preserve"> cases to a person. A high score is not proof: one wrong answer had 0.98.</w:t>
            </w:r>
          </w:p>
        </w:tc>
      </w:tr>
      <w:tr w:rsidR="0050070B" w14:paraId="5D45C76C" w14:textId="77777777" w:rsidTr="00E415A6">
        <w:tc>
          <w:tcPr>
            <w:tcW w:w="1831" w:type="dxa"/>
          </w:tcPr>
          <w:p w14:paraId="226DE87B" w14:textId="77777777" w:rsidR="0050070B" w:rsidRDefault="00000000">
            <w:pPr>
              <w:spacing w:before="20" w:after="20"/>
            </w:pPr>
            <w:r>
              <w:rPr>
                <w:rFonts w:cs="Times New Roman"/>
                <w:sz w:val="19"/>
              </w:rPr>
              <w:t>Limitations</w:t>
            </w:r>
          </w:p>
        </w:tc>
        <w:tc>
          <w:tcPr>
            <w:tcW w:w="7807" w:type="dxa"/>
          </w:tcPr>
          <w:p w14:paraId="6D7C86A1" w14:textId="77777777" w:rsidR="0050070B" w:rsidRDefault="00000000">
            <w:pPr>
              <w:spacing w:before="20" w:after="20"/>
            </w:pPr>
            <w:r>
              <w:rPr>
                <w:rFonts w:cs="Times New Roman"/>
                <w:sz w:val="19"/>
              </w:rPr>
              <w:t>No rule for conflicting documents, weak on comparison questions and scanned tables, some casual wording is still refused, no load testing, local runs only.</w:t>
            </w:r>
          </w:p>
        </w:tc>
      </w:tr>
    </w:tbl>
    <w:p w14:paraId="59005AAA" w14:textId="77777777" w:rsidR="0050070B" w:rsidRDefault="0050070B">
      <w:pPr>
        <w:spacing w:after="80" w:line="259" w:lineRule="auto"/>
      </w:pPr>
    </w:p>
    <w:p w14:paraId="7DA32331" w14:textId="77777777" w:rsidR="0050070B" w:rsidRDefault="00000000">
      <w:pPr>
        <w:keepNext/>
        <w:spacing w:before="240" w:after="80" w:line="259" w:lineRule="auto"/>
      </w:pPr>
      <w:r>
        <w:rPr>
          <w:rFonts w:cs="Times New Roman"/>
          <w:b/>
          <w:sz w:val="25"/>
        </w:rPr>
        <w:t>4. Cross-group integration readiness</w:t>
      </w:r>
    </w:p>
    <w:p w14:paraId="7689FD2B" w14:textId="77777777" w:rsidR="0050070B" w:rsidRDefault="00000000">
      <w:pPr>
        <w:spacing w:after="100" w:line="259" w:lineRule="auto"/>
      </w:pPr>
      <w:r>
        <w:rPr>
          <w:rFonts w:cs="Times New Roman"/>
        </w:rPr>
        <w:t xml:space="preserve">The project brief (section 22) names two integration points for our group: Group 9 → Group 4 (curriculum documents) and Group 11 → Group 4 (university circulars). The design for both is in Grp4_E020_E024_E025_E026_E028_SNLP_Integration_Architecture.docx. We have not seen the real output files of either group, and nothing is connected to another group's live system, so this section is a plan and not a tested integration. The "API inspector" tab of the REST demo page shows the call that any other component would make to </w:t>
      </w:r>
      <w:r>
        <w:rPr>
          <w:rFonts w:ascii="Courier New" w:eastAsia="Courier New" w:hAnsi="Courier New" w:cs="Courier New"/>
          <w:sz w:val="18"/>
        </w:rPr>
        <w:t>/api/v1/ask</w:t>
      </w:r>
      <w:r>
        <w:rPr>
          <w:rFonts w:cs="Times New Roman"/>
        </w:rPr>
        <w:t>, and how the response would be used.</w:t>
      </w:r>
    </w:p>
    <w:tbl>
      <w:tblPr>
        <w:tblStyle w:val="TableGrid"/>
        <w:tblW w:w="0" w:type="auto"/>
        <w:tblLayout w:type="fixed"/>
        <w:tblLook w:val="04A0" w:firstRow="1" w:lastRow="0" w:firstColumn="1" w:lastColumn="0" w:noHBand="0" w:noVBand="1"/>
      </w:tblPr>
      <w:tblGrid>
        <w:gridCol w:w="2073"/>
        <w:gridCol w:w="1355"/>
        <w:gridCol w:w="3309"/>
        <w:gridCol w:w="2901"/>
      </w:tblGrid>
      <w:tr w:rsidR="0050070B" w14:paraId="2CB988C5" w14:textId="77777777" w:rsidTr="00E415A6">
        <w:tc>
          <w:tcPr>
            <w:tcW w:w="2073" w:type="dxa"/>
          </w:tcPr>
          <w:p w14:paraId="26C249E4" w14:textId="77777777" w:rsidR="0050070B" w:rsidRDefault="00000000">
            <w:pPr>
              <w:keepNext/>
              <w:spacing w:before="20" w:after="20"/>
            </w:pPr>
            <w:r>
              <w:rPr>
                <w:rFonts w:cs="Times New Roman"/>
                <w:b/>
                <w:sz w:val="19"/>
              </w:rPr>
              <w:t>Group</w:t>
            </w:r>
          </w:p>
        </w:tc>
        <w:tc>
          <w:tcPr>
            <w:tcW w:w="1355" w:type="dxa"/>
          </w:tcPr>
          <w:p w14:paraId="06997FA1" w14:textId="77777777" w:rsidR="0050070B" w:rsidRDefault="00000000">
            <w:pPr>
              <w:keepNext/>
              <w:spacing w:before="20" w:after="20"/>
            </w:pPr>
            <w:r>
              <w:rPr>
                <w:rFonts w:cs="Times New Roman"/>
                <w:b/>
                <w:sz w:val="19"/>
              </w:rPr>
              <w:t>Direction</w:t>
            </w:r>
          </w:p>
        </w:tc>
        <w:tc>
          <w:tcPr>
            <w:tcW w:w="3309" w:type="dxa"/>
          </w:tcPr>
          <w:p w14:paraId="49C2081F" w14:textId="77777777" w:rsidR="0050070B" w:rsidRDefault="00000000">
            <w:pPr>
              <w:keepNext/>
              <w:spacing w:before="20" w:after="20"/>
            </w:pPr>
            <w:r>
              <w:rPr>
                <w:rFonts w:cs="Times New Roman"/>
                <w:b/>
                <w:sz w:val="19"/>
              </w:rPr>
              <w:t>Idea</w:t>
            </w:r>
          </w:p>
        </w:tc>
        <w:tc>
          <w:tcPr>
            <w:tcW w:w="2901" w:type="dxa"/>
          </w:tcPr>
          <w:p w14:paraId="33BE75CA" w14:textId="77777777" w:rsidR="0050070B" w:rsidRDefault="00000000">
            <w:pPr>
              <w:keepNext/>
              <w:spacing w:before="20" w:after="20"/>
            </w:pPr>
            <w:r>
              <w:rPr>
                <w:rFonts w:cs="Times New Roman"/>
                <w:b/>
                <w:sz w:val="19"/>
              </w:rPr>
              <w:t>Status</w:t>
            </w:r>
          </w:p>
        </w:tc>
      </w:tr>
      <w:tr w:rsidR="0050070B" w14:paraId="71955835" w14:textId="77777777" w:rsidTr="00E415A6">
        <w:tc>
          <w:tcPr>
            <w:tcW w:w="2073" w:type="dxa"/>
          </w:tcPr>
          <w:p w14:paraId="64C0C4DB" w14:textId="77777777" w:rsidR="0050070B" w:rsidRDefault="00000000">
            <w:pPr>
              <w:spacing w:before="20" w:after="20"/>
            </w:pPr>
            <w:r>
              <w:rPr>
                <w:rFonts w:cs="Times New Roman"/>
                <w:sz w:val="19"/>
              </w:rPr>
              <w:t>Group 9, Curriculum Intelligence Engine</w:t>
            </w:r>
          </w:p>
        </w:tc>
        <w:tc>
          <w:tcPr>
            <w:tcW w:w="1355" w:type="dxa"/>
          </w:tcPr>
          <w:p w14:paraId="524CF6D9" w14:textId="77777777" w:rsidR="0050070B" w:rsidRDefault="00000000">
            <w:pPr>
              <w:spacing w:before="20" w:after="20"/>
            </w:pPr>
            <w:r>
              <w:rPr>
                <w:rFonts w:cs="Times New Roman"/>
                <w:sz w:val="19"/>
              </w:rPr>
              <w:t>into our index</w:t>
            </w:r>
          </w:p>
        </w:tc>
        <w:tc>
          <w:tcPr>
            <w:tcW w:w="3309" w:type="dxa"/>
          </w:tcPr>
          <w:p w14:paraId="6DA6D53F" w14:textId="77777777" w:rsidR="0050070B" w:rsidRDefault="00000000">
            <w:pPr>
              <w:spacing w:before="20" w:after="20"/>
            </w:pPr>
            <w:r>
              <w:rPr>
                <w:rFonts w:cs="Times New Roman"/>
                <w:sz w:val="19"/>
              </w:rPr>
              <w:t xml:space="preserve">syllabi and course documents added as a new category, so </w:t>
            </w:r>
            <w:r>
              <w:rPr>
                <w:rFonts w:ascii="Courier New" w:eastAsia="Courier New" w:hAnsi="Courier New" w:cs="Courier New"/>
                <w:sz w:val="16"/>
              </w:rPr>
              <w:t>/ask</w:t>
            </w:r>
            <w:r>
              <w:rPr>
                <w:rFonts w:cs="Times New Roman"/>
                <w:sz w:val="19"/>
              </w:rPr>
              <w:t xml:space="preserve"> can answer questions about course content; their generated analysis would be kept apart from official documents</w:t>
            </w:r>
          </w:p>
        </w:tc>
        <w:tc>
          <w:tcPr>
            <w:tcW w:w="2901" w:type="dxa"/>
          </w:tcPr>
          <w:p w14:paraId="344FB9BD" w14:textId="77777777" w:rsidR="0050070B" w:rsidRDefault="00000000">
            <w:pPr>
              <w:spacing w:before="20" w:after="20"/>
            </w:pPr>
            <w:r>
              <w:rPr>
                <w:rFonts w:cs="Times New Roman"/>
                <w:sz w:val="19"/>
              </w:rPr>
              <w:t>design only</w:t>
            </w:r>
          </w:p>
        </w:tc>
      </w:tr>
      <w:tr w:rsidR="0050070B" w14:paraId="72517082" w14:textId="77777777" w:rsidTr="00E415A6">
        <w:tc>
          <w:tcPr>
            <w:tcW w:w="2073" w:type="dxa"/>
          </w:tcPr>
          <w:p w14:paraId="0965CD36" w14:textId="77777777" w:rsidR="0050070B" w:rsidRDefault="00000000">
            <w:pPr>
              <w:spacing w:before="20" w:after="20"/>
            </w:pPr>
            <w:r>
              <w:rPr>
                <w:rFonts w:cs="Times New Roman"/>
                <w:sz w:val="19"/>
              </w:rPr>
              <w:t>Group 11, University Communications Intelligence</w:t>
            </w:r>
          </w:p>
        </w:tc>
        <w:tc>
          <w:tcPr>
            <w:tcW w:w="1355" w:type="dxa"/>
          </w:tcPr>
          <w:p w14:paraId="217E5015" w14:textId="77777777" w:rsidR="0050070B" w:rsidRDefault="00000000">
            <w:pPr>
              <w:spacing w:before="20" w:after="20"/>
            </w:pPr>
            <w:r>
              <w:rPr>
                <w:rFonts w:cs="Times New Roman"/>
                <w:sz w:val="19"/>
              </w:rPr>
              <w:t>into our index</w:t>
            </w:r>
          </w:p>
        </w:tc>
        <w:tc>
          <w:tcPr>
            <w:tcW w:w="3309" w:type="dxa"/>
          </w:tcPr>
          <w:p w14:paraId="05D309B4" w14:textId="77777777" w:rsidR="0050070B" w:rsidRDefault="00000000">
            <w:pPr>
              <w:spacing w:before="20" w:after="20"/>
            </w:pPr>
            <w:r>
              <w:rPr>
                <w:rFonts w:cs="Times New Roman"/>
                <w:sz w:val="19"/>
              </w:rPr>
              <w:t>original circulars and notices added (cited as the source, with their title and date), so answers reflect changes during the year</w:t>
            </w:r>
          </w:p>
        </w:tc>
        <w:tc>
          <w:tcPr>
            <w:tcW w:w="2901" w:type="dxa"/>
          </w:tcPr>
          <w:p w14:paraId="0C27EA3A" w14:textId="77777777" w:rsidR="0050070B" w:rsidRDefault="00000000">
            <w:pPr>
              <w:spacing w:before="20" w:after="20"/>
            </w:pPr>
            <w:r>
              <w:rPr>
                <w:rFonts w:cs="Times New Roman"/>
                <w:sz w:val="19"/>
              </w:rPr>
              <w:t>design only; needs a date field and a rule for newer circulars versus older policy</w:t>
            </w:r>
          </w:p>
        </w:tc>
      </w:tr>
    </w:tbl>
    <w:p w14:paraId="39562955" w14:textId="77777777" w:rsidR="0050070B" w:rsidRDefault="0050070B">
      <w:pPr>
        <w:spacing w:after="80" w:line="259" w:lineRule="auto"/>
      </w:pPr>
    </w:p>
    <w:p w14:paraId="397C7054" w14:textId="77777777" w:rsidR="0050070B" w:rsidRDefault="00000000">
      <w:pPr>
        <w:spacing w:after="100" w:line="259" w:lineRule="auto"/>
      </w:pPr>
      <w:r>
        <w:rPr>
          <w:rFonts w:cs="Times New Roman"/>
        </w:rPr>
        <w:t>Problems we found while writing this:</w:t>
      </w:r>
    </w:p>
    <w:p w14:paraId="75EE272C" w14:textId="77777777" w:rsidR="0050070B" w:rsidRDefault="00000000">
      <w:pPr>
        <w:pStyle w:val="ListBullet"/>
        <w:spacing w:after="40" w:line="252" w:lineRule="auto"/>
      </w:pPr>
      <w:r>
        <w:rPr>
          <w:rFonts w:cs="Times New Roman"/>
        </w:rPr>
        <w:t>Our system has no way to choose between two documents that disagree, and circulars from Group 11 will make that more common. This is the main thing to fix before that feed is used.</w:t>
      </w:r>
    </w:p>
    <w:p w14:paraId="4C61A8F6" w14:textId="77777777" w:rsidR="0050070B" w:rsidRDefault="00000000">
      <w:pPr>
        <w:pStyle w:val="ListBullet"/>
        <w:spacing w:after="40" w:line="252" w:lineRule="auto"/>
      </w:pPr>
      <w:r>
        <w:rPr>
          <w:rFonts w:cs="Times New Roman"/>
        </w:rPr>
        <w:t>The Groq free tier (about 8,000 tokens per minute) cannot serve several components at once. When it runs out the API gives extractive answers, which were less accurate in our Week 5 run (25% answer correctness without the LLM, 55% with it).</w:t>
      </w:r>
    </w:p>
    <w:p w14:paraId="599BC772" w14:textId="77777777" w:rsidR="0050070B" w:rsidRDefault="00000000">
      <w:pPr>
        <w:pStyle w:val="ListBullet"/>
        <w:spacing w:after="40" w:line="252" w:lineRule="auto"/>
      </w:pPr>
      <w:r>
        <w:rPr>
          <w:rFonts w:cs="Times New Roman"/>
        </w:rPr>
        <w:t>The confidence threshold was fitted on the current documents, so after adding a large new set we would need to recalibrate.</w:t>
      </w:r>
    </w:p>
    <w:p w14:paraId="483F57B3" w14:textId="77777777" w:rsidR="0050070B" w:rsidRDefault="00000000">
      <w:pPr>
        <w:keepNext/>
        <w:spacing w:before="240" w:after="80" w:line="259" w:lineRule="auto"/>
      </w:pPr>
      <w:r>
        <w:rPr>
          <w:rFonts w:cs="Times New Roman"/>
          <w:b/>
          <w:sz w:val="25"/>
        </w:rPr>
        <w:t>5. Not done yet</w:t>
      </w:r>
    </w:p>
    <w:p w14:paraId="41144E76" w14:textId="77777777" w:rsidR="0050070B" w:rsidRDefault="00000000">
      <w:pPr>
        <w:pStyle w:val="ListBullet"/>
        <w:spacing w:after="40" w:line="252" w:lineRule="auto"/>
      </w:pPr>
      <w:r>
        <w:rPr>
          <w:rFonts w:cs="Times New Roman"/>
        </w:rPr>
        <w:t>An automated test for the REST demo page.</w:t>
      </w:r>
    </w:p>
    <w:p w14:paraId="4312D5F1" w14:textId="77777777" w:rsidR="0050070B" w:rsidRDefault="00000000">
      <w:pPr>
        <w:pStyle w:val="ListBullet"/>
        <w:spacing w:after="40" w:line="252" w:lineRule="auto"/>
      </w:pPr>
      <w:r>
        <w:rPr>
          <w:rFonts w:cs="Times New Roman"/>
        </w:rPr>
        <w:t>Removing contact details and the default password from the index.</w:t>
      </w:r>
    </w:p>
    <w:p w14:paraId="44A6468F" w14:textId="77777777" w:rsidR="0050070B" w:rsidRDefault="00000000">
      <w:pPr>
        <w:pStyle w:val="ListBullet"/>
        <w:spacing w:after="40" w:line="252" w:lineRule="auto"/>
      </w:pPr>
      <w:r>
        <w:rPr>
          <w:rFonts w:cs="Times New Roman"/>
        </w:rPr>
        <w:t>A document date or authority rule.</w:t>
      </w:r>
    </w:p>
    <w:p w14:paraId="39EDA4C8" w14:textId="77777777" w:rsidR="0050070B" w:rsidRDefault="00000000">
      <w:pPr>
        <w:pStyle w:val="ListBullet"/>
        <w:spacing w:after="40" w:line="252" w:lineRule="auto"/>
      </w:pPr>
      <w:r>
        <w:rPr>
          <w:rFonts w:cs="Times New Roman"/>
        </w:rPr>
        <w:t>Auth, shared rate limiting and deployment beyond local runs.</w:t>
      </w:r>
    </w:p>
    <w:p w14:paraId="6CD75569" w14:textId="77777777" w:rsidR="0050070B" w:rsidRDefault="00000000">
      <w:pPr>
        <w:pStyle w:val="ListBullet"/>
        <w:spacing w:after="40" w:line="252" w:lineRule="auto"/>
      </w:pPr>
      <w:r>
        <w:rPr>
          <w:rFonts w:cs="Times New Roman"/>
        </w:rPr>
        <w:t>Testing any of the integrations with the other groups.</w:t>
      </w:r>
    </w:p>
    <w:sectPr w:rsidR="0050070B" w:rsidSect="00034616">
      <w:footerReference w:type="default" r:id="rId8"/>
      <w:pgSz w:w="11906" w:h="16838"/>
      <w:pgMar w:top="1077"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F062F" w14:textId="77777777" w:rsidR="00DB0005" w:rsidRDefault="00DB0005">
      <w:pPr>
        <w:spacing w:after="0" w:line="240" w:lineRule="auto"/>
      </w:pPr>
      <w:r>
        <w:separator/>
      </w:r>
    </w:p>
  </w:endnote>
  <w:endnote w:type="continuationSeparator" w:id="0">
    <w:p w14:paraId="47CAD118" w14:textId="77777777" w:rsidR="00DB0005" w:rsidRDefault="00DB0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681F" w14:textId="77777777" w:rsidR="0050070B" w:rsidRDefault="00000000">
    <w:pPr>
      <w:pStyle w:val="Footer"/>
      <w:jc w:val="center"/>
    </w:pPr>
    <w:r>
      <w:rPr>
        <w:rFonts w:cs="Times New Roman"/>
        <w:sz w:val="18"/>
      </w:rPr>
      <w:fldChar w:fldCharType="begin"/>
    </w:r>
    <w:r>
      <w:rPr>
        <w:rFonts w:cs="Times New Roman"/>
        <w:sz w:val="18"/>
      </w:rPr>
      <w:instrText>PAGE</w:instrText>
    </w:r>
    <w:r w:rsidR="00E415A6">
      <w:rPr>
        <w:rFonts w:cs="Times New Roman"/>
        <w:sz w:val="18"/>
      </w:rPr>
      <w:fldChar w:fldCharType="separate"/>
    </w:r>
    <w:r w:rsidR="00E415A6">
      <w:rPr>
        <w:rFonts w:cs="Times New Roman"/>
        <w:noProof/>
        <w:sz w:val="18"/>
      </w:rPr>
      <w:t>1</w:t>
    </w:r>
    <w:r>
      <w:rPr>
        <w:rFonts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3E299" w14:textId="77777777" w:rsidR="00DB0005" w:rsidRDefault="00DB0005">
      <w:pPr>
        <w:spacing w:after="0" w:line="240" w:lineRule="auto"/>
      </w:pPr>
      <w:r>
        <w:separator/>
      </w:r>
    </w:p>
  </w:footnote>
  <w:footnote w:type="continuationSeparator" w:id="0">
    <w:p w14:paraId="7B238EAB" w14:textId="77777777" w:rsidR="00DB0005" w:rsidRDefault="00DB0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739336">
    <w:abstractNumId w:val="8"/>
  </w:num>
  <w:num w:numId="2" w16cid:durableId="2110197653">
    <w:abstractNumId w:val="6"/>
  </w:num>
  <w:num w:numId="3" w16cid:durableId="1861118064">
    <w:abstractNumId w:val="5"/>
  </w:num>
  <w:num w:numId="4" w16cid:durableId="1438021160">
    <w:abstractNumId w:val="4"/>
  </w:num>
  <w:num w:numId="5" w16cid:durableId="2072996742">
    <w:abstractNumId w:val="7"/>
  </w:num>
  <w:num w:numId="6" w16cid:durableId="1578435807">
    <w:abstractNumId w:val="3"/>
  </w:num>
  <w:num w:numId="7" w16cid:durableId="1022779398">
    <w:abstractNumId w:val="2"/>
  </w:num>
  <w:num w:numId="8" w16cid:durableId="1139106161">
    <w:abstractNumId w:val="1"/>
  </w:num>
  <w:num w:numId="9" w16cid:durableId="8658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70B"/>
    <w:rsid w:val="00AA1D8D"/>
    <w:rsid w:val="00B47730"/>
    <w:rsid w:val="00CB0664"/>
    <w:rsid w:val="00D03554"/>
    <w:rsid w:val="00DB0005"/>
    <w:rsid w:val="00E415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ED44B"/>
  <w14:defaultImageDpi w14:val="300"/>
  <w15:docId w15:val="{A697A1F9-B5D8-46AE-B174-75C2673E7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Shamika Daga</cp:lastModifiedBy>
  <cp:revision>2</cp:revision>
  <dcterms:created xsi:type="dcterms:W3CDTF">2013-12-23T23:15:00Z</dcterms:created>
  <dcterms:modified xsi:type="dcterms:W3CDTF">2026-10-23T10:16:00Z</dcterms:modified>
  <cp:category/>
</cp:coreProperties>
</file>