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145E" w:val="clear"/>
            <w:tcMar>
              <w:top w:type="dxa" w:w="360"/>
              <w:left w:type="dxa" w:w="480"/>
              <w:bottom w:type="dxa" w:w="360"/>
              <w:right w:type="dxa" w:w="480"/>
            </w:tcMar>
          </w:tcPr>
          <w:p>
            <w:pPr>
              <w:spacing w:after="40" w:before="0"/>
              <w:jc w:val="left"/>
            </w:pPr>
            <w:r>
              <w:rPr>
                <w:rFonts w:ascii="Arial" w:cs="Arial" w:eastAsia="Arial" w:hAnsi="Arial"/>
                <w:b/>
                <w:bCs/>
                <w:color w:val="02A87A"/>
                <w:sz w:val="18"/>
                <w:szCs w:val="18"/>
              </w:rPr>
              <w:t xml:space="preserve">DAY 1  —  PROJECT REPORT</w:t>
            </w:r>
          </w:p>
          <w:p>
            <w:pPr>
              <w:spacing w:after="60" w:before="0"/>
              <w:jc w:val="left"/>
            </w:pPr>
            <w:r>
              <w:rPr>
                <w:rFonts w:ascii="Arial" w:cs="Arial" w:eastAsia="Arial" w:hAnsi="Arial"/>
                <w:b/>
                <w:bCs/>
                <w:color w:val="FFFFFF"/>
                <w:sz w:val="48"/>
                <w:szCs w:val="48"/>
              </w:rPr>
              <w:t xml:space="preserve">Mutual Fund Analytics</w:t>
            </w:r>
          </w:p>
          <w:p>
            <w:pPr>
              <w:spacing w:after="20" w:before="0"/>
              <w:jc w:val="left"/>
            </w:pPr>
            <w:r>
              <w:rPr>
                <w:rFonts w:ascii="Arial" w:cs="Arial" w:eastAsia="Arial" w:hAnsi="Arial"/>
                <w:color w:val="C0D8F0"/>
                <w:sz w:val="26"/>
                <w:szCs w:val="26"/>
              </w:rPr>
              <w:t xml:space="preserve">Project Setup &amp; Data Ingestion (ETL)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Submitted By</w:t>
            </w:r>
          </w:p>
        </w:tc>
        <w:tc>
          <w:tcPr>
            <w:tcW w:type="dxa" w:w="71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1A1A2E"/>
                <w:sz w:val="20"/>
                <w:szCs w:val="20"/>
              </w:rPr>
              <w:t xml:space="preserve">Tanushree Rathod</w:t>
            </w:r>
          </w:p>
        </w:tc>
      </w:tr>
      <w:tr>
        <w:tc>
          <w:tcPr>
            <w:tcW w:type="dxa" w:w="2200"/>
            <w:tcBorders>
              <w:top w:val="none" w:color="FFFFFF" w:sz="0"/>
              <w:left w:val="none" w:color="FFFFFF" w:sz="0"/>
              <w:bottom w:val="none" w:color="FFFFFF" w:sz="0"/>
              <w:right w:val="none" w:color="FFFFFF" w:sz="0"/>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Branch</w:t>
            </w:r>
          </w:p>
        </w:tc>
        <w:tc>
          <w:tcPr>
            <w:tcW w:type="dxa" w:w="71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1A1A2E"/>
                <w:sz w:val="20"/>
                <w:szCs w:val="20"/>
              </w:rPr>
              <w:t xml:space="preserve">Artificial Intelligence &amp; Data Science</w:t>
            </w:r>
          </w:p>
        </w:tc>
      </w:tr>
      <w:tr>
        <w:tc>
          <w:tcPr>
            <w:tcW w:type="dxa" w:w="2200"/>
            <w:tcBorders>
              <w:top w:val="none" w:color="FFFFFF" w:sz="0"/>
              <w:left w:val="none" w:color="FFFFFF" w:sz="0"/>
              <w:bottom w:val="none" w:color="FFFFFF" w:sz="0"/>
              <w:right w:val="none" w:color="FFFFFF" w:sz="0"/>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Institute</w:t>
            </w:r>
          </w:p>
        </w:tc>
        <w:tc>
          <w:tcPr>
            <w:tcW w:type="dxa" w:w="71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1A1A2E"/>
                <w:sz w:val="20"/>
                <w:szCs w:val="20"/>
              </w:rPr>
              <w:t xml:space="preserve">VES Institute of Technology (VESIT), Mumbai</w:t>
            </w:r>
          </w:p>
        </w:tc>
      </w:tr>
      <w:tr>
        <w:tc>
          <w:tcPr>
            <w:tcW w:type="dxa" w:w="2200"/>
            <w:tcBorders>
              <w:top w:val="none" w:color="FFFFFF" w:sz="0"/>
              <w:left w:val="none" w:color="FFFFFF" w:sz="0"/>
              <w:bottom w:val="none" w:color="FFFFFF" w:sz="0"/>
              <w:right w:val="none" w:color="FFFFFF" w:sz="0"/>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Project Title</w:t>
            </w:r>
          </w:p>
        </w:tc>
        <w:tc>
          <w:tcPr>
            <w:tcW w:type="dxa" w:w="71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1A1A2E"/>
                <w:sz w:val="20"/>
                <w:szCs w:val="20"/>
              </w:rPr>
              <w:t xml:space="preserve">Mutual Fund Analytics</w:t>
            </w:r>
          </w:p>
        </w:tc>
      </w:tr>
      <w:tr>
        <w:tc>
          <w:tcPr>
            <w:tcW w:type="dxa" w:w="2200"/>
            <w:tcBorders>
              <w:top w:val="none" w:color="FFFFFF" w:sz="0"/>
              <w:left w:val="none" w:color="FFFFFF" w:sz="0"/>
              <w:bottom w:val="none" w:color="FFFFFF" w:sz="0"/>
              <w:right w:val="none" w:color="FFFFFF" w:sz="0"/>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Report Phase</w:t>
            </w:r>
          </w:p>
        </w:tc>
        <w:tc>
          <w:tcPr>
            <w:tcW w:type="dxa" w:w="71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1A1A2E"/>
                <w:sz w:val="20"/>
                <w:szCs w:val="20"/>
              </w:rPr>
              <w:t xml:space="preserve">Day 1 — Project Setup &amp; Data Ingestion</w:t>
            </w:r>
          </w:p>
        </w:tc>
      </w:tr>
      <w:tr>
        <w:tc>
          <w:tcPr>
            <w:tcW w:type="dxa" w:w="2200"/>
            <w:tcBorders>
              <w:top w:val="none" w:color="FFFFFF" w:sz="0"/>
              <w:left w:val="none" w:color="FFFFFF" w:sz="0"/>
              <w:bottom w:val="none" w:color="FFFFFF" w:sz="0"/>
              <w:right w:val="none" w:color="FFFFFF" w:sz="0"/>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Date</w:t>
            </w:r>
          </w:p>
        </w:tc>
        <w:tc>
          <w:tcPr>
            <w:tcW w:type="dxa" w:w="71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1A1A2E"/>
                <w:sz w:val="20"/>
                <w:szCs w:val="20"/>
              </w:rPr>
              <w:t xml:space="preserve">June 2026</w:t>
            </w:r>
          </w:p>
        </w:tc>
      </w:tr>
    </w:tbl>
    <w:p>
      <w:pPr>
        <w:spacing w:after="80" w:before="20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1.  Objective</w:t>
      </w:r>
    </w:p>
    <w:p>
      <w:pPr>
        <w:spacing w:after="100" w:before="60" w:line="340" w:lineRule="auto"/>
        <w:jc w:val="both"/>
      </w:pPr>
      <w:r>
        <w:rPr>
          <w:rFonts w:ascii="Arial" w:cs="Arial" w:eastAsia="Arial" w:hAnsi="Arial"/>
          <w:color w:val="445A6F"/>
          <w:sz w:val="22"/>
          <w:szCs w:val="22"/>
        </w:rPr>
        <w:t xml:space="preserve">The primary objective of this project is to design and build a comprehensive, data-driven Mutual Fund Analytics platform. The platform will enable detailed analysis across multiple dimensions of mutual fund data, including fund performance metrics, investor behaviour patterns, portfolio holdings composition, fund house statistics, and real-time Net Asset Value (NAV) trends.</w:t>
      </w:r>
    </w:p>
    <w:p>
      <w:pPr>
        <w:spacing w:after="100" w:before="60" w:line="340" w:lineRule="auto"/>
        <w:jc w:val="both"/>
      </w:pPr>
      <w:r>
        <w:rPr>
          <w:rFonts w:ascii="Arial" w:cs="Arial" w:eastAsia="Arial" w:hAnsi="Arial"/>
          <w:color w:val="445A6F"/>
          <w:sz w:val="22"/>
          <w:szCs w:val="22"/>
        </w:rPr>
        <w:t xml:space="preserve">Day 1 of the project focused on establishing the foundational infrastructure: setting up the project environment, ingesting all provided datasets, validating data quality, and performing initial exploratory analysis to inform subsequent analytical modules.</w:t>
      </w:r>
    </w:p>
    <w:p>
      <w:pPr>
        <w:spacing w:after="40" w:before="8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2.  Project Setup</w:t>
      </w:r>
    </w:p>
    <w:p>
      <w:pPr>
        <w:pStyle w:val="Heading2"/>
        <w:spacing w:after="80" w:before="240"/>
      </w:pPr>
      <w:r>
        <w:rPr>
          <w:rFonts w:ascii="Arial" w:cs="Arial" w:eastAsia="Arial" w:hAnsi="Arial"/>
          <w:b/>
          <w:bCs/>
          <w:color w:val="065A82"/>
          <w:sz w:val="24"/>
          <w:szCs w:val="24"/>
        </w:rPr>
        <w:t xml:space="preserve">2.1  Directory Structure</w:t>
      </w:r>
    </w:p>
    <w:p>
      <w:pPr>
        <w:spacing w:after="100" w:before="60" w:line="340" w:lineRule="auto"/>
        <w:jc w:val="both"/>
      </w:pPr>
      <w:r>
        <w:rPr>
          <w:rFonts w:ascii="Arial" w:cs="Arial" w:eastAsia="Arial" w:hAnsi="Arial"/>
          <w:color w:val="445A6F"/>
          <w:sz w:val="22"/>
          <w:szCs w:val="22"/>
        </w:rPr>
        <w:t xml:space="preserve">A structured project directory was created to organise all components of the analytics platform:</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Directory</w:t>
            </w:r>
          </w:p>
        </w:tc>
        <w:tc>
          <w:tcPr>
            <w:tcW w:type="dxa" w:w="69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Courier New" w:cs="Courier New" w:eastAsia="Courier New" w:hAnsi="Courier New"/>
                <w:b/>
                <w:bCs/>
                <w:color w:val="02145E"/>
                <w:sz w:val="20"/>
                <w:szCs w:val="20"/>
              </w:rPr>
              <w:t xml:space="preserve">data/raw</w:t>
            </w:r>
          </w:p>
        </w:tc>
        <w:tc>
          <w:tcPr>
            <w:tcW w:type="dxa" w:w="69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Stores all original, unprocessed CSV dataset files</w:t>
            </w:r>
          </w:p>
        </w:tc>
      </w:tr>
      <w:tr>
        <w:tc>
          <w:tcPr>
            <w:tcW w:type="dxa" w:w="24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Courier New" w:cs="Courier New" w:eastAsia="Courier New" w:hAnsi="Courier New"/>
                <w:b/>
                <w:bCs/>
                <w:color w:val="02145E"/>
                <w:sz w:val="20"/>
                <w:szCs w:val="20"/>
              </w:rPr>
              <w:t xml:space="preserve">data/processed</w:t>
            </w:r>
          </w:p>
        </w:tc>
        <w:tc>
          <w:tcPr>
            <w:tcW w:type="dxa" w:w="69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Holds cleaned and transformed datasets ready for analysis</w:t>
            </w:r>
          </w:p>
        </w:tc>
      </w:tr>
      <w:tr>
        <w:tc>
          <w:tcPr>
            <w:tcW w:type="dxa" w:w="24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Courier New" w:cs="Courier New" w:eastAsia="Courier New" w:hAnsi="Courier New"/>
                <w:b/>
                <w:bCs/>
                <w:color w:val="02145E"/>
                <w:sz w:val="20"/>
                <w:szCs w:val="20"/>
              </w:rPr>
              <w:t xml:space="preserve">notebooks/</w:t>
            </w:r>
          </w:p>
        </w:tc>
        <w:tc>
          <w:tcPr>
            <w:tcW w:type="dxa" w:w="69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Jupyter notebooks for exploratory analysis and modelling</w:t>
            </w:r>
          </w:p>
        </w:tc>
      </w:tr>
      <w:tr>
        <w:tc>
          <w:tcPr>
            <w:tcW w:type="dxa" w:w="24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Courier New" w:cs="Courier New" w:eastAsia="Courier New" w:hAnsi="Courier New"/>
                <w:b/>
                <w:bCs/>
                <w:color w:val="02145E"/>
                <w:sz w:val="20"/>
                <w:szCs w:val="20"/>
              </w:rPr>
              <w:t xml:space="preserve">dashboard/</w:t>
            </w:r>
          </w:p>
        </w:tc>
        <w:tc>
          <w:tcPr>
            <w:tcW w:type="dxa" w:w="69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Streamlit / Power BI dashboard code and assets</w:t>
            </w:r>
          </w:p>
        </w:tc>
      </w:tr>
      <w:tr>
        <w:tc>
          <w:tcPr>
            <w:tcW w:type="dxa" w:w="24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Courier New" w:cs="Courier New" w:eastAsia="Courier New" w:hAnsi="Courier New"/>
                <w:b/>
                <w:bCs/>
                <w:color w:val="02145E"/>
                <w:sz w:val="20"/>
                <w:szCs w:val="20"/>
              </w:rPr>
              <w:t xml:space="preserve">reports/</w:t>
            </w:r>
          </w:p>
        </w:tc>
        <w:tc>
          <w:tcPr>
            <w:tcW w:type="dxa" w:w="69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Generated reports, summaries, and documentation</w:t>
            </w:r>
          </w:p>
        </w:tc>
      </w:tr>
    </w:tbl>
    <w:p>
      <w:pPr>
        <w:spacing w:after="40" w:before="120"/>
      </w:pPr>
      <w:r>
        <w:t xml:space="preserve"/>
      </w:r>
    </w:p>
    <w:p>
      <w:pPr>
        <w:pStyle w:val="Heading2"/>
        <w:spacing w:after="80" w:before="240"/>
      </w:pPr>
      <w:r>
        <w:rPr>
          <w:rFonts w:ascii="Arial" w:cs="Arial" w:eastAsia="Arial" w:hAnsi="Arial"/>
          <w:b/>
          <w:bCs/>
          <w:color w:val="065A82"/>
          <w:sz w:val="24"/>
          <w:szCs w:val="24"/>
        </w:rPr>
        <w:t xml:space="preserve">2.2  Version Control</w:t>
      </w:r>
    </w:p>
    <w:p>
      <w:pPr>
        <w:spacing w:after="100" w:before="60" w:line="340" w:lineRule="auto"/>
        <w:jc w:val="both"/>
      </w:pPr>
      <w:r>
        <w:rPr>
          <w:rFonts w:ascii="Arial" w:cs="Arial" w:eastAsia="Arial" w:hAnsi="Arial"/>
          <w:color w:val="445A6F"/>
          <w:sz w:val="22"/>
          <w:szCs w:val="22"/>
        </w:rPr>
        <w:t xml:space="preserve">The project repository was initialised using Git and pushed to GitHub, enabling version control, team collaboration, and change tracking throughout the project lifecycle.</w:t>
      </w:r>
    </w:p>
    <w:p>
      <w:pPr>
        <w:spacing w:after="40" w:before="80"/>
      </w:pPr>
      <w:r>
        <w:t xml:space="preserve"/>
      </w:r>
    </w:p>
    <w:p>
      <w:pPr>
        <w:pStyle w:val="Heading2"/>
        <w:spacing w:after="80" w:before="240"/>
      </w:pPr>
      <w:r>
        <w:rPr>
          <w:rFonts w:ascii="Arial" w:cs="Arial" w:eastAsia="Arial" w:hAnsi="Arial"/>
          <w:b/>
          <w:bCs/>
          <w:color w:val="065A82"/>
          <w:sz w:val="24"/>
          <w:szCs w:val="24"/>
        </w:rPr>
        <w:t xml:space="preserve">2.3  Technologies &amp; Libraries</w:t>
      </w:r>
    </w:p>
    <w:p>
      <w:pPr>
        <w:spacing w:after="100" w:before="60" w:line="340" w:lineRule="auto"/>
        <w:jc w:val="both"/>
      </w:pPr>
      <w:r>
        <w:rPr>
          <w:rFonts w:ascii="Arial" w:cs="Arial" w:eastAsia="Arial" w:hAnsi="Arial"/>
          <w:color w:val="445A6F"/>
          <w:sz w:val="22"/>
          <w:szCs w:val="22"/>
        </w:rPr>
        <w:t xml:space="preserve">The following tools and Python libraries were used during Day 1:</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Tool / Library</w:t>
            </w:r>
          </w:p>
        </w:tc>
        <w:tc>
          <w:tcPr>
            <w:tcW w:type="dxa" w:w="36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0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2145E"/>
                <w:sz w:val="20"/>
                <w:szCs w:val="20"/>
              </w:rPr>
              <w:t xml:space="preserve">Python 3.x</w:t>
            </w:r>
          </w:p>
        </w:tc>
        <w:tc>
          <w:tcPr>
            <w:tcW w:type="dxa" w:w="36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065A82"/>
                <w:sz w:val="20"/>
                <w:szCs w:val="20"/>
              </w:rPr>
              <w:t xml:space="preserve">Core Language</w:t>
            </w:r>
          </w:p>
        </w:tc>
        <w:tc>
          <w:tcPr>
            <w:tcW w:type="dxa" w:w="37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Primary programming environment</w:t>
            </w:r>
          </w:p>
        </w:tc>
      </w:tr>
      <w:tr>
        <w:tc>
          <w:tcPr>
            <w:tcW w:type="dxa" w:w="20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b/>
                <w:bCs/>
                <w:color w:val="02145E"/>
                <w:sz w:val="20"/>
                <w:szCs w:val="20"/>
              </w:rPr>
              <w:t xml:space="preserve">Pandas</w:t>
            </w:r>
          </w:p>
        </w:tc>
        <w:tc>
          <w:tcPr>
            <w:tcW w:type="dxa" w:w="36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065A82"/>
                <w:sz w:val="20"/>
                <w:szCs w:val="20"/>
              </w:rPr>
              <w:t xml:space="preserve">Data Manipulation</w:t>
            </w:r>
          </w:p>
        </w:tc>
        <w:tc>
          <w:tcPr>
            <w:tcW w:type="dxa" w:w="37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DataFrame ingestion and transformation</w:t>
            </w:r>
          </w:p>
        </w:tc>
      </w:tr>
      <w:tr>
        <w:tc>
          <w:tcPr>
            <w:tcW w:type="dxa" w:w="20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2145E"/>
                <w:sz w:val="20"/>
                <w:szCs w:val="20"/>
              </w:rPr>
              <w:t xml:space="preserve">NumPy</w:t>
            </w:r>
          </w:p>
        </w:tc>
        <w:tc>
          <w:tcPr>
            <w:tcW w:type="dxa" w:w="36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065A82"/>
                <w:sz w:val="20"/>
                <w:szCs w:val="20"/>
              </w:rPr>
              <w:t xml:space="preserve">Numerical Computing</w:t>
            </w:r>
          </w:p>
        </w:tc>
        <w:tc>
          <w:tcPr>
            <w:tcW w:type="dxa" w:w="37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Vectorised array operations</w:t>
            </w:r>
          </w:p>
        </w:tc>
      </w:tr>
      <w:tr>
        <w:tc>
          <w:tcPr>
            <w:tcW w:type="dxa" w:w="20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b/>
                <w:bCs/>
                <w:color w:val="02145E"/>
                <w:sz w:val="20"/>
                <w:szCs w:val="20"/>
              </w:rPr>
              <w:t xml:space="preserve">Matplotlib</w:t>
            </w:r>
          </w:p>
        </w:tc>
        <w:tc>
          <w:tcPr>
            <w:tcW w:type="dxa" w:w="36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065A82"/>
                <w:sz w:val="20"/>
                <w:szCs w:val="20"/>
              </w:rPr>
              <w:t xml:space="preserve">Visualisation</w:t>
            </w:r>
          </w:p>
        </w:tc>
        <w:tc>
          <w:tcPr>
            <w:tcW w:type="dxa" w:w="37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Static charts and plots</w:t>
            </w:r>
          </w:p>
        </w:tc>
      </w:tr>
      <w:tr>
        <w:tc>
          <w:tcPr>
            <w:tcW w:type="dxa" w:w="20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2145E"/>
                <w:sz w:val="20"/>
                <w:szCs w:val="20"/>
              </w:rPr>
              <w:t xml:space="preserve">Seaborn</w:t>
            </w:r>
          </w:p>
        </w:tc>
        <w:tc>
          <w:tcPr>
            <w:tcW w:type="dxa" w:w="36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065A82"/>
                <w:sz w:val="20"/>
                <w:szCs w:val="20"/>
              </w:rPr>
              <w:t xml:space="preserve">Visualisation</w:t>
            </w:r>
          </w:p>
        </w:tc>
        <w:tc>
          <w:tcPr>
            <w:tcW w:type="dxa" w:w="37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Statistical data visualisation</w:t>
            </w:r>
          </w:p>
        </w:tc>
      </w:tr>
      <w:tr>
        <w:tc>
          <w:tcPr>
            <w:tcW w:type="dxa" w:w="20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b/>
                <w:bCs/>
                <w:color w:val="02145E"/>
                <w:sz w:val="20"/>
                <w:szCs w:val="20"/>
              </w:rPr>
              <w:t xml:space="preserve">Plotly</w:t>
            </w:r>
          </w:p>
        </w:tc>
        <w:tc>
          <w:tcPr>
            <w:tcW w:type="dxa" w:w="36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065A82"/>
                <w:sz w:val="20"/>
                <w:szCs w:val="20"/>
              </w:rPr>
              <w:t xml:space="preserve">Interactive Viz</w:t>
            </w:r>
          </w:p>
        </w:tc>
        <w:tc>
          <w:tcPr>
            <w:tcW w:type="dxa" w:w="37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Interactive dashboards and charts</w:t>
            </w:r>
          </w:p>
        </w:tc>
      </w:tr>
      <w:tr>
        <w:tc>
          <w:tcPr>
            <w:tcW w:type="dxa" w:w="20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2145E"/>
                <w:sz w:val="20"/>
                <w:szCs w:val="20"/>
              </w:rPr>
              <w:t xml:space="preserve">Requests</w:t>
            </w:r>
          </w:p>
        </w:tc>
        <w:tc>
          <w:tcPr>
            <w:tcW w:type="dxa" w:w="36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065A82"/>
                <w:sz w:val="20"/>
                <w:szCs w:val="20"/>
              </w:rPr>
              <w:t xml:space="preserve">Networking</w:t>
            </w:r>
          </w:p>
        </w:tc>
        <w:tc>
          <w:tcPr>
            <w:tcW w:type="dxa" w:w="37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HTTP calls to the MFAPI REST API</w:t>
            </w:r>
          </w:p>
        </w:tc>
      </w:tr>
      <w:tr>
        <w:tc>
          <w:tcPr>
            <w:tcW w:type="dxa" w:w="20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b/>
                <w:bCs/>
                <w:color w:val="02145E"/>
                <w:sz w:val="20"/>
                <w:szCs w:val="20"/>
              </w:rPr>
              <w:t xml:space="preserve">SQLAlchemy</w:t>
            </w:r>
          </w:p>
        </w:tc>
        <w:tc>
          <w:tcPr>
            <w:tcW w:type="dxa" w:w="36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065A82"/>
                <w:sz w:val="20"/>
                <w:szCs w:val="20"/>
              </w:rPr>
              <w:t xml:space="preserve">Database</w:t>
            </w:r>
          </w:p>
        </w:tc>
        <w:tc>
          <w:tcPr>
            <w:tcW w:type="dxa" w:w="37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ORM for future DB integration</w:t>
            </w:r>
          </w:p>
        </w:tc>
      </w:tr>
      <w:tr>
        <w:tc>
          <w:tcPr>
            <w:tcW w:type="dxa" w:w="20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2145E"/>
                <w:sz w:val="20"/>
                <w:szCs w:val="20"/>
              </w:rPr>
              <w:t xml:space="preserve">Google Colab</w:t>
            </w:r>
          </w:p>
        </w:tc>
        <w:tc>
          <w:tcPr>
            <w:tcW w:type="dxa" w:w="36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065A82"/>
                <w:sz w:val="20"/>
                <w:szCs w:val="20"/>
              </w:rPr>
              <w:t xml:space="preserve">Cloud Environment</w:t>
            </w:r>
          </w:p>
        </w:tc>
        <w:tc>
          <w:tcPr>
            <w:tcW w:type="dxa" w:w="37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Collaborative notebook execution</w:t>
            </w:r>
          </w:p>
        </w:tc>
      </w:tr>
      <w:tr>
        <w:tc>
          <w:tcPr>
            <w:tcW w:type="dxa" w:w="20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b/>
                <w:bCs/>
                <w:color w:val="02145E"/>
                <w:sz w:val="20"/>
                <w:szCs w:val="20"/>
              </w:rPr>
              <w:t xml:space="preserve">GitHub</w:t>
            </w:r>
          </w:p>
        </w:tc>
        <w:tc>
          <w:tcPr>
            <w:tcW w:type="dxa" w:w="36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065A82"/>
                <w:sz w:val="20"/>
                <w:szCs w:val="20"/>
              </w:rPr>
              <w:t xml:space="preserve">Version Control</w:t>
            </w:r>
          </w:p>
        </w:tc>
        <w:tc>
          <w:tcPr>
            <w:tcW w:type="dxa" w:w="37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Code repository and collaboration</w:t>
            </w:r>
          </w:p>
        </w:tc>
      </w:tr>
    </w:tbl>
    <w:p>
      <w:pPr>
        <w:spacing w:after="80" w:before="16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3.  Dataset Description</w:t>
      </w:r>
    </w:p>
    <w:p>
      <w:pPr>
        <w:spacing w:after="100" w:before="60" w:line="340" w:lineRule="auto"/>
        <w:jc w:val="both"/>
      </w:pPr>
      <w:r>
        <w:rPr>
          <w:rFonts w:ascii="Arial" w:cs="Arial" w:eastAsia="Arial" w:hAnsi="Arial"/>
          <w:color w:val="445A6F"/>
          <w:sz w:val="22"/>
          <w:szCs w:val="22"/>
        </w:rPr>
        <w:t xml:space="preserve">Ten datasets were provided for this project, each covering a distinct facet of the Indian mutual fund ecosystem. All datasets were loaded into Pandas DataFrames and stored in a centralised Python dictionary for efficient access throughout the pipeline.</w:t>
      </w:r>
    </w:p>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065A82" w:sz="4"/>
              <w:left w:val="single" w:color="065A82" w:sz="4"/>
              <w:bottom w:val="single" w:color="065A82" w:sz="4"/>
              <w:right w:val="single" w:color="065A82" w:sz="4"/>
            </w:tcBorders>
            <w:shd w:fill="065A82"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800"/>
            <w:tcBorders>
              <w:top w:val="single" w:color="065A82" w:sz="4"/>
              <w:left w:val="single" w:color="065A82" w:sz="4"/>
              <w:bottom w:val="single" w:color="065A82" w:sz="4"/>
              <w:right w:val="single" w:color="065A82" w:sz="4"/>
            </w:tcBorders>
            <w:shd w:fill="065A82"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Dataset Name</w:t>
            </w:r>
          </w:p>
        </w:tc>
        <w:tc>
          <w:tcPr>
            <w:tcW w:type="dxa" w:w="5960"/>
            <w:tcBorders>
              <w:top w:val="single" w:color="065A82" w:sz="4"/>
              <w:left w:val="single" w:color="065A82" w:sz="4"/>
              <w:bottom w:val="single" w:color="065A82" w:sz="4"/>
              <w:right w:val="single" w:color="065A82" w:sz="4"/>
            </w:tcBorders>
            <w:shd w:fill="065A8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6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1</w:t>
            </w:r>
          </w:p>
        </w:tc>
        <w:tc>
          <w:tcPr>
            <w:tcW w:type="dxa" w:w="28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Fund Master</w:t>
            </w:r>
          </w:p>
        </w:tc>
        <w:tc>
          <w:tcPr>
            <w:tcW w:type="dxa" w:w="596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Core scheme metadata — fund house, category, sub-category, risk level, AMFI code</w:t>
            </w:r>
          </w:p>
        </w:tc>
      </w:tr>
      <w:tr>
        <w:tc>
          <w:tcPr>
            <w:tcW w:type="dxa" w:w="6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2</w:t>
            </w:r>
          </w:p>
        </w:tc>
        <w:tc>
          <w:tcPr>
            <w:tcW w:type="dxa" w:w="28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NAV History</w:t>
            </w:r>
          </w:p>
        </w:tc>
        <w:tc>
          <w:tcPr>
            <w:tcW w:type="dxa" w:w="596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Daily Net Asset Value time-series for all registered mutual fund schemes</w:t>
            </w:r>
          </w:p>
        </w:tc>
      </w:tr>
      <w:tr>
        <w:tc>
          <w:tcPr>
            <w:tcW w:type="dxa" w:w="6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3</w:t>
            </w:r>
          </w:p>
        </w:tc>
        <w:tc>
          <w:tcPr>
            <w:tcW w:type="dxa" w:w="28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AUM by Fund House</w:t>
            </w:r>
          </w:p>
        </w:tc>
        <w:tc>
          <w:tcPr>
            <w:tcW w:type="dxa" w:w="596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Monthly Assets Under Management figures aggregated per Asset Management Company</w:t>
            </w:r>
          </w:p>
        </w:tc>
      </w:tr>
      <w:tr>
        <w:tc>
          <w:tcPr>
            <w:tcW w:type="dxa" w:w="6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4</w:t>
            </w:r>
          </w:p>
        </w:tc>
        <w:tc>
          <w:tcPr>
            <w:tcW w:type="dxa" w:w="28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Monthly SIP Inflows</w:t>
            </w:r>
          </w:p>
        </w:tc>
        <w:tc>
          <w:tcPr>
            <w:tcW w:type="dxa" w:w="596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Month-over-month Systematic Investment Plan inflow amounts across categories</w:t>
            </w:r>
          </w:p>
        </w:tc>
      </w:tr>
      <w:tr>
        <w:tc>
          <w:tcPr>
            <w:tcW w:type="dxa" w:w="6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5</w:t>
            </w:r>
          </w:p>
        </w:tc>
        <w:tc>
          <w:tcPr>
            <w:tcW w:type="dxa" w:w="28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Category Inflows</w:t>
            </w:r>
          </w:p>
        </w:tc>
        <w:tc>
          <w:tcPr>
            <w:tcW w:type="dxa" w:w="596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Net inflows broken down by scheme category (Equity, Debt, Hybrid, etc.)</w:t>
            </w:r>
          </w:p>
        </w:tc>
      </w:tr>
      <w:tr>
        <w:tc>
          <w:tcPr>
            <w:tcW w:type="dxa" w:w="6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6</w:t>
            </w:r>
          </w:p>
        </w:tc>
        <w:tc>
          <w:tcPr>
            <w:tcW w:type="dxa" w:w="28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Industry Folio Count</w:t>
            </w:r>
          </w:p>
        </w:tc>
        <w:tc>
          <w:tcPr>
            <w:tcW w:type="dxa" w:w="596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Total investor folios outstanding across the mutual fund industry</w:t>
            </w:r>
          </w:p>
        </w:tc>
      </w:tr>
      <w:tr>
        <w:tc>
          <w:tcPr>
            <w:tcW w:type="dxa" w:w="6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7</w:t>
            </w:r>
          </w:p>
        </w:tc>
        <w:tc>
          <w:tcPr>
            <w:tcW w:type="dxa" w:w="28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Scheme Performance</w:t>
            </w:r>
          </w:p>
        </w:tc>
        <w:tc>
          <w:tcPr>
            <w:tcW w:type="dxa" w:w="596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Trailing returns (1M / 3M / 6M / 1Y / 3Y / 5Y) per individual scheme</w:t>
            </w:r>
          </w:p>
        </w:tc>
      </w:tr>
      <w:tr>
        <w:tc>
          <w:tcPr>
            <w:tcW w:type="dxa" w:w="6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8</w:t>
            </w:r>
          </w:p>
        </w:tc>
        <w:tc>
          <w:tcPr>
            <w:tcW w:type="dxa" w:w="28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Investor Transactions</w:t>
            </w:r>
          </w:p>
        </w:tc>
        <w:tc>
          <w:tcPr>
            <w:tcW w:type="dxa" w:w="596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Folio-level buy, redeem, and switch transaction records</w:t>
            </w:r>
          </w:p>
        </w:tc>
      </w:tr>
      <w:tr>
        <w:tc>
          <w:tcPr>
            <w:tcW w:type="dxa" w:w="6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9</w:t>
            </w:r>
          </w:p>
        </w:tc>
        <w:tc>
          <w:tcPr>
            <w:tcW w:type="dxa" w:w="280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Portfolio Holdings</w:t>
            </w:r>
          </w:p>
        </w:tc>
        <w:tc>
          <w:tcPr>
            <w:tcW w:type="dxa" w:w="5960"/>
            <w:tcBorders>
              <w:top w:val="single" w:color="D0DCF0" w:sz="2"/>
              <w:left w:val="single" w:color="D0DCF0" w:sz="2"/>
              <w:bottom w:val="single" w:color="D0DCF0" w:sz="2"/>
              <w:right w:val="single" w:color="D0DCF0" w:sz="2"/>
            </w:tcBorders>
            <w:shd w:fill="FFFFFF"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Stock and sector-level portfolio composition disclosed per scheme</w:t>
            </w:r>
          </w:p>
        </w:tc>
      </w:tr>
      <w:tr>
        <w:tc>
          <w:tcPr>
            <w:tcW w:type="dxa" w:w="6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10</w:t>
            </w:r>
          </w:p>
        </w:tc>
        <w:tc>
          <w:tcPr>
            <w:tcW w:type="dxa" w:w="280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Benchmark Indices</w:t>
            </w:r>
          </w:p>
        </w:tc>
        <w:tc>
          <w:tcPr>
            <w:tcW w:type="dxa" w:w="5960"/>
            <w:tcBorders>
              <w:top w:val="single" w:color="D0DCF0" w:sz="2"/>
              <w:left w:val="single" w:color="D0DCF0" w:sz="2"/>
              <w:bottom w:val="single" w:color="D0DCF0" w:sz="2"/>
              <w:right w:val="single" w:color="D0DCF0" w:sz="2"/>
            </w:tcBorders>
            <w:shd w:fill="F0F4FA" w:val="clear"/>
            <w:tcMar>
              <w:top w:type="dxa" w:w="100"/>
              <w:left w:type="dxa" w:w="140"/>
              <w:bottom w:type="dxa" w:w="100"/>
              <w:right w:type="dxa" w:w="140"/>
            </w:tcMar>
            <w:vAlign w:val="center"/>
          </w:tcPr>
          <w:p>
            <w:r>
              <w:rPr>
                <w:rFonts w:ascii="Arial" w:cs="Arial" w:eastAsia="Arial" w:hAnsi="Arial"/>
                <w:b w:val="false"/>
                <w:bCs w:val="false"/>
                <w:color w:val="445A6F"/>
                <w:sz w:val="20"/>
                <w:szCs w:val="20"/>
              </w:rPr>
              <w:t xml:space="preserve">NIFTY 50, SENSEX, and other index values for fund performance benchmarking</w:t>
            </w:r>
          </w:p>
        </w:tc>
      </w:tr>
    </w:tbl>
    <w:p>
      <w:pPr>
        <w:spacing w:after="80" w:before="16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4.  Data Ingestion Process (ETL)</w:t>
      </w:r>
    </w:p>
    <w:p>
      <w:pPr>
        <w:spacing w:after="100" w:before="60" w:line="340" w:lineRule="auto"/>
        <w:jc w:val="both"/>
      </w:pPr>
      <w:r>
        <w:rPr>
          <w:rFonts w:ascii="Arial" w:cs="Arial" w:eastAsia="Arial" w:hAnsi="Arial"/>
          <w:color w:val="445A6F"/>
          <w:sz w:val="22"/>
          <w:szCs w:val="22"/>
        </w:rPr>
        <w:t xml:space="preserve">All ten CSV datasets were loaded into memory using a standardised ETL (Extract, Transform, Load) pipeline. The process was designed for reproducibility and extensibility, with each step logged for auditability.</w:t>
      </w:r>
    </w:p>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065A82" w:sz="4"/>
              <w:left w:val="single" w:color="065A82" w:sz="4"/>
              <w:bottom w:val="single" w:color="065A82" w:sz="4"/>
              <w:right w:val="single" w:color="065A82" w:sz="4"/>
            </w:tcBorders>
            <w:shd w:fill="065A82"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500"/>
            <w:tcBorders>
              <w:top w:val="single" w:color="065A82" w:sz="4"/>
              <w:left w:val="single" w:color="065A82" w:sz="4"/>
              <w:bottom w:val="single" w:color="065A82" w:sz="4"/>
              <w:right w:val="single" w:color="065A82" w:sz="4"/>
            </w:tcBorders>
            <w:shd w:fill="065A82"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6160"/>
            <w:tcBorders>
              <w:top w:val="single" w:color="065A82" w:sz="4"/>
              <w:left w:val="single" w:color="065A82" w:sz="4"/>
              <w:bottom w:val="single" w:color="065A82" w:sz="4"/>
              <w:right w:val="single" w:color="065A82" w:sz="4"/>
            </w:tcBorders>
            <w:shd w:fill="065A82"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700"/>
            <w:tcBorders>
              <w:top w:val="none" w:color="FFFFFF" w:sz="0"/>
              <w:left w:val="none" w:color="FFFFFF" w:sz="0"/>
              <w:bottom w:val="none" w:color="FFFFFF" w:sz="0"/>
              <w:right w:val="none" w:color="FFFFFF" w:sz="0"/>
            </w:tcBorders>
            <w:shd w:fill="02A87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500"/>
            <w:tcBorders>
              <w:top w:val="single" w:color="D0DCF0" w:sz="2"/>
              <w:left w:val="none" w:color="FFFFFF" w:sz="0"/>
              <w:bottom w:val="single" w:color="D0DCF0" w:sz="2"/>
              <w:right w:val="none" w:color="FFFFFF" w:sz="0"/>
            </w:tcBorders>
            <w:shd w:fill="F0F4FA" w:val="clear"/>
            <w:tcMar>
              <w:top w:type="dxa" w:w="100"/>
              <w:left w:type="dxa" w:w="140"/>
              <w:bottom w:type="dxa" w:w="100"/>
              <w:right w:type="dxa" w:w="140"/>
            </w:tcMar>
          </w:tcPr>
          <w:p>
            <w:r>
              <w:rPr>
                <w:rFonts w:ascii="Arial" w:cs="Arial" w:eastAsia="Arial" w:hAnsi="Arial"/>
                <w:b/>
                <w:bCs/>
                <w:color w:val="02145E"/>
                <w:sz w:val="22"/>
                <w:szCs w:val="22"/>
              </w:rPr>
              <w:t xml:space="preserve">Upload Datasets</w:t>
            </w:r>
          </w:p>
        </w:tc>
        <w:tc>
          <w:tcPr>
            <w:tcW w:type="dxa" w:w="6160"/>
            <w:tcBorders>
              <w:top w:val="single" w:color="D0DCF0" w:sz="2"/>
              <w:left w:val="none" w:color="FFFFFF" w:sz="0"/>
              <w:bottom w:val="single" w:color="D0DCF0" w:sz="2"/>
              <w:right w:val="none" w:color="FFFFFF" w:sz="0"/>
            </w:tcBorders>
            <w:shd w:fill="FFFFFF" w:val="clear"/>
            <w:tcMar>
              <w:top w:type="dxa" w:w="100"/>
              <w:left w:type="dxa" w:w="140"/>
              <w:bottom w:type="dxa" w:w="100"/>
              <w:right w:type="dxa" w:w="140"/>
            </w:tcMar>
          </w:tcPr>
          <w:p>
            <w:r>
              <w:rPr>
                <w:rFonts w:ascii="Arial" w:cs="Arial" w:eastAsia="Arial" w:hAnsi="Arial"/>
                <w:color w:val="445A6F"/>
                <w:sz w:val="20"/>
                <w:szCs w:val="20"/>
              </w:rPr>
              <w:t xml:space="preserve">CSV files uploaded to the Google Colab environment from local storage</w:t>
            </w:r>
          </w:p>
        </w:tc>
      </w:tr>
      <w:tr>
        <w:tc>
          <w:tcPr>
            <w:tcW w:type="dxa" w:w="700"/>
            <w:tcBorders>
              <w:top w:val="none" w:color="FFFFFF" w:sz="0"/>
              <w:left w:val="none" w:color="FFFFFF" w:sz="0"/>
              <w:bottom w:val="none" w:color="FFFFFF" w:sz="0"/>
              <w:right w:val="none" w:color="FFFFFF" w:sz="0"/>
            </w:tcBorders>
            <w:shd w:fill="02A87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500"/>
            <w:tcBorders>
              <w:top w:val="single" w:color="D0DCF0" w:sz="2"/>
              <w:left w:val="none" w:color="FFFFFF" w:sz="0"/>
              <w:bottom w:val="single" w:color="D0DCF0" w:sz="2"/>
              <w:right w:val="none" w:color="FFFFFF" w:sz="0"/>
            </w:tcBorders>
            <w:shd w:fill="F0F4FA" w:val="clear"/>
            <w:tcMar>
              <w:top w:type="dxa" w:w="100"/>
              <w:left w:type="dxa" w:w="140"/>
              <w:bottom w:type="dxa" w:w="100"/>
              <w:right w:type="dxa" w:w="140"/>
            </w:tcMar>
          </w:tcPr>
          <w:p>
            <w:r>
              <w:rPr>
                <w:rFonts w:ascii="Arial" w:cs="Arial" w:eastAsia="Arial" w:hAnsi="Arial"/>
                <w:b/>
                <w:bCs/>
                <w:color w:val="02145E"/>
                <w:sz w:val="22"/>
                <w:szCs w:val="22"/>
              </w:rPr>
              <w:t xml:space="preserve">Load via Pandas</w:t>
            </w:r>
          </w:p>
        </w:tc>
        <w:tc>
          <w:tcPr>
            <w:tcW w:type="dxa" w:w="6160"/>
            <w:tcBorders>
              <w:top w:val="single" w:color="D0DCF0" w:sz="2"/>
              <w:left w:val="none" w:color="FFFFFF" w:sz="0"/>
              <w:bottom w:val="single" w:color="D0DCF0" w:sz="2"/>
              <w:right w:val="none" w:color="FFFFFF" w:sz="0"/>
            </w:tcBorders>
            <w:shd w:fill="FFFFFF" w:val="clear"/>
            <w:tcMar>
              <w:top w:type="dxa" w:w="100"/>
              <w:left w:type="dxa" w:w="140"/>
              <w:bottom w:type="dxa" w:w="100"/>
              <w:right w:type="dxa" w:w="140"/>
            </w:tcMar>
          </w:tcPr>
          <w:p>
            <w:r>
              <w:rPr>
                <w:rFonts w:ascii="Arial" w:cs="Arial" w:eastAsia="Arial" w:hAnsi="Arial"/>
                <w:color w:val="445A6F"/>
                <w:sz w:val="20"/>
                <w:szCs w:val="20"/>
              </w:rPr>
              <w:t xml:space="preserve">pd.read_csv() used with explicit dtype declarations and encoding handling</w:t>
            </w:r>
          </w:p>
        </w:tc>
      </w:tr>
      <w:tr>
        <w:tc>
          <w:tcPr>
            <w:tcW w:type="dxa" w:w="700"/>
            <w:tcBorders>
              <w:top w:val="none" w:color="FFFFFF" w:sz="0"/>
              <w:left w:val="none" w:color="FFFFFF" w:sz="0"/>
              <w:bottom w:val="none" w:color="FFFFFF" w:sz="0"/>
              <w:right w:val="none" w:color="FFFFFF" w:sz="0"/>
            </w:tcBorders>
            <w:shd w:fill="02A87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500"/>
            <w:tcBorders>
              <w:top w:val="single" w:color="D0DCF0" w:sz="2"/>
              <w:left w:val="none" w:color="FFFFFF" w:sz="0"/>
              <w:bottom w:val="single" w:color="D0DCF0" w:sz="2"/>
              <w:right w:val="none" w:color="FFFFFF" w:sz="0"/>
            </w:tcBorders>
            <w:shd w:fill="F0F4FA" w:val="clear"/>
            <w:tcMar>
              <w:top w:type="dxa" w:w="100"/>
              <w:left w:type="dxa" w:w="140"/>
              <w:bottom w:type="dxa" w:w="100"/>
              <w:right w:type="dxa" w:w="140"/>
            </w:tcMar>
          </w:tcPr>
          <w:p>
            <w:r>
              <w:rPr>
                <w:rFonts w:ascii="Arial" w:cs="Arial" w:eastAsia="Arial" w:hAnsi="Arial"/>
                <w:b/>
                <w:bCs/>
                <w:color w:val="02145E"/>
                <w:sz w:val="22"/>
                <w:szCs w:val="22"/>
              </w:rPr>
              <w:t xml:space="preserve">Store in Dictionary</w:t>
            </w:r>
          </w:p>
        </w:tc>
        <w:tc>
          <w:tcPr>
            <w:tcW w:type="dxa" w:w="6160"/>
            <w:tcBorders>
              <w:top w:val="single" w:color="D0DCF0" w:sz="2"/>
              <w:left w:val="none" w:color="FFFFFF" w:sz="0"/>
              <w:bottom w:val="single" w:color="D0DCF0" w:sz="2"/>
              <w:right w:val="none" w:color="FFFFFF" w:sz="0"/>
            </w:tcBorders>
            <w:shd w:fill="FFFFFF" w:val="clear"/>
            <w:tcMar>
              <w:top w:type="dxa" w:w="100"/>
              <w:left w:type="dxa" w:w="140"/>
              <w:bottom w:type="dxa" w:w="100"/>
              <w:right w:type="dxa" w:w="140"/>
            </w:tcMar>
          </w:tcPr>
          <w:p>
            <w:r>
              <w:rPr>
                <w:rFonts w:ascii="Arial" w:cs="Arial" w:eastAsia="Arial" w:hAnsi="Arial"/>
                <w:color w:val="445A6F"/>
                <w:sz w:val="20"/>
                <w:szCs w:val="20"/>
              </w:rPr>
              <w:t xml:space="preserve">Each DataFrame stored in a Python dict (e.g. data['fund_master']) for structured access</w:t>
            </w:r>
          </w:p>
        </w:tc>
      </w:tr>
      <w:tr>
        <w:tc>
          <w:tcPr>
            <w:tcW w:type="dxa" w:w="700"/>
            <w:tcBorders>
              <w:top w:val="none" w:color="FFFFFF" w:sz="0"/>
              <w:left w:val="none" w:color="FFFFFF" w:sz="0"/>
              <w:bottom w:val="none" w:color="FFFFFF" w:sz="0"/>
              <w:right w:val="none" w:color="FFFFFF" w:sz="0"/>
            </w:tcBorders>
            <w:shd w:fill="02A87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500"/>
            <w:tcBorders>
              <w:top w:val="single" w:color="D0DCF0" w:sz="2"/>
              <w:left w:val="none" w:color="FFFFFF" w:sz="0"/>
              <w:bottom w:val="single" w:color="D0DCF0" w:sz="2"/>
              <w:right w:val="none" w:color="FFFFFF" w:sz="0"/>
            </w:tcBorders>
            <w:shd w:fill="F0F4FA" w:val="clear"/>
            <w:tcMar>
              <w:top w:type="dxa" w:w="100"/>
              <w:left w:type="dxa" w:w="140"/>
              <w:bottom w:type="dxa" w:w="100"/>
              <w:right w:type="dxa" w:w="140"/>
            </w:tcMar>
          </w:tcPr>
          <w:p>
            <w:r>
              <w:rPr>
                <w:rFonts w:ascii="Arial" w:cs="Arial" w:eastAsia="Arial" w:hAnsi="Arial"/>
                <w:b/>
                <w:bCs/>
                <w:color w:val="02145E"/>
                <w:sz w:val="22"/>
                <w:szCs w:val="22"/>
              </w:rPr>
              <w:t xml:space="preserve">Schema Validation</w:t>
            </w:r>
          </w:p>
        </w:tc>
        <w:tc>
          <w:tcPr>
            <w:tcW w:type="dxa" w:w="6160"/>
            <w:tcBorders>
              <w:top w:val="single" w:color="D0DCF0" w:sz="2"/>
              <w:left w:val="none" w:color="FFFFFF" w:sz="0"/>
              <w:bottom w:val="single" w:color="D0DCF0" w:sz="2"/>
              <w:right w:val="none" w:color="FFFFFF" w:sz="0"/>
            </w:tcBorders>
            <w:shd w:fill="FFFFFF" w:val="clear"/>
            <w:tcMar>
              <w:top w:type="dxa" w:w="100"/>
              <w:left w:type="dxa" w:w="140"/>
              <w:bottom w:type="dxa" w:w="100"/>
              <w:right w:type="dxa" w:w="140"/>
            </w:tcMar>
          </w:tcPr>
          <w:p>
            <w:r>
              <w:rPr>
                <w:rFonts w:ascii="Arial" w:cs="Arial" w:eastAsia="Arial" w:hAnsi="Arial"/>
                <w:color w:val="445A6F"/>
                <w:sz w:val="20"/>
                <w:szCs w:val="20"/>
              </w:rPr>
              <w:t xml:space="preserve">Column names, data types, and row counts verified against expected specifications</w:t>
            </w:r>
          </w:p>
        </w:tc>
      </w:tr>
      <w:tr>
        <w:tc>
          <w:tcPr>
            <w:tcW w:type="dxa" w:w="700"/>
            <w:tcBorders>
              <w:top w:val="none" w:color="FFFFFF" w:sz="0"/>
              <w:left w:val="none" w:color="FFFFFF" w:sz="0"/>
              <w:bottom w:val="none" w:color="FFFFFF" w:sz="0"/>
              <w:right w:val="none" w:color="FFFFFF" w:sz="0"/>
            </w:tcBorders>
            <w:shd w:fill="02A87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500"/>
            <w:tcBorders>
              <w:top w:val="single" w:color="D0DCF0" w:sz="2"/>
              <w:left w:val="none" w:color="FFFFFF" w:sz="0"/>
              <w:bottom w:val="single" w:color="D0DCF0" w:sz="2"/>
              <w:right w:val="none" w:color="FFFFFF" w:sz="0"/>
            </w:tcBorders>
            <w:shd w:fill="F0F4FA" w:val="clear"/>
            <w:tcMar>
              <w:top w:type="dxa" w:w="100"/>
              <w:left w:type="dxa" w:w="140"/>
              <w:bottom w:type="dxa" w:w="100"/>
              <w:right w:type="dxa" w:w="140"/>
            </w:tcMar>
          </w:tcPr>
          <w:p>
            <w:r>
              <w:rPr>
                <w:rFonts w:ascii="Arial" w:cs="Arial" w:eastAsia="Arial" w:hAnsi="Arial"/>
                <w:b/>
                <w:bCs/>
                <w:color w:val="02145E"/>
                <w:sz w:val="22"/>
                <w:szCs w:val="22"/>
              </w:rPr>
              <w:t xml:space="preserve">Missing Value Check</w:t>
            </w:r>
          </w:p>
        </w:tc>
        <w:tc>
          <w:tcPr>
            <w:tcW w:type="dxa" w:w="6160"/>
            <w:tcBorders>
              <w:top w:val="single" w:color="D0DCF0" w:sz="2"/>
              <w:left w:val="none" w:color="FFFFFF" w:sz="0"/>
              <w:bottom w:val="single" w:color="D0DCF0" w:sz="2"/>
              <w:right w:val="none" w:color="FFFFFF" w:sz="0"/>
            </w:tcBorders>
            <w:shd w:fill="FFFFFF" w:val="clear"/>
            <w:tcMar>
              <w:top w:type="dxa" w:w="100"/>
              <w:left w:type="dxa" w:w="140"/>
              <w:bottom w:type="dxa" w:w="100"/>
              <w:right w:type="dxa" w:w="140"/>
            </w:tcMar>
          </w:tcPr>
          <w:p>
            <w:r>
              <w:rPr>
                <w:rFonts w:ascii="Arial" w:cs="Arial" w:eastAsia="Arial" w:hAnsi="Arial"/>
                <w:color w:val="445A6F"/>
                <w:sz w:val="20"/>
                <w:szCs w:val="20"/>
              </w:rPr>
              <w:t xml:space="preserve">df.isnull().sum() applied per dataset; columns with nulls flagged for downstream handling</w:t>
            </w:r>
          </w:p>
        </w:tc>
      </w:tr>
      <w:tr>
        <w:tc>
          <w:tcPr>
            <w:tcW w:type="dxa" w:w="700"/>
            <w:tcBorders>
              <w:top w:val="none" w:color="FFFFFF" w:sz="0"/>
              <w:left w:val="none" w:color="FFFFFF" w:sz="0"/>
              <w:bottom w:val="none" w:color="FFFFFF" w:sz="0"/>
              <w:right w:val="none" w:color="FFFFFF" w:sz="0"/>
            </w:tcBorders>
            <w:shd w:fill="02A87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2500"/>
            <w:tcBorders>
              <w:top w:val="single" w:color="D0DCF0" w:sz="2"/>
              <w:left w:val="none" w:color="FFFFFF" w:sz="0"/>
              <w:bottom w:val="single" w:color="D0DCF0" w:sz="2"/>
              <w:right w:val="none" w:color="FFFFFF" w:sz="0"/>
            </w:tcBorders>
            <w:shd w:fill="F0F4FA" w:val="clear"/>
            <w:tcMar>
              <w:top w:type="dxa" w:w="100"/>
              <w:left w:type="dxa" w:w="140"/>
              <w:bottom w:type="dxa" w:w="100"/>
              <w:right w:type="dxa" w:w="140"/>
            </w:tcMar>
          </w:tcPr>
          <w:p>
            <w:r>
              <w:rPr>
                <w:rFonts w:ascii="Arial" w:cs="Arial" w:eastAsia="Arial" w:hAnsi="Arial"/>
                <w:b/>
                <w:bCs/>
                <w:color w:val="02145E"/>
                <w:sz w:val="22"/>
                <w:szCs w:val="22"/>
              </w:rPr>
              <w:t xml:space="preserve">Duplicate Detection</w:t>
            </w:r>
          </w:p>
        </w:tc>
        <w:tc>
          <w:tcPr>
            <w:tcW w:type="dxa" w:w="6160"/>
            <w:tcBorders>
              <w:top w:val="single" w:color="D0DCF0" w:sz="2"/>
              <w:left w:val="none" w:color="FFFFFF" w:sz="0"/>
              <w:bottom w:val="single" w:color="D0DCF0" w:sz="2"/>
              <w:right w:val="none" w:color="FFFFFF" w:sz="0"/>
            </w:tcBorders>
            <w:shd w:fill="FFFFFF" w:val="clear"/>
            <w:tcMar>
              <w:top w:type="dxa" w:w="100"/>
              <w:left w:type="dxa" w:w="140"/>
              <w:bottom w:type="dxa" w:w="100"/>
              <w:right w:type="dxa" w:w="140"/>
            </w:tcMar>
          </w:tcPr>
          <w:p>
            <w:r>
              <w:rPr>
                <w:rFonts w:ascii="Arial" w:cs="Arial" w:eastAsia="Arial" w:hAnsi="Arial"/>
                <w:color w:val="445A6F"/>
                <w:sz w:val="20"/>
                <w:szCs w:val="20"/>
              </w:rPr>
              <w:t xml:space="preserve">df.duplicated() scan executed; key-field level deduplication applied where required</w:t>
            </w:r>
          </w:p>
        </w:tc>
      </w:tr>
      <w:tr>
        <w:tc>
          <w:tcPr>
            <w:tcW w:type="dxa" w:w="700"/>
            <w:tcBorders>
              <w:top w:val="none" w:color="FFFFFF" w:sz="0"/>
              <w:left w:val="none" w:color="FFFFFF" w:sz="0"/>
              <w:bottom w:val="none" w:color="FFFFFF" w:sz="0"/>
              <w:right w:val="none" w:color="FFFFFF" w:sz="0"/>
            </w:tcBorders>
            <w:shd w:fill="02A87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2500"/>
            <w:tcBorders>
              <w:top w:val="single" w:color="D0DCF0" w:sz="2"/>
              <w:left w:val="none" w:color="FFFFFF" w:sz="0"/>
              <w:bottom w:val="single" w:color="D0DCF0" w:sz="2"/>
              <w:right w:val="none" w:color="FFFFFF" w:sz="0"/>
            </w:tcBorders>
            <w:shd w:fill="F0F4FA" w:val="clear"/>
            <w:tcMar>
              <w:top w:type="dxa" w:w="100"/>
              <w:left w:type="dxa" w:w="140"/>
              <w:bottom w:type="dxa" w:w="100"/>
              <w:right w:type="dxa" w:w="140"/>
            </w:tcMar>
          </w:tcPr>
          <w:p>
            <w:r>
              <w:rPr>
                <w:rFonts w:ascii="Arial" w:cs="Arial" w:eastAsia="Arial" w:hAnsi="Arial"/>
                <w:b/>
                <w:bCs/>
                <w:color w:val="02145E"/>
                <w:sz w:val="22"/>
                <w:szCs w:val="22"/>
              </w:rPr>
              <w:t xml:space="preserve">Exploratory Review</w:t>
            </w:r>
          </w:p>
        </w:tc>
        <w:tc>
          <w:tcPr>
            <w:tcW w:type="dxa" w:w="6160"/>
            <w:tcBorders>
              <w:top w:val="single" w:color="D0DCF0" w:sz="2"/>
              <w:left w:val="none" w:color="FFFFFF" w:sz="0"/>
              <w:bottom w:val="single" w:color="D0DCF0" w:sz="2"/>
              <w:right w:val="none" w:color="FFFFFF" w:sz="0"/>
            </w:tcBorders>
            <w:shd w:fill="FFFFFF" w:val="clear"/>
            <w:tcMar>
              <w:top w:type="dxa" w:w="100"/>
              <w:left w:type="dxa" w:w="140"/>
              <w:bottom w:type="dxa" w:w="100"/>
              <w:right w:type="dxa" w:w="140"/>
            </w:tcMar>
          </w:tcPr>
          <w:p>
            <w:r>
              <w:rPr>
                <w:rFonts w:ascii="Arial" w:cs="Arial" w:eastAsia="Arial" w:hAnsi="Arial"/>
                <w:color w:val="445A6F"/>
                <w:sz w:val="20"/>
                <w:szCs w:val="20"/>
              </w:rPr>
              <w:t xml:space="preserve">df.shape, df.describe(), and value_counts() used for initial statistical profiling</w:t>
            </w:r>
          </w:p>
        </w:tc>
      </w:tr>
    </w:tbl>
    <w:p>
      <w:pPr>
        <w:spacing w:after="80" w:before="16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5.  Data Quality Assessment</w:t>
      </w:r>
    </w:p>
    <w:p>
      <w:pPr>
        <w:spacing w:after="100" w:before="60" w:line="340" w:lineRule="auto"/>
        <w:jc w:val="both"/>
      </w:pPr>
      <w:r>
        <w:rPr>
          <w:rFonts w:ascii="Arial" w:cs="Arial" w:eastAsia="Arial" w:hAnsi="Arial"/>
          <w:color w:val="445A6F"/>
          <w:sz w:val="22"/>
          <w:szCs w:val="22"/>
        </w:rPr>
        <w:t xml:space="preserve">A systematic data quality review was conducted across all ten datasets before proceeding to analysis. The validation framework covered four key dimensions:</w:t>
      </w:r>
    </w:p>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Validation Check</w:t>
            </w:r>
          </w:p>
        </w:tc>
        <w:tc>
          <w:tcPr>
            <w:tcW w:type="dxa" w:w="61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Method &amp; Tool</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Dataset Shape Analysis</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df.shape — rows × columns compared against expected record counts</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Data Type Verification</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df.dtypes — numeric, datetime, and categorical types confirmed per column</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Missing Value Detection</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df.isnull().sum() — column-wise null counts logged and reviewed</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Duplicate Record Scan</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df.duplicated() — exact and key-field duplicates identified and resolved</w:t>
            </w:r>
          </w:p>
        </w:tc>
      </w:tr>
    </w:tbl>
    <w:p>
      <w:pPr>
        <w:spacing w:after="60" w:before="120"/>
      </w:pPr>
      <w:r>
        <w:t xml:space="preserve"/>
      </w:r>
    </w:p>
    <w:p>
      <w:pPr>
        <w:pStyle w:val="Heading2"/>
        <w:spacing w:after="80" w:before="240"/>
      </w:pPr>
      <w:r>
        <w:rPr>
          <w:rFonts w:ascii="Arial" w:cs="Arial" w:eastAsia="Arial" w:hAnsi="Arial"/>
          <w:b/>
          <w:bCs/>
          <w:color w:val="065A82"/>
          <w:sz w:val="24"/>
          <w:szCs w:val="24"/>
        </w:rPr>
        <w:t xml:space="preserve">5.1  Key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Most datasets contained no missing values; sparse fields in Portfolio Holdings were noted and treated as optional attributes.</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Monthly SIP Inflows dataset contained a small number of missing values, to be handled during the cleaning phase.</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No significant duplicate records were identified across any of the ten datasets.</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Dataset structures and schema definitions were consistent and suitable for downstream analytical pipelines.</w:t>
            </w:r>
          </w:p>
        </w:tc>
      </w:tr>
    </w:tbl>
    <w:p>
      <w:pPr>
        <w:spacing w:after="80" w:before="16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6.  Exploratory Analysis — Fund Master</w:t>
      </w:r>
    </w:p>
    <w:p>
      <w:pPr>
        <w:spacing w:after="100" w:before="60" w:line="340" w:lineRule="auto"/>
        <w:jc w:val="both"/>
      </w:pPr>
      <w:r>
        <w:rPr>
          <w:rFonts w:ascii="Arial" w:cs="Arial" w:eastAsia="Arial" w:hAnsi="Arial"/>
          <w:color w:val="445A6F"/>
          <w:sz w:val="22"/>
          <w:szCs w:val="22"/>
        </w:rPr>
        <w:t xml:space="preserve">An in-depth exploratory analysis was performed on the Fund Master dataset, which serves as the primary reference table linking scheme identifiers to fund attributes.</w:t>
      </w:r>
    </w:p>
    <w:p>
      <w:pPr>
        <w:spacing w:after="20" w:before="60"/>
      </w:pPr>
      <w:r>
        <w:t xml:space="preserve"/>
      </w:r>
    </w:p>
    <w:p>
      <w:pPr>
        <w:pStyle w:val="Heading2"/>
        <w:spacing w:after="80" w:before="240"/>
      </w:pPr>
      <w:r>
        <w:rPr>
          <w:rFonts w:ascii="Arial" w:cs="Arial" w:eastAsia="Arial" w:hAnsi="Arial"/>
          <w:b/>
          <w:bCs/>
          <w:color w:val="065A82"/>
          <w:sz w:val="24"/>
          <w:szCs w:val="24"/>
        </w:rPr>
        <w:t xml:space="preserve">6.1  Key Findings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Total Fund Houses</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10 distinct Asset Management Companies (AMCs) identified</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Broad Categories</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Equity, Debt, Hybrid, Solution-Oriented</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Popular Sub-Categories</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Large Cap, Small Cap, Mid Cap, Flexi Cap, Value, ELSS, Gilt, Liquid, Index/ETF</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Risk Attributes</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Risk-o-meter ratings and benchmark indices reviewed per scheme</w:t>
            </w:r>
          </w:p>
        </w:tc>
      </w:tr>
    </w:tbl>
    <w:p>
      <w:pPr>
        <w:spacing w:after="60" w:before="120"/>
      </w:pPr>
      <w:r>
        <w:t xml:space="preserve"/>
      </w:r>
    </w:p>
    <w:p>
      <w:pPr>
        <w:pStyle w:val="Heading2"/>
        <w:spacing w:after="80" w:before="240"/>
      </w:pPr>
      <w:r>
        <w:rPr>
          <w:rFonts w:ascii="Arial" w:cs="Arial" w:eastAsia="Arial" w:hAnsi="Arial"/>
          <w:b/>
          <w:bCs/>
          <w:color w:val="065A82"/>
          <w:sz w:val="24"/>
          <w:szCs w:val="24"/>
        </w:rPr>
        <w:t xml:space="preserve">6.2  Fund Houses Identified</w:t>
      </w:r>
    </w:p>
    <w:p>
      <w:pPr>
        <w:spacing w:after="100" w:before="60" w:line="340" w:lineRule="auto"/>
        <w:jc w:val="both"/>
      </w:pPr>
      <w:r>
        <w:rPr>
          <w:rFonts w:ascii="Arial" w:cs="Arial" w:eastAsia="Arial" w:hAnsi="Arial"/>
          <w:color w:val="445A6F"/>
          <w:sz w:val="22"/>
          <w:szCs w:val="22"/>
        </w:rPr>
        <w:t xml:space="preserve">The following ten AMCs are represented in the Fund Master dataset:</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408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SBI Mutual Fund</w:t>
            </w:r>
          </w:p>
        </w:tc>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408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HDFC Mutual Fund</w:t>
            </w:r>
          </w:p>
        </w:tc>
      </w:tr>
      <w:tr>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408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ICICI Prudential MF</w:t>
            </w:r>
          </w:p>
        </w:tc>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408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Nippon India MF</w:t>
            </w:r>
          </w:p>
        </w:tc>
      </w:tr>
      <w:tr>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408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Kotak Mahindra MF</w:t>
            </w:r>
          </w:p>
        </w:tc>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408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Axis Mutual Fund</w:t>
            </w:r>
          </w:p>
        </w:tc>
      </w:tr>
      <w:tr>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408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Aditya Birla Sun Life MF</w:t>
            </w:r>
          </w:p>
        </w:tc>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408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UTI Mutual Fund</w:t>
            </w:r>
          </w:p>
        </w:tc>
      </w:tr>
      <w:tr>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w:t>
            </w:r>
          </w:p>
        </w:tc>
        <w:tc>
          <w:tcPr>
            <w:tcW w:type="dxa" w:w="408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Mirae Asset MF</w:t>
            </w:r>
          </w:p>
        </w:tc>
        <w:tc>
          <w:tcPr>
            <w:tcW w:type="dxa" w:w="600"/>
            <w:tcBorders>
              <w:top w:val="single" w:color="D0DCF0" w:sz="2"/>
              <w:left w:val="single" w:color="D0DCF0" w:sz="2"/>
              <w:bottom w:val="single" w:color="D0DCF0" w:sz="2"/>
              <w:right w:val="single" w:color="D0DCF0" w:sz="2"/>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w:t>
            </w:r>
          </w:p>
        </w:tc>
        <w:tc>
          <w:tcPr>
            <w:tcW w:type="dxa" w:w="408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DSP Mutual Fund</w:t>
            </w:r>
          </w:p>
        </w:tc>
      </w:tr>
    </w:tbl>
    <w:p>
      <w:pPr>
        <w:spacing w:after="80" w:before="16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7.  AMFI Code Validation</w:t>
      </w:r>
    </w:p>
    <w:p>
      <w:pPr>
        <w:spacing w:after="100" w:before="60" w:line="340" w:lineRule="auto"/>
        <w:jc w:val="both"/>
      </w:pPr>
      <w:r>
        <w:rPr>
          <w:rFonts w:ascii="Arial" w:cs="Arial" w:eastAsia="Arial" w:hAnsi="Arial"/>
          <w:color w:val="445A6F"/>
          <w:sz w:val="22"/>
          <w:szCs w:val="22"/>
        </w:rPr>
        <w:t xml:space="preserve">AMFI (Association of Mutual Funds in India) scheme codes serve as the primary identifiers linking scheme records across datasets. A cross-dataset validation was performed between the Fund Master and NAV History datasets to ensure referential integrity.</w:t>
      </w:r>
    </w:p>
    <w:p>
      <w:pPr>
        <w:spacing w:after="40" w:before="60"/>
      </w:pPr>
      <w:r>
        <w:t xml:space="preserve"/>
      </w:r>
    </w:p>
    <w:p>
      <w:pPr>
        <w:spacing w:after="100" w:before="60" w:line="340" w:lineRule="auto"/>
        <w:jc w:val="both"/>
      </w:pPr>
      <w:r>
        <w:rPr>
          <w:rFonts w:ascii="Arial" w:cs="Arial" w:eastAsia="Arial" w:hAnsi="Arial"/>
          <w:color w:val="445A6F"/>
          <w:sz w:val="22"/>
          <w:szCs w:val="22"/>
        </w:rPr>
        <w:t xml:space="preserve">The validation process confirmed that all scheme identifiers present in the NAV History dataset matched corresponding entries in the Fund Master dataset. This step is critical to prevent orphaned records during joins and aggregations in later analytical phases.</w:t>
      </w:r>
    </w:p>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Datasets Validated</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Fund Master  ↔  NAV History</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Validation Method</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Set intersection of AMFI codes across both datasets</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Outcome</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All scheme codes matched — referential integrity confirmed</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Significance</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Prevents data loss during multi-dataset joins and aggregations</w:t>
            </w:r>
          </w:p>
        </w:tc>
      </w:tr>
    </w:tbl>
    <w:p>
      <w:pPr>
        <w:spacing w:after="80" w:before="16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8.  Live NAV Data Fetching</w:t>
      </w:r>
    </w:p>
    <w:p>
      <w:pPr>
        <w:spacing w:after="100" w:before="60" w:line="340" w:lineRule="auto"/>
        <w:jc w:val="both"/>
      </w:pPr>
      <w:r>
        <w:rPr>
          <w:rFonts w:ascii="Arial" w:cs="Arial" w:eastAsia="Arial" w:hAnsi="Arial"/>
          <w:color w:val="445A6F"/>
          <w:sz w:val="22"/>
          <w:szCs w:val="22"/>
        </w:rPr>
        <w:t xml:space="preserve">Real-time NAV data was fetched for six large-cap schemes using the MFAPI public REST API. This integration enables live fund performance tracking and provides a foundation for real-time dashboards in subsequent project phases.</w:t>
      </w:r>
    </w:p>
    <w:p>
      <w:pPr>
        <w:spacing w:after="40" w:before="60"/>
      </w:pPr>
      <w:r>
        <w:t xml:space="preserve"/>
      </w:r>
    </w:p>
    <w:p>
      <w:pPr>
        <w:pStyle w:val="Heading2"/>
        <w:spacing w:after="80" w:before="240"/>
      </w:pPr>
      <w:r>
        <w:rPr>
          <w:rFonts w:ascii="Arial" w:cs="Arial" w:eastAsia="Arial" w:hAnsi="Arial"/>
          <w:b/>
          <w:bCs/>
          <w:color w:val="065A82"/>
          <w:sz w:val="24"/>
          <w:szCs w:val="24"/>
        </w:rPr>
        <w:t xml:space="preserve">8.1  API Details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API Service</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MFAPI.in — Open Indian Mutual Fund API</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Endpoint</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https://api.mfapi.in/mf/{scheme_code}</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Library Used</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Python Requests library</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Output Format</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JSON → Pandas DataFrame → CSV export</w:t>
            </w:r>
          </w:p>
        </w:tc>
      </w:tr>
    </w:tbl>
    <w:p>
      <w:pPr>
        <w:spacing w:after="60" w:before="120"/>
      </w:pPr>
      <w:r>
        <w:t xml:space="preserve"/>
      </w:r>
    </w:p>
    <w:p>
      <w:pPr>
        <w:pStyle w:val="Heading2"/>
        <w:spacing w:after="80" w:before="240"/>
      </w:pPr>
      <w:r>
        <w:rPr>
          <w:rFonts w:ascii="Arial" w:cs="Arial" w:eastAsia="Arial" w:hAnsi="Arial"/>
          <w:b/>
          <w:bCs/>
          <w:color w:val="065A82"/>
          <w:sz w:val="24"/>
          <w:szCs w:val="24"/>
        </w:rPr>
        <w:t xml:space="preserve">8.2  Schemes Selected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900"/>
        <w:gridCol w:w="3360"/>
      </w:tblGrid>
      <w:tr>
        <w:tc>
          <w:tcPr>
            <w:tcW w:type="dxa" w:w="6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35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Scheme Name</w:t>
            </w:r>
          </w:p>
        </w:tc>
        <w:tc>
          <w:tcPr>
            <w:tcW w:type="dxa" w:w="19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AMFI Code</w:t>
            </w:r>
          </w:p>
        </w:tc>
        <w:tc>
          <w:tcPr>
            <w:tcW w:type="dxa" w:w="33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Category</w:t>
            </w:r>
          </w:p>
        </w:tc>
      </w:tr>
      <w:tr>
        <w:tc>
          <w:tcPr>
            <w:tcW w:type="dxa" w:w="600"/>
            <w:tcBorders>
              <w:top w:val="single" w:color="D0DCF0" w:sz="2"/>
              <w:left w:val="single" w:color="D0DCF0" w:sz="2"/>
              <w:bottom w:val="single" w:color="D0DCF0" w:sz="2"/>
              <w:right w:val="single" w:color="D0DCF0" w:sz="2"/>
            </w:tcBorders>
            <w:shd w:fill="F0F4FA" w:val="clear"/>
            <w:tcMar>
              <w:top w:type="dxa" w:w="80"/>
              <w:left w:type="dxa" w:w="120"/>
              <w:bottom w:type="dxa" w:w="80"/>
              <w:right w:type="dxa" w:w="120"/>
            </w:tcMar>
          </w:tcPr>
          <w:p>
            <w:pPr>
              <w:jc w:val="center"/>
            </w:pPr>
            <w:r>
              <w:rPr>
                <w:rFonts w:ascii="Arial" w:cs="Arial" w:eastAsia="Arial" w:hAnsi="Arial"/>
                <w:b/>
                <w:bCs/>
                <w:color w:val="065A82"/>
                <w:sz w:val="20"/>
                <w:szCs w:val="20"/>
              </w:rPr>
              <w:t xml:space="preserve">1</w:t>
            </w:r>
          </w:p>
        </w:tc>
        <w:tc>
          <w:tcPr>
            <w:tcW w:type="dxa" w:w="35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HDFC Top 100 Direct</w:t>
            </w:r>
          </w:p>
        </w:tc>
        <w:tc>
          <w:tcPr>
            <w:tcW w:type="dxa" w:w="19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2A87A"/>
                <w:sz w:val="20"/>
                <w:szCs w:val="20"/>
              </w:rPr>
              <w:t xml:space="preserve">119533</w:t>
            </w:r>
          </w:p>
        </w:tc>
        <w:tc>
          <w:tcPr>
            <w:tcW w:type="dxa" w:w="33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Large Cap — Direct Growth</w:t>
            </w:r>
          </w:p>
        </w:tc>
      </w:tr>
      <w:tr>
        <w:tc>
          <w:tcPr>
            <w:tcW w:type="dxa" w:w="600"/>
            <w:tcBorders>
              <w:top w:val="single" w:color="D0DCF0" w:sz="2"/>
              <w:left w:val="single" w:color="D0DCF0" w:sz="2"/>
              <w:bottom w:val="single" w:color="D0DCF0" w:sz="2"/>
              <w:right w:val="single" w:color="D0DCF0" w:sz="2"/>
            </w:tcBorders>
            <w:shd w:fill="FFFFFF" w:val="clear"/>
            <w:tcMar>
              <w:top w:type="dxa" w:w="80"/>
              <w:left w:type="dxa" w:w="120"/>
              <w:bottom w:type="dxa" w:w="80"/>
              <w:right w:type="dxa" w:w="120"/>
            </w:tcMar>
          </w:tcPr>
          <w:p>
            <w:pPr>
              <w:jc w:val="center"/>
            </w:pPr>
            <w:r>
              <w:rPr>
                <w:rFonts w:ascii="Arial" w:cs="Arial" w:eastAsia="Arial" w:hAnsi="Arial"/>
                <w:b/>
                <w:bCs/>
                <w:color w:val="065A82"/>
                <w:sz w:val="20"/>
                <w:szCs w:val="20"/>
              </w:rPr>
              <w:t xml:space="preserve">2</w:t>
            </w:r>
          </w:p>
        </w:tc>
        <w:tc>
          <w:tcPr>
            <w:tcW w:type="dxa" w:w="35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SBI Bluechip Fund</w:t>
            </w:r>
          </w:p>
        </w:tc>
        <w:tc>
          <w:tcPr>
            <w:tcW w:type="dxa" w:w="19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b/>
                <w:bCs/>
                <w:color w:val="02A87A"/>
                <w:sz w:val="20"/>
                <w:szCs w:val="20"/>
              </w:rPr>
              <w:t xml:space="preserve">125497</w:t>
            </w:r>
          </w:p>
        </w:tc>
        <w:tc>
          <w:tcPr>
            <w:tcW w:type="dxa" w:w="33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Large Cap — Direct Growth</w:t>
            </w:r>
          </w:p>
        </w:tc>
      </w:tr>
      <w:tr>
        <w:tc>
          <w:tcPr>
            <w:tcW w:type="dxa" w:w="600"/>
            <w:tcBorders>
              <w:top w:val="single" w:color="D0DCF0" w:sz="2"/>
              <w:left w:val="single" w:color="D0DCF0" w:sz="2"/>
              <w:bottom w:val="single" w:color="D0DCF0" w:sz="2"/>
              <w:right w:val="single" w:color="D0DCF0" w:sz="2"/>
            </w:tcBorders>
            <w:shd w:fill="F0F4FA" w:val="clear"/>
            <w:tcMar>
              <w:top w:type="dxa" w:w="80"/>
              <w:left w:type="dxa" w:w="120"/>
              <w:bottom w:type="dxa" w:w="80"/>
              <w:right w:type="dxa" w:w="120"/>
            </w:tcMar>
          </w:tcPr>
          <w:p>
            <w:pPr>
              <w:jc w:val="center"/>
            </w:pPr>
            <w:r>
              <w:rPr>
                <w:rFonts w:ascii="Arial" w:cs="Arial" w:eastAsia="Arial" w:hAnsi="Arial"/>
                <w:b/>
                <w:bCs/>
                <w:color w:val="065A82"/>
                <w:sz w:val="20"/>
                <w:szCs w:val="20"/>
              </w:rPr>
              <w:t xml:space="preserve">3</w:t>
            </w:r>
          </w:p>
        </w:tc>
        <w:tc>
          <w:tcPr>
            <w:tcW w:type="dxa" w:w="35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ICICI Prudential Bluechip Fund</w:t>
            </w:r>
          </w:p>
        </w:tc>
        <w:tc>
          <w:tcPr>
            <w:tcW w:type="dxa" w:w="19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2A87A"/>
                <w:sz w:val="20"/>
                <w:szCs w:val="20"/>
              </w:rPr>
              <w:t xml:space="preserve">120586</w:t>
            </w:r>
          </w:p>
        </w:tc>
        <w:tc>
          <w:tcPr>
            <w:tcW w:type="dxa" w:w="33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Large Cap — Direct Growth</w:t>
            </w:r>
          </w:p>
        </w:tc>
      </w:tr>
      <w:tr>
        <w:tc>
          <w:tcPr>
            <w:tcW w:type="dxa" w:w="600"/>
            <w:tcBorders>
              <w:top w:val="single" w:color="D0DCF0" w:sz="2"/>
              <w:left w:val="single" w:color="D0DCF0" w:sz="2"/>
              <w:bottom w:val="single" w:color="D0DCF0" w:sz="2"/>
              <w:right w:val="single" w:color="D0DCF0" w:sz="2"/>
            </w:tcBorders>
            <w:shd w:fill="FFFFFF" w:val="clear"/>
            <w:tcMar>
              <w:top w:type="dxa" w:w="80"/>
              <w:left w:type="dxa" w:w="120"/>
              <w:bottom w:type="dxa" w:w="80"/>
              <w:right w:type="dxa" w:w="120"/>
            </w:tcMar>
          </w:tcPr>
          <w:p>
            <w:pPr>
              <w:jc w:val="center"/>
            </w:pPr>
            <w:r>
              <w:rPr>
                <w:rFonts w:ascii="Arial" w:cs="Arial" w:eastAsia="Arial" w:hAnsi="Arial"/>
                <w:b/>
                <w:bCs/>
                <w:color w:val="065A82"/>
                <w:sz w:val="20"/>
                <w:szCs w:val="20"/>
              </w:rPr>
              <w:t xml:space="preserve">4</w:t>
            </w:r>
          </w:p>
        </w:tc>
        <w:tc>
          <w:tcPr>
            <w:tcW w:type="dxa" w:w="35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Nippon India Large Cap Fund</w:t>
            </w:r>
          </w:p>
        </w:tc>
        <w:tc>
          <w:tcPr>
            <w:tcW w:type="dxa" w:w="19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b/>
                <w:bCs/>
                <w:color w:val="02A87A"/>
                <w:sz w:val="20"/>
                <w:szCs w:val="20"/>
              </w:rPr>
              <w:t xml:space="preserve">118701</w:t>
            </w:r>
          </w:p>
        </w:tc>
        <w:tc>
          <w:tcPr>
            <w:tcW w:type="dxa" w:w="33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Large Cap — Direct Growth</w:t>
            </w:r>
          </w:p>
        </w:tc>
      </w:tr>
      <w:tr>
        <w:tc>
          <w:tcPr>
            <w:tcW w:type="dxa" w:w="600"/>
            <w:tcBorders>
              <w:top w:val="single" w:color="D0DCF0" w:sz="2"/>
              <w:left w:val="single" w:color="D0DCF0" w:sz="2"/>
              <w:bottom w:val="single" w:color="D0DCF0" w:sz="2"/>
              <w:right w:val="single" w:color="D0DCF0" w:sz="2"/>
            </w:tcBorders>
            <w:shd w:fill="F0F4FA" w:val="clear"/>
            <w:tcMar>
              <w:top w:type="dxa" w:w="80"/>
              <w:left w:type="dxa" w:w="120"/>
              <w:bottom w:type="dxa" w:w="80"/>
              <w:right w:type="dxa" w:w="120"/>
            </w:tcMar>
          </w:tcPr>
          <w:p>
            <w:pPr>
              <w:jc w:val="center"/>
            </w:pPr>
            <w:r>
              <w:rPr>
                <w:rFonts w:ascii="Arial" w:cs="Arial" w:eastAsia="Arial" w:hAnsi="Arial"/>
                <w:b/>
                <w:bCs/>
                <w:color w:val="065A82"/>
                <w:sz w:val="20"/>
                <w:szCs w:val="20"/>
              </w:rPr>
              <w:t xml:space="preserve">5</w:t>
            </w:r>
          </w:p>
        </w:tc>
        <w:tc>
          <w:tcPr>
            <w:tcW w:type="dxa" w:w="35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Axis Bluechip Fund</w:t>
            </w:r>
          </w:p>
        </w:tc>
        <w:tc>
          <w:tcPr>
            <w:tcW w:type="dxa" w:w="19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2A87A"/>
                <w:sz w:val="20"/>
                <w:szCs w:val="20"/>
              </w:rPr>
              <w:t xml:space="preserve">125354</w:t>
            </w:r>
          </w:p>
        </w:tc>
        <w:tc>
          <w:tcPr>
            <w:tcW w:type="dxa" w:w="336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color w:val="445A6F"/>
                <w:sz w:val="20"/>
                <w:szCs w:val="20"/>
              </w:rPr>
              <w:t xml:space="preserve">Large Cap — Direct Growth</w:t>
            </w:r>
          </w:p>
        </w:tc>
      </w:tr>
      <w:tr>
        <w:tc>
          <w:tcPr>
            <w:tcW w:type="dxa" w:w="600"/>
            <w:tcBorders>
              <w:top w:val="single" w:color="D0DCF0" w:sz="2"/>
              <w:left w:val="single" w:color="D0DCF0" w:sz="2"/>
              <w:bottom w:val="single" w:color="D0DCF0" w:sz="2"/>
              <w:right w:val="single" w:color="D0DCF0" w:sz="2"/>
            </w:tcBorders>
            <w:shd w:fill="FFFFFF" w:val="clear"/>
            <w:tcMar>
              <w:top w:type="dxa" w:w="80"/>
              <w:left w:type="dxa" w:w="120"/>
              <w:bottom w:type="dxa" w:w="80"/>
              <w:right w:type="dxa" w:w="120"/>
            </w:tcMar>
          </w:tcPr>
          <w:p>
            <w:pPr>
              <w:jc w:val="center"/>
            </w:pPr>
            <w:r>
              <w:rPr>
                <w:rFonts w:ascii="Arial" w:cs="Arial" w:eastAsia="Arial" w:hAnsi="Arial"/>
                <w:b/>
                <w:bCs/>
                <w:color w:val="065A82"/>
                <w:sz w:val="20"/>
                <w:szCs w:val="20"/>
              </w:rPr>
              <w:t xml:space="preserve">6</w:t>
            </w:r>
          </w:p>
        </w:tc>
        <w:tc>
          <w:tcPr>
            <w:tcW w:type="dxa" w:w="35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Kotak Bluechip Fund</w:t>
            </w:r>
          </w:p>
        </w:tc>
        <w:tc>
          <w:tcPr>
            <w:tcW w:type="dxa" w:w="190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b/>
                <w:bCs/>
                <w:color w:val="02A87A"/>
                <w:sz w:val="20"/>
                <w:szCs w:val="20"/>
              </w:rPr>
              <w:t xml:space="preserve">120503</w:t>
            </w:r>
          </w:p>
        </w:tc>
        <w:tc>
          <w:tcPr>
            <w:tcW w:type="dxa" w:w="33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Large Cap — Direct Growth</w:t>
            </w:r>
          </w:p>
        </w:tc>
      </w:tr>
    </w:tbl>
    <w:p>
      <w:pPr>
        <w:spacing w:after="60" w:before="120"/>
      </w:pPr>
      <w:r>
        <w:t xml:space="preserve"/>
      </w:r>
    </w:p>
    <w:p>
      <w:pPr>
        <w:pStyle w:val="Heading2"/>
        <w:spacing w:after="80" w:before="240"/>
      </w:pPr>
      <w:r>
        <w:rPr>
          <w:rFonts w:ascii="Arial" w:cs="Arial" w:eastAsia="Arial" w:hAnsi="Arial"/>
          <w:b/>
          <w:bCs/>
          <w:color w:val="065A82"/>
          <w:sz w:val="24"/>
          <w:szCs w:val="24"/>
        </w:rPr>
        <w:t xml:space="preserve">8.3  Integration Workflow</w:t>
      </w:r>
    </w:p>
    <w:p>
      <w:pPr>
        <w:spacing w:after="100" w:before="60" w:line="340" w:lineRule="auto"/>
        <w:jc w:val="both"/>
      </w:pPr>
      <w:r>
        <w:rPr>
          <w:rFonts w:ascii="Arial" w:cs="Arial" w:eastAsia="Arial" w:hAnsi="Arial"/>
          <w:color w:val="445A6F"/>
          <w:sz w:val="22"/>
          <w:szCs w:val="22"/>
        </w:rPr>
        <w:t xml:space="preserve">The API integration followed a four-step process:</w:t>
      </w:r>
    </w:p>
    <w:p>
      <w:pPr>
        <w:spacing w:after="20" w:before="40"/>
      </w:pPr>
      <w:r>
        <w:t xml:space="preserve"/>
      </w:r>
    </w:p>
    <w:p>
      <w:pPr>
        <w:pStyle w:val="ListParagraph"/>
        <w:numPr>
          <w:ilvl w:val="0"/>
          <w:numId w:val="2"/>
        </w:numPr>
        <w:spacing w:after="40" w:before="40" w:line="320" w:lineRule="auto"/>
      </w:pPr>
      <w:r>
        <w:rPr>
          <w:rFonts w:ascii="Arial" w:cs="Arial" w:eastAsia="Arial" w:hAnsi="Arial"/>
          <w:color w:val="445A6F"/>
          <w:sz w:val="22"/>
          <w:szCs w:val="22"/>
        </w:rPr>
        <w:t xml:space="preserve">API requests sent via the Requests library using the scheme AMFI code as a URL parameter.</w:t>
      </w:r>
    </w:p>
    <w:p>
      <w:pPr>
        <w:pStyle w:val="ListParagraph"/>
        <w:numPr>
          <w:ilvl w:val="0"/>
          <w:numId w:val="2"/>
        </w:numPr>
        <w:spacing w:after="40" w:before="40" w:line="320" w:lineRule="auto"/>
      </w:pPr>
      <w:r>
        <w:rPr>
          <w:rFonts w:ascii="Arial" w:cs="Arial" w:eastAsia="Arial" w:hAnsi="Arial"/>
          <w:color w:val="445A6F"/>
          <w:sz w:val="22"/>
          <w:szCs w:val="22"/>
        </w:rPr>
        <w:t xml:space="preserve">JSON responses received containing fund metadata and full NAV history arrays.</w:t>
      </w:r>
    </w:p>
    <w:p>
      <w:pPr>
        <w:pStyle w:val="ListParagraph"/>
        <w:numPr>
          <w:ilvl w:val="0"/>
          <w:numId w:val="2"/>
        </w:numPr>
        <w:spacing w:after="40" w:before="40" w:line="320" w:lineRule="auto"/>
      </w:pPr>
      <w:r>
        <w:rPr>
          <w:rFonts w:ascii="Arial" w:cs="Arial" w:eastAsia="Arial" w:hAnsi="Arial"/>
          <w:color w:val="445A6F"/>
          <w:sz w:val="22"/>
          <w:szCs w:val="22"/>
        </w:rPr>
        <w:t xml:space="preserve">Responses parsed and normalised into structured Pandas DataFrames using pd.json_normalize().</w:t>
      </w:r>
    </w:p>
    <w:p>
      <w:pPr>
        <w:pStyle w:val="ListParagraph"/>
        <w:numPr>
          <w:ilvl w:val="0"/>
          <w:numId w:val="2"/>
        </w:numPr>
        <w:spacing w:after="40" w:before="40" w:line="320" w:lineRule="auto"/>
      </w:pPr>
      <w:r>
        <w:rPr>
          <w:rFonts w:ascii="Arial" w:cs="Arial" w:eastAsia="Arial" w:hAnsi="Arial"/>
          <w:color w:val="445A6F"/>
          <w:sz w:val="22"/>
          <w:szCs w:val="22"/>
        </w:rPr>
        <w:t xml:space="preserve">NAV history exported as individual CSV files, one per scheme, for downstream analysis.</w:t>
      </w:r>
    </w:p>
    <w:p>
      <w:pPr>
        <w:spacing w:after="80" w:before="16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9.  Deliverables Completed</w:t>
      </w:r>
    </w:p>
    <w:p>
      <w:pPr>
        <w:spacing w:after="100" w:before="60" w:line="340" w:lineRule="auto"/>
        <w:jc w:val="both"/>
      </w:pPr>
      <w:r>
        <w:rPr>
          <w:rFonts w:ascii="Arial" w:cs="Arial" w:eastAsia="Arial" w:hAnsi="Arial"/>
          <w:color w:val="445A6F"/>
          <w:sz w:val="22"/>
          <w:szCs w:val="22"/>
        </w:rPr>
        <w:t xml:space="preserve">All planned Day 1 deliverables were completed successfully:</w:t>
      </w:r>
    </w:p>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Project folder structure created and organised</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All required Python libraries installed and verified</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All 10 datasets loaded successfully into Pandas DataFrames</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Data quality checks performed — shape, dtypes, nulls, duplicates</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Exploratory analysis completed for the Fund Master dataset</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AMFI code validation implemented between Fund Master and NAV History</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Live NAV API integration completed for 6 large-cap schemes</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CSV outputs generated and saved for all live NAV datasets</w:t>
            </w:r>
          </w:p>
        </w:tc>
      </w:tr>
      <w:tr>
        <w:tc>
          <w:tcPr>
            <w:tcW w:type="dxa" w:w="500"/>
            <w:tcBorders>
              <w:top w:val="none" w:color="FFFFFF" w:sz="0"/>
              <w:left w:val="none" w:color="FFFFFF" w:sz="0"/>
              <w:bottom w:val="none" w:color="FFFFFF" w:sz="0"/>
              <w:right w:val="none" w:color="FFFFFF" w:sz="0"/>
            </w:tcBorders>
            <w:shd w:fill="02A87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8860"/>
            <w:tcBorders>
              <w:top w:val="single" w:color="D0DCF0" w:sz="2"/>
              <w:left w:val="none" w:color="FFFFFF" w:sz="0"/>
              <w:bottom w:val="single" w:color="D0DCF0" w:sz="2"/>
              <w:right w:val="none" w:color="FFFFFF" w:sz="0"/>
            </w:tcBorders>
            <w:shd w:fill="FFFFFF" w:val="clear"/>
            <w:tcMar>
              <w:top w:type="dxa" w:w="80"/>
              <w:left w:type="dxa" w:w="140"/>
              <w:bottom w:type="dxa" w:w="80"/>
              <w:right w:type="dxa" w:w="140"/>
            </w:tcMar>
          </w:tcPr>
          <w:p>
            <w:r>
              <w:rPr>
                <w:rFonts w:ascii="Arial" w:cs="Arial" w:eastAsia="Arial" w:hAnsi="Arial"/>
                <w:color w:val="445A6F"/>
                <w:sz w:val="20"/>
                <w:szCs w:val="20"/>
              </w:rPr>
              <w:t xml:space="preserve">GitHub repository initialised and code pushed for version control</w:t>
            </w:r>
          </w:p>
        </w:tc>
      </w:tr>
    </w:tbl>
    <w:p>
      <w:pPr>
        <w:spacing w:after="80" w:before="160"/>
      </w:pPr>
      <w:r>
        <w:t xml:space="preserve"/>
      </w:r>
    </w:p>
    <w:p>
      <w:pPr>
        <w:pBdr>
          <w:bottom w:val="single" w:color="D0DCF0" w:sz="2" w:space="1"/>
        </w:pBdr>
        <w:spacing w:after="160" w:before="160"/>
      </w:pPr>
      <w:r>
        <w:t xml:space="preserve"/>
      </w:r>
    </w:p>
    <w:p>
      <w:pPr>
        <w:pStyle w:val="Heading1"/>
        <w:pBdr>
          <w:bottom w:val="single" w:color="02A87A" w:sz="6" w:space="4"/>
        </w:pBdr>
        <w:spacing w:after="120" w:before="340"/>
      </w:pPr>
      <w:r>
        <w:rPr>
          <w:rFonts w:ascii="Arial" w:cs="Arial" w:eastAsia="Arial" w:hAnsi="Arial"/>
          <w:b/>
          <w:bCs/>
          <w:color w:val="02145E"/>
          <w:sz w:val="30"/>
          <w:szCs w:val="30"/>
        </w:rPr>
        <w:t xml:space="preserve">10.  Conclusion &amp; Next Steps</w:t>
      </w:r>
    </w:p>
    <w:p>
      <w:pPr>
        <w:spacing w:after="100" w:before="60" w:line="340" w:lineRule="auto"/>
        <w:jc w:val="both"/>
      </w:pPr>
      <w:r>
        <w:rPr>
          <w:rFonts w:ascii="Arial" w:cs="Arial" w:eastAsia="Arial" w:hAnsi="Arial"/>
          <w:color w:val="445A6F"/>
          <w:sz w:val="22"/>
          <w:szCs w:val="22"/>
        </w:rPr>
        <w:t xml:space="preserve">Day 1 successfully established the complete foundation of the Mutual Fund Analytics project. The development environment was configured, all ten datasets were ingested and validated, initial exploratory analysis was performed on the Fund Master dataset, and live NAV data integration was operationalised via the MFAPI service.</w:t>
      </w:r>
    </w:p>
    <w:p>
      <w:pPr>
        <w:spacing w:after="100" w:before="60" w:line="340" w:lineRule="auto"/>
        <w:jc w:val="both"/>
      </w:pPr>
      <w:r>
        <w:rPr>
          <w:rFonts w:ascii="Arial" w:cs="Arial" w:eastAsia="Arial" w:hAnsi="Arial"/>
          <w:color w:val="445A6F"/>
          <w:sz w:val="22"/>
          <w:szCs w:val="22"/>
        </w:rPr>
        <w:t xml:space="preserve">The project is now ready to advance to the analytical and visualisation phases in subsequent sessions. The planned activities for Day 2 and beyond are outlined below:</w:t>
      </w:r>
    </w:p>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Next Step</w:t>
            </w:r>
          </w:p>
        </w:tc>
        <w:tc>
          <w:tcPr>
            <w:tcW w:type="dxa" w:w="61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Dashboard Development</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Build interactive Streamlit / Power BI dashboards for fund analytics</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Data Visualisation</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NAV trend charts, AUM bar plots, SIP heatmaps, and category comparisons</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Performance Analytics</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Calculate trailing returns, Sharpe ratio, alpha, and beta per scheme</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Investor Behaviour</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Analyse folio growth trends, inflow/outflow patterns, and transaction behaviour</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Benchmark Comparison</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Overlay fund returns against NIFTY 50 and SENSEX benchmark indices</w:t>
            </w:r>
          </w:p>
        </w:tc>
      </w:tr>
      <w:tr>
        <w:tc>
          <w:tcPr>
            <w:tcW w:type="dxa" w:w="3200"/>
            <w:tcBorders>
              <w:top w:val="single" w:color="D0DCF0" w:sz="2"/>
              <w:left w:val="single" w:color="D0DCF0" w:sz="2"/>
              <w:bottom w:val="single" w:color="D0DCF0" w:sz="2"/>
              <w:right w:val="single" w:color="D0DCF0" w:sz="2"/>
            </w:tcBorders>
            <w:shd w:fill="F0F4FA" w:val="clear"/>
            <w:tcMar>
              <w:top w:type="dxa" w:w="80"/>
              <w:left w:type="dxa" w:w="140"/>
              <w:bottom w:type="dxa" w:w="80"/>
              <w:right w:type="dxa" w:w="140"/>
            </w:tcMar>
          </w:tcPr>
          <w:p>
            <w:r>
              <w:rPr>
                <w:rFonts w:ascii="Arial" w:cs="Arial" w:eastAsia="Arial" w:hAnsi="Arial"/>
                <w:b/>
                <w:bCs/>
                <w:color w:val="065A82"/>
                <w:sz w:val="20"/>
                <w:szCs w:val="20"/>
              </w:rPr>
              <w:t xml:space="preserve">Predictive Modelling</w:t>
            </w:r>
          </w:p>
        </w:tc>
        <w:tc>
          <w:tcPr>
            <w:tcW w:type="dxa" w:w="6160"/>
            <w:tcBorders>
              <w:top w:val="single" w:color="D0DCF0" w:sz="2"/>
              <w:left w:val="single" w:color="D0DCF0" w:sz="2"/>
              <w:bottom w:val="single" w:color="D0DCF0" w:sz="2"/>
              <w:right w:val="single" w:color="D0DCF0" w:sz="2"/>
            </w:tcBorders>
            <w:shd w:fill="FFFFFF" w:val="clear"/>
            <w:tcMar>
              <w:top w:type="dxa" w:w="80"/>
              <w:left w:type="dxa" w:w="140"/>
              <w:bottom w:type="dxa" w:w="80"/>
              <w:right w:type="dxa" w:w="140"/>
            </w:tcMar>
          </w:tcPr>
          <w:p>
            <w:r>
              <w:rPr>
                <w:rFonts w:ascii="Arial" w:cs="Arial" w:eastAsia="Arial" w:hAnsi="Arial"/>
                <w:color w:val="445A6F"/>
                <w:sz w:val="20"/>
                <w:szCs w:val="20"/>
              </w:rPr>
              <w:t xml:space="preserve">Develop NAV forecasting models using time-series ML techniques</w:t>
            </w:r>
          </w:p>
        </w:tc>
      </w:tr>
    </w:tbl>
    <w:p>
      <w:pPr>
        <w:spacing w:after="80" w:before="160"/>
      </w:pPr>
      <w:r>
        <w:t xml:space="preserve"/>
      </w:r>
    </w:p>
    <w:p>
      <w:pPr>
        <w:pBdr>
          <w:bottom w:val="single" w:color="D0DCF0" w:sz="2"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145E" w:val="clear"/>
            <w:tcMar>
              <w:top w:type="dxa" w:w="240"/>
              <w:left w:type="dxa" w:w="480"/>
              <w:bottom w:type="dxa" w:w="240"/>
              <w:right w:type="dxa" w:w="480"/>
            </w:tcMar>
          </w:tcPr>
          <w:p>
            <w:pPr>
              <w:spacing w:after="60" w:before="0"/>
              <w:jc w:val="center"/>
            </w:pPr>
            <w:r>
              <w:rPr>
                <w:rFonts w:ascii="Arial" w:cs="Arial" w:eastAsia="Arial" w:hAnsi="Arial"/>
                <w:color w:val="C0D8F0"/>
                <w:sz w:val="20"/>
                <w:szCs w:val="20"/>
              </w:rPr>
              <w:t xml:space="preserve">Submitted by</w:t>
            </w:r>
          </w:p>
          <w:p>
            <w:pPr>
              <w:spacing w:after="40" w:before="0"/>
              <w:jc w:val="center"/>
            </w:pPr>
            <w:r>
              <w:rPr>
                <w:rFonts w:ascii="Arial" w:cs="Arial" w:eastAsia="Arial" w:hAnsi="Arial"/>
                <w:b/>
                <w:bCs/>
                <w:color w:val="FFFFFF"/>
                <w:sz w:val="28"/>
                <w:szCs w:val="28"/>
              </w:rPr>
              <w:t xml:space="preserve">Tanushree Rathod</w:t>
            </w:r>
          </w:p>
          <w:p>
            <w:pPr>
              <w:spacing w:after="0" w:before="0"/>
              <w:jc w:val="center"/>
            </w:pPr>
            <w:r>
              <w:rPr>
                <w:rFonts w:ascii="Arial" w:cs="Arial" w:eastAsia="Arial" w:hAnsi="Arial"/>
                <w:color w:val="02A87A"/>
                <w:sz w:val="18"/>
                <w:szCs w:val="18"/>
              </w:rPr>
              <w:t xml:space="preserve">B.E. Artificial Intelligence &amp; Data Science  |  VESIT Mumbai  |  June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4"/>
      </w:pBdr>
      <w:tabs>
        <w:tab w:val="right" w:pos="9026"/>
      </w:tabs>
      <w:spacing w:after="0" w:before="80"/>
    </w:pPr>
    <w:r>
      <w:rPr>
        <w:rFonts w:ascii="Arial" w:cs="Arial" w:eastAsia="Arial" w:hAnsi="Arial"/>
        <w:color w:val="445A6F"/>
        <w:sz w:val="16"/>
        <w:szCs w:val="16"/>
      </w:rPr>
      <w:t xml:space="preserve">Tanushree Rathod  |  AI &amp; Data Science  |  VESIT Mumbai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145E" w:sz="6" w:space="4"/>
      </w:pBdr>
      <w:tabs>
        <w:tab w:val="right" w:pos="9026"/>
      </w:tabs>
      <w:spacing w:after="80" w:before="0"/>
    </w:pPr>
    <w:r>
      <w:rPr>
        <w:rFonts w:ascii="Arial" w:cs="Arial" w:eastAsia="Arial" w:hAnsi="Arial"/>
        <w:b/>
        <w:bCs/>
        <w:color w:val="02145E"/>
        <w:sz w:val="18"/>
        <w:szCs w:val="18"/>
      </w:rPr>
      <w:t xml:space="preserve">Mutual Fund Analytics</w:t>
    </w:r>
    <w:r>
      <w:rPr>
        <w:sz w:val="18"/>
        <w:szCs w:val="18"/>
      </w:rPr>
      <w:t xml:space="preserve">	</w:t>
    </w:r>
    <w:r>
      <w:rPr>
        <w:rFonts w:ascii="Arial" w:cs="Arial" w:eastAsia="Arial" w:hAnsi="Arial"/>
        <w:color w:val="445A6F"/>
        <w:sz w:val="18"/>
        <w:szCs w:val="18"/>
      </w:rPr>
      <w:t xml:space="preserve">Day 1 Report  |  Project Setup &amp; Data Ingestion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5A6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02145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065A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2026-06-24T08:49:14.694Z</dcterms:created>
  <dcterms:modified xsi:type="dcterms:W3CDTF">2026-06-24T08:49:14.694Z</dcterms:modified>
</cp:coreProperties>
</file>

<file path=docProps/custom.xml><?xml version="1.0" encoding="utf-8"?>
<Properties xmlns="http://schemas.openxmlformats.org/officeDocument/2006/custom-properties" xmlns:vt="http://schemas.openxmlformats.org/officeDocument/2006/docPropsVTypes"/>
</file>