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4A623" w:sz="12" w:space="0"/>
        </w:pBdr>
        <w:shd w:fill="1A3C5E" w:val="clear"/>
        <w:spacing w:after="0" w:before="0"/>
      </w:pPr>
    </w:p>
    <w:p>
      <w:pPr>
        <w:shd w:fill="1A3C5E" w:val="clear"/>
        <w:spacing w:after="80" w:before="480"/>
        <w:jc w:val="center"/>
      </w:pPr>
      <w:r>
        <w:rPr>
          <w:rFonts w:ascii="Arial" w:cs="Arial" w:eastAsia="Arial" w:hAnsi="Arial"/>
          <w:b/>
          <w:bCs/>
          <w:caps/>
          <w:color w:val="FFFFFF"/>
          <w:sz w:val="52"/>
          <w:szCs w:val="52"/>
        </w:rPr>
        <w:t xml:space="preserve">MUTUAL FUND ANALYTICS</w:t>
      </w:r>
    </w:p>
    <w:p>
      <w:pPr>
        <w:shd w:fill="1A3C5E" w:val="clear"/>
        <w:spacing w:after="80" w:before="0"/>
        <w:jc w:val="center"/>
      </w:pPr>
      <w:r>
        <w:rPr>
          <w:rFonts w:ascii="Arial" w:cs="Arial" w:eastAsia="Arial" w:hAnsi="Arial"/>
          <w:b/>
          <w:bCs/>
          <w:color w:val="F4A623"/>
          <w:sz w:val="30"/>
          <w:szCs w:val="30"/>
        </w:rPr>
        <w:t xml:space="preserve">Exploratory Data Analysis Report</w:t>
      </w:r>
    </w:p>
    <w:p>
      <w:pPr>
        <w:pBdr>
          <w:bottom w:val="single" w:color="F4A623" w:sz="6" w:space="1"/>
        </w:pBdr>
        <w:spacing w:after="160" w:before="0"/>
      </w:pPr>
    </w:p>
    <w:p>
      <w:pPr>
        <w:shd w:fill="1A3C5E" w:val="clear"/>
        <w:spacing w:after="560" w:before="120"/>
        <w:jc w:val="center"/>
      </w:pPr>
      <w:r>
        <w:rPr>
          <w:rFonts w:ascii="Arial" w:cs="Arial" w:eastAsia="Arial" w:hAnsi="Arial"/>
          <w:color w:val="AACDE8"/>
          <w:sz w:val="21"/>
          <w:szCs w:val="21"/>
        </w:rPr>
        <w:t xml:space="preserve">Indian Mutual Fund Dataset  ·  2022 – 2026  ·  10 Datasets  ·  15+ Visualisations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7DE" w:sz="1"/>
              <w:left w:val="single" w:color="D0D7DE" w:sz="1"/>
              <w:bottom w:val="single" w:color="D0D7DE" w:sz="1"/>
              <w:right w:val="single" w:color="D0D7DE" w:sz="1"/>
            </w:tcBorders>
            <w:shd w:fill="163550" w:val="clear"/>
            <w:tcMar>
              <w:top w:type="dxa" w:w="140"/>
              <w:left w:type="dxa" w:w="200"/>
              <w:bottom w:type="dxa" w:w="140"/>
              <w:right w:type="dxa" w:w="200"/>
            </w:tcMar>
          </w:tcPr>
          <w:p>
            <w:pPr>
              <w:jc w:val="center"/>
            </w:pPr>
            <w:r>
              <w:rPr>
                <w:rFonts w:ascii="Arial" w:cs="Arial" w:eastAsia="Arial" w:hAnsi="Arial"/>
                <w:b/>
                <w:bCs/>
                <w:color w:val="AACDE8"/>
                <w:sz w:val="16"/>
                <w:szCs w:val="16"/>
              </w:rPr>
              <w:t xml:space="preserve">SUBMITTED BY</w:t>
            </w:r>
          </w:p>
          <w:p>
            <w:pPr>
              <w:jc w:val="center"/>
            </w:pPr>
            <w:r>
              <w:rPr>
                <w:rFonts w:ascii="Arial" w:cs="Arial" w:eastAsia="Arial" w:hAnsi="Arial"/>
                <w:b/>
                <w:bCs/>
                <w:color w:val="FFFFFF"/>
                <w:sz w:val="20"/>
                <w:szCs w:val="20"/>
              </w:rPr>
              <w:t xml:space="preserve">Tanushree Rathod</w:t>
            </w:r>
          </w:p>
        </w:tc>
        <w:tc>
          <w:tcPr>
            <w:tcW w:type="dxa" w:w="2340"/>
            <w:tcBorders>
              <w:top w:val="single" w:color="D0D7DE" w:sz="1"/>
              <w:left w:val="single" w:color="D0D7DE" w:sz="1"/>
              <w:bottom w:val="single" w:color="D0D7DE" w:sz="1"/>
              <w:right w:val="single" w:color="D0D7DE" w:sz="1"/>
            </w:tcBorders>
            <w:shd w:fill="163550" w:val="clear"/>
            <w:tcMar>
              <w:top w:type="dxa" w:w="140"/>
              <w:left w:type="dxa" w:w="200"/>
              <w:bottom w:type="dxa" w:w="140"/>
              <w:right w:type="dxa" w:w="200"/>
            </w:tcMar>
          </w:tcPr>
          <w:p>
            <w:pPr>
              <w:jc w:val="center"/>
            </w:pPr>
            <w:r>
              <w:rPr>
                <w:rFonts w:ascii="Arial" w:cs="Arial" w:eastAsia="Arial" w:hAnsi="Arial"/>
                <w:b/>
                <w:bCs/>
                <w:color w:val="AACDE8"/>
                <w:sz w:val="16"/>
                <w:szCs w:val="16"/>
              </w:rPr>
              <w:t xml:space="preserve">PROJECT</w:t>
            </w:r>
          </w:p>
          <w:p>
            <w:pPr>
              <w:jc w:val="center"/>
            </w:pPr>
            <w:r>
              <w:rPr>
                <w:rFonts w:ascii="Arial" w:cs="Arial" w:eastAsia="Arial" w:hAnsi="Arial"/>
                <w:b/>
                <w:bCs/>
                <w:color w:val="FFFFFF"/>
                <w:sz w:val="20"/>
                <w:szCs w:val="20"/>
              </w:rPr>
              <w:t xml:space="preserve">Mutual Fund Analytics</w:t>
            </w:r>
          </w:p>
        </w:tc>
        <w:tc>
          <w:tcPr>
            <w:tcW w:type="dxa" w:w="2340"/>
            <w:tcBorders>
              <w:top w:val="single" w:color="D0D7DE" w:sz="1"/>
              <w:left w:val="single" w:color="D0D7DE" w:sz="1"/>
              <w:bottom w:val="single" w:color="D0D7DE" w:sz="1"/>
              <w:right w:val="single" w:color="D0D7DE" w:sz="1"/>
            </w:tcBorders>
            <w:shd w:fill="163550" w:val="clear"/>
            <w:tcMar>
              <w:top w:type="dxa" w:w="140"/>
              <w:left w:type="dxa" w:w="200"/>
              <w:bottom w:type="dxa" w:w="140"/>
              <w:right w:type="dxa" w:w="200"/>
            </w:tcMar>
          </w:tcPr>
          <w:p>
            <w:pPr>
              <w:jc w:val="center"/>
            </w:pPr>
            <w:r>
              <w:rPr>
                <w:rFonts w:ascii="Arial" w:cs="Arial" w:eastAsia="Arial" w:hAnsi="Arial"/>
                <w:b/>
                <w:bCs/>
                <w:color w:val="AACDE8"/>
                <w:sz w:val="16"/>
                <w:szCs w:val="16"/>
              </w:rPr>
              <w:t xml:space="preserve">PHASE</w:t>
            </w:r>
          </w:p>
          <w:p>
            <w:pPr>
              <w:jc w:val="center"/>
            </w:pPr>
            <w:r>
              <w:rPr>
                <w:rFonts w:ascii="Arial" w:cs="Arial" w:eastAsia="Arial" w:hAnsi="Arial"/>
                <w:b/>
                <w:bCs/>
                <w:color w:val="FFFFFF"/>
                <w:sz w:val="20"/>
                <w:szCs w:val="20"/>
              </w:rPr>
              <w:t xml:space="preserve">Day 2 – EDA</w:t>
            </w:r>
          </w:p>
        </w:tc>
        <w:tc>
          <w:tcPr>
            <w:tcW w:type="dxa" w:w="2340"/>
            <w:tcBorders>
              <w:top w:val="single" w:color="D0D7DE" w:sz="1"/>
              <w:left w:val="single" w:color="D0D7DE" w:sz="1"/>
              <w:bottom w:val="single" w:color="D0D7DE" w:sz="1"/>
              <w:right w:val="single" w:color="D0D7DE" w:sz="1"/>
            </w:tcBorders>
            <w:shd w:fill="163550" w:val="clear"/>
            <w:tcMar>
              <w:top w:type="dxa" w:w="140"/>
              <w:left w:type="dxa" w:w="200"/>
              <w:bottom w:type="dxa" w:w="140"/>
              <w:right w:type="dxa" w:w="200"/>
            </w:tcMar>
          </w:tcPr>
          <w:p>
            <w:pPr>
              <w:jc w:val="center"/>
            </w:pPr>
            <w:r>
              <w:rPr>
                <w:rFonts w:ascii="Arial" w:cs="Arial" w:eastAsia="Arial" w:hAnsi="Arial"/>
                <w:b/>
                <w:bCs/>
                <w:color w:val="AACDE8"/>
                <w:sz w:val="16"/>
                <w:szCs w:val="16"/>
              </w:rPr>
              <w:t xml:space="preserve">TEAM</w:t>
            </w:r>
          </w:p>
          <w:p>
            <w:pPr>
              <w:jc w:val="center"/>
            </w:pPr>
            <w:r>
              <w:rPr>
                <w:rFonts w:ascii="Arial" w:cs="Arial" w:eastAsia="Arial" w:hAnsi="Arial"/>
                <w:b/>
                <w:bCs/>
                <w:color w:val="FFFFFF"/>
                <w:sz w:val="20"/>
                <w:szCs w:val="20"/>
              </w:rPr>
              <w:t xml:space="preserve">SP · tanushreesd23 · AN</w:t>
            </w:r>
          </w:p>
        </w:tc>
      </w:tr>
    </w:tbl>
    <w:p>
      <w:pPr>
        <w:spacing w:after="0" w:before="400"/>
      </w:pPr>
    </w:p>
    <w:p>
      <w:pPr>
        <w:pStyle w:val="Heading1"/>
        <w:spacing w:after="80" w:before="200"/>
      </w:pPr>
      <w:r>
        <w:rPr>
          <w:rFonts w:ascii="Arial" w:cs="Arial" w:eastAsia="Arial" w:hAnsi="Arial"/>
          <w:b/>
          <w:bCs/>
          <w:color w:val="1A3C5E"/>
          <w:sz w:val="30"/>
          <w:szCs w:val="30"/>
        </w:rPr>
        <w:t xml:space="preserve">1.  Introduction</w:t>
      </w:r>
    </w:p>
    <w:p>
      <w:pPr>
        <w:pBdr>
          <w:bottom w:val="single" w:color="F4A623" w:sz="8" w:space="1"/>
        </w:pBdr>
        <w:spacing w:after="160" w:before="0"/>
      </w:pPr>
    </w:p>
    <w:p>
      <w:pPr>
        <w:spacing w:after="120" w:before="80" w:line="300"/>
      </w:pPr>
      <w:r>
        <w:rPr>
          <w:rFonts w:ascii="Arial" w:cs="Arial" w:eastAsia="Arial" w:hAnsi="Arial"/>
          <w:color w:val="2D2D2D"/>
          <w:sz w:val="22"/>
          <w:szCs w:val="22"/>
        </w:rPr>
        <w:t xml:space="preserve">This report documents the Exploratory Data Analysis (EDA) conducted on the Indian Mutual Fund Analytics dataset spanning January 2022 to May 2026. The analysis covers 40 mutual fund schemes across 10 major fund houses, incorporating daily NAV records, AUM snapshots, monthly SIP inflows, investor transaction data, portfolio holdings, and benchmark indices.</w:t>
      </w:r>
    </w:p>
    <w:p>
      <w:pPr>
        <w:spacing w:after="120" w:before="80" w:line="300"/>
      </w:pPr>
      <w:r>
        <w:rPr>
          <w:rFonts w:ascii="Arial" w:cs="Arial" w:eastAsia="Arial" w:hAnsi="Arial"/>
          <w:color w:val="2D2D2D"/>
          <w:sz w:val="22"/>
          <w:szCs w:val="22"/>
        </w:rPr>
        <w:t xml:space="preserve">The primary objective of this phase was to surface meaningful patterns, quantify key trends, evaluate data quality, and generate actionable insights through statistical summaries and visualisations — providing a strong analytical foundation for the predictive modelling and dashboard development phases that follow.</w:t>
      </w:r>
    </w:p>
    <w:p>
      <w:pPr>
        <w:spacing w:after="0" w:before="120"/>
      </w:pPr>
    </w:p>
    <w:p>
      <w:pPr>
        <w:pStyle w:val="Heading1"/>
        <w:spacing w:after="80" w:before="200"/>
      </w:pPr>
      <w:r>
        <w:rPr>
          <w:rFonts w:ascii="Arial" w:cs="Arial" w:eastAsia="Arial" w:hAnsi="Arial"/>
          <w:b/>
          <w:bCs/>
          <w:color w:val="1A3C5E"/>
          <w:sz w:val="30"/>
          <w:szCs w:val="30"/>
        </w:rPr>
        <w:t xml:space="preserve">2.  Objectives</w:t>
      </w:r>
    </w:p>
    <w:p>
      <w:pPr>
        <w:pBdr>
          <w:bottom w:val="single" w:color="F4A623" w:sz="8" w:space="1"/>
        </w:pBdr>
        <w:spacing w:after="160" w:before="0"/>
      </w:pPr>
    </w:p>
    <w:p>
      <w:pPr>
        <w:pStyle w:val="ListParagraph"/>
        <w:numPr>
          <w:ilvl w:val="0"/>
          <w:numId w:val="2"/>
        </w:numPr>
        <w:spacing w:after="60" w:before="60"/>
      </w:pPr>
      <w:r>
        <w:rPr>
          <w:rFonts w:ascii="Arial" w:cs="Arial" w:eastAsia="Arial" w:hAnsi="Arial"/>
          <w:color w:val="2D2D2D"/>
          <w:sz w:val="22"/>
          <w:szCs w:val="22"/>
        </w:rPr>
        <w:t xml:space="preserve">Analyse daily NAV trends across all 40 mutual fund schemes (2022–2026)</w:t>
      </w:r>
    </w:p>
    <w:p>
      <w:pPr>
        <w:pStyle w:val="ListParagraph"/>
        <w:numPr>
          <w:ilvl w:val="0"/>
          <w:numId w:val="2"/>
        </w:numPr>
        <w:spacing w:after="60" w:before="60"/>
      </w:pPr>
      <w:r>
        <w:rPr>
          <w:rFonts w:ascii="Arial" w:cs="Arial" w:eastAsia="Arial" w:hAnsi="Arial"/>
          <w:color w:val="2D2D2D"/>
          <w:sz w:val="22"/>
          <w:szCs w:val="22"/>
        </w:rPr>
        <w:t xml:space="preserve">Compare Assets Under Management (AUM) growth across fund houses by year</w:t>
      </w:r>
    </w:p>
    <w:p>
      <w:pPr>
        <w:pStyle w:val="ListParagraph"/>
        <w:numPr>
          <w:ilvl w:val="0"/>
          <w:numId w:val="2"/>
        </w:numPr>
        <w:spacing w:after="60" w:before="60"/>
      </w:pPr>
      <w:r>
        <w:rPr>
          <w:rFonts w:ascii="Arial" w:cs="Arial" w:eastAsia="Arial" w:hAnsi="Arial"/>
          <w:color w:val="2D2D2D"/>
          <w:sz w:val="22"/>
          <w:szCs w:val="22"/>
        </w:rPr>
        <w:t xml:space="preserve">Study monthly SIP inflow patterns and detect structural growth milestones</w:t>
      </w:r>
    </w:p>
    <w:p>
      <w:pPr>
        <w:pStyle w:val="ListParagraph"/>
        <w:numPr>
          <w:ilvl w:val="0"/>
          <w:numId w:val="2"/>
        </w:numPr>
        <w:spacing w:after="60" w:before="60"/>
      </w:pPr>
      <w:r>
        <w:rPr>
          <w:rFonts w:ascii="Arial" w:cs="Arial" w:eastAsia="Arial" w:hAnsi="Arial"/>
          <w:color w:val="2D2D2D"/>
          <w:sz w:val="22"/>
          <w:szCs w:val="22"/>
        </w:rPr>
        <w:t xml:space="preserve">Analyse net inflows by fund category using heatmap visualisation</w:t>
      </w:r>
    </w:p>
    <w:p>
      <w:pPr>
        <w:pStyle w:val="ListParagraph"/>
        <w:numPr>
          <w:ilvl w:val="0"/>
          <w:numId w:val="2"/>
        </w:numPr>
        <w:spacing w:after="60" w:before="60"/>
      </w:pPr>
      <w:r>
        <w:rPr>
          <w:rFonts w:ascii="Arial" w:cs="Arial" w:eastAsia="Arial" w:hAnsi="Arial"/>
          <w:color w:val="2D2D2D"/>
          <w:sz w:val="22"/>
          <w:szCs w:val="22"/>
        </w:rPr>
        <w:t xml:space="preserve">Explore investor demographics — age, gender, and investment amount distribution</w:t>
      </w:r>
    </w:p>
    <w:p>
      <w:pPr>
        <w:pStyle w:val="ListParagraph"/>
        <w:numPr>
          <w:ilvl w:val="0"/>
          <w:numId w:val="2"/>
        </w:numPr>
        <w:spacing w:after="60" w:before="60"/>
      </w:pPr>
      <w:r>
        <w:rPr>
          <w:rFonts w:ascii="Arial" w:cs="Arial" w:eastAsia="Arial" w:hAnsi="Arial"/>
          <w:color w:val="2D2D2D"/>
          <w:sz w:val="22"/>
          <w:szCs w:val="22"/>
        </w:rPr>
        <w:t xml:space="preserve">Study geographic distribution of investments across states and city tiers</w:t>
      </w:r>
    </w:p>
    <w:p>
      <w:pPr>
        <w:pStyle w:val="ListParagraph"/>
        <w:numPr>
          <w:ilvl w:val="0"/>
          <w:numId w:val="2"/>
        </w:numPr>
        <w:spacing w:after="60" w:before="60"/>
      </w:pPr>
      <w:r>
        <w:rPr>
          <w:rFonts w:ascii="Arial" w:cs="Arial" w:eastAsia="Arial" w:hAnsi="Arial"/>
          <w:color w:val="2D2D2D"/>
          <w:sz w:val="22"/>
          <w:szCs w:val="22"/>
        </w:rPr>
        <w:t xml:space="preserve">Examine industry folio count growth trajectory over the analysis period</w:t>
      </w:r>
    </w:p>
    <w:p>
      <w:pPr>
        <w:pStyle w:val="ListParagraph"/>
        <w:numPr>
          <w:ilvl w:val="0"/>
          <w:numId w:val="2"/>
        </w:numPr>
        <w:spacing w:after="60" w:before="60"/>
      </w:pPr>
      <w:r>
        <w:rPr>
          <w:rFonts w:ascii="Arial" w:cs="Arial" w:eastAsia="Arial" w:hAnsi="Arial"/>
          <w:color w:val="2D2D2D"/>
          <w:sz w:val="22"/>
          <w:szCs w:val="22"/>
        </w:rPr>
        <w:t xml:space="preserve">Compute pairwise NAV return correlations among selected schemes</w:t>
      </w:r>
    </w:p>
    <w:p>
      <w:pPr>
        <w:pStyle w:val="ListParagraph"/>
        <w:numPr>
          <w:ilvl w:val="0"/>
          <w:numId w:val="2"/>
        </w:numPr>
        <w:spacing w:after="60" w:before="60"/>
      </w:pPr>
      <w:r>
        <w:rPr>
          <w:rFonts w:ascii="Arial" w:cs="Arial" w:eastAsia="Arial" w:hAnsi="Arial"/>
          <w:color w:val="2D2D2D"/>
          <w:sz w:val="22"/>
          <w:szCs w:val="22"/>
        </w:rPr>
        <w:t xml:space="preserve">Understand aggregate portfolio sector allocation across equity funds</w:t>
      </w:r>
    </w:p>
    <w:p>
      <w:pPr>
        <w:spacing w:after="0" w:before="120"/>
      </w:pPr>
    </w:p>
    <w:p>
      <w:pPr>
        <w:pStyle w:val="Heading1"/>
        <w:spacing w:after="80" w:before="200"/>
      </w:pPr>
      <w:r>
        <w:rPr>
          <w:rFonts w:ascii="Arial" w:cs="Arial" w:eastAsia="Arial" w:hAnsi="Arial"/>
          <w:b/>
          <w:bCs/>
          <w:color w:val="1A3C5E"/>
          <w:sz w:val="30"/>
          <w:szCs w:val="30"/>
        </w:rPr>
        <w:t xml:space="preserve">3.  Tools and Technologies</w:t>
      </w:r>
    </w:p>
    <w:p>
      <w:pPr>
        <w:pBdr>
          <w:bottom w:val="single" w:color="F4A623"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Tool / Library</w:t>
            </w:r>
          </w:p>
        </w:tc>
        <w:tc>
          <w:tcPr>
            <w:tcW w:type="dxa" w:w="69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Python 3.12</w:t>
            </w:r>
          </w:p>
        </w:tc>
        <w:tc>
          <w:tcPr>
            <w:tcW w:type="dxa" w:w="69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Primary programming language for all data processing and analysis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Pandas 3.0</w:t>
            </w:r>
          </w:p>
        </w:tc>
        <w:tc>
          <w:tcPr>
            <w:tcW w:type="dxa" w:w="69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Data loading, cleaning, transformation, and aggregation</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NumPy</w:t>
            </w:r>
          </w:p>
        </w:tc>
        <w:tc>
          <w:tcPr>
            <w:tcW w:type="dxa" w:w="69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Numerical computations — correlations, return calculations, indexing</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Matplotlib 3.10</w:t>
            </w:r>
          </w:p>
        </w:tc>
        <w:tc>
          <w:tcPr>
            <w:tcW w:type="dxa" w:w="69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Static chart generation — line, bar, scatter, pie, heatmap plots</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Seaborn 0.13</w:t>
            </w:r>
          </w:p>
        </w:tc>
        <w:tc>
          <w:tcPr>
            <w:tcW w:type="dxa" w:w="69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Statistical heatmaps and enhanced grouped visualisations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Plotly</w:t>
            </w:r>
          </w:p>
        </w:tc>
        <w:tc>
          <w:tcPr>
            <w:tcW w:type="dxa" w:w="69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Interactive time-series and annotated charts (local environment)</w:t>
            </w:r>
          </w:p>
        </w:tc>
      </w:tr>
      <w:tr>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Google Colab</w:t>
            </w:r>
          </w:p>
        </w:tc>
        <w:tc>
          <w:tcPr>
            <w:tcW w:type="dxa" w:w="69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Cloud-based execution and collaborative notebook environment</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Jupyter Notebook</w:t>
            </w:r>
          </w:p>
        </w:tc>
        <w:tc>
          <w:tcPr>
            <w:tcW w:type="dxa" w:w="69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Primary deliverable format: EDA_Analysis.ipynb</w:t>
            </w:r>
          </w:p>
        </w:tc>
      </w:tr>
    </w:tbl>
    <w:p>
      <w:pPr>
        <w:spacing w:after="0" w:before="200"/>
      </w:pPr>
    </w:p>
    <w:p>
      <w:pPr>
        <w:pStyle w:val="Heading1"/>
        <w:spacing w:after="80" w:before="200"/>
      </w:pPr>
      <w:r>
        <w:rPr>
          <w:rFonts w:ascii="Arial" w:cs="Arial" w:eastAsia="Arial" w:hAnsi="Arial"/>
          <w:b/>
          <w:bCs/>
          <w:color w:val="1A3C5E"/>
          <w:sz w:val="30"/>
          <w:szCs w:val="30"/>
        </w:rPr>
        <w:t xml:space="preserve">4.  Datasets Used</w:t>
      </w:r>
    </w:p>
    <w:p>
      <w:pPr>
        <w:pBdr>
          <w:bottom w:val="single" w:color="F4A623" w:sz="8" w:space="1"/>
        </w:pBdr>
        <w:spacing w:after="160" w:before="0"/>
      </w:pPr>
    </w:p>
    <w:p>
      <w:pPr>
        <w:spacing w:after="120" w:before="80" w:line="300"/>
      </w:pPr>
      <w:r>
        <w:rPr>
          <w:rFonts w:ascii="Arial" w:cs="Arial" w:eastAsia="Arial" w:hAnsi="Arial"/>
          <w:color w:val="2D2D2D"/>
          <w:sz w:val="22"/>
          <w:szCs w:val="22"/>
        </w:rPr>
        <w:t xml:space="preserve">Ten CSV datasets were used as input for this analysis, collectively containing over 78,000 rows of structured data:</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24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Dataset</w:t>
            </w:r>
          </w:p>
        </w:tc>
        <w:tc>
          <w:tcPr>
            <w:tcW w:type="dxa" w:w="63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01</w:t>
            </w:r>
          </w:p>
        </w:tc>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Fund Master</w:t>
            </w:r>
          </w:p>
        </w:tc>
        <w:tc>
          <w:tcPr>
            <w:tcW w:type="dxa" w:w="63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Scheme metadata: category, fund house, expense ratio, benchmark</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02</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NAV History</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Daily NAV values for 40 schemes (Jan 2022 – May 2026)</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03</w:t>
            </w:r>
          </w:p>
        </w:tc>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AUM by Fund House</w:t>
            </w:r>
          </w:p>
        </w:tc>
        <w:tc>
          <w:tcPr>
            <w:tcW w:type="dxa" w:w="63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Quarterly AUM snapshots across 10 major fund houses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04</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Monthly SIP Inflows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Month-wise SIP inflow data with active account counts</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05</w:t>
            </w:r>
          </w:p>
        </w:tc>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Category Inflows</w:t>
            </w:r>
          </w:p>
        </w:tc>
        <w:tc>
          <w:tcPr>
            <w:tcW w:type="dxa" w:w="63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Net inflows segmented by fund category and month</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06</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Industry Folio Count</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Monthly total, equity, debt, hybrid folio counts</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07</w:t>
            </w:r>
          </w:p>
        </w:tc>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Scheme Performance</w:t>
            </w:r>
          </w:p>
        </w:tc>
        <w:tc>
          <w:tcPr>
            <w:tcW w:type="dxa" w:w="63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3-yr / 5-yr returns, Sharpe ratio, std dev, drawdowns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08</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Investor Transactions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32,778 SIP / redemption transactions with demographics</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09</w:t>
            </w:r>
          </w:p>
        </w:tc>
        <w:tc>
          <w:tcPr>
            <w:tcW w:type="dxa" w:w="24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Portfolio Holdings</w:t>
            </w:r>
          </w:p>
        </w:tc>
        <w:tc>
          <w:tcPr>
            <w:tcW w:type="dxa" w:w="63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Sector-wise stock holdings and weights per scheme</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10</w:t>
            </w:r>
          </w:p>
        </w:tc>
        <w:tc>
          <w:tcPr>
            <w:tcW w:type="dxa" w:w="2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Benchmark Indices</w:t>
            </w:r>
          </w:p>
        </w:tc>
        <w:tc>
          <w:tcPr>
            <w:tcW w:type="dxa" w:w="63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Daily NIFTY 50 / NIFTY 100 index close values</w:t>
            </w:r>
          </w:p>
        </w:tc>
      </w:tr>
    </w:tbl>
    <w:p>
      <w:pPr>
        <w:spacing w:after="0" w:before="200"/>
      </w:pPr>
    </w:p>
    <w:p>
      <w:pPr>
        <w:pStyle w:val="Heading1"/>
        <w:spacing w:after="80" w:before="200"/>
      </w:pPr>
      <w:r>
        <w:rPr>
          <w:rFonts w:ascii="Arial" w:cs="Arial" w:eastAsia="Arial" w:hAnsi="Arial"/>
          <w:b/>
          <w:bCs/>
          <w:color w:val="1A3C5E"/>
          <w:sz w:val="30"/>
          <w:szCs w:val="30"/>
        </w:rPr>
        <w:t xml:space="preserve">5.  Exploratory Data Analysis</w:t>
      </w:r>
    </w:p>
    <w:p>
      <w:pPr>
        <w:pBdr>
          <w:bottom w:val="single" w:color="F4A623" w:sz="8" w:space="1"/>
        </w:pBdr>
        <w:spacing w:after="160" w:before="0"/>
      </w:pPr>
    </w:p>
    <w:p>
      <w:pPr>
        <w:pStyle w:val="Heading3"/>
        <w:spacing w:after="80" w:before="200"/>
      </w:pPr>
      <w:r>
        <w:rPr>
          <w:rFonts w:ascii="Arial" w:cs="Arial" w:eastAsia="Arial" w:hAnsi="Arial"/>
          <w:b/>
          <w:bCs/>
          <w:color w:val="1A7A6E"/>
          <w:sz w:val="24"/>
          <w:szCs w:val="24"/>
        </w:rPr>
        <w:t xml:space="preserve">5.1  NAV Trend Analysis</w:t>
      </w:r>
    </w:p>
    <w:p>
      <w:pPr>
        <w:spacing w:after="120" w:before="80" w:line="300"/>
      </w:pPr>
      <w:r>
        <w:rPr>
          <w:rFonts w:ascii="Arial" w:cs="Arial" w:eastAsia="Arial" w:hAnsi="Arial"/>
          <w:color w:val="2D2D2D"/>
          <w:sz w:val="22"/>
          <w:szCs w:val="22"/>
        </w:rPr>
        <w:t xml:space="preserve">Daily NAV values for six flagship schemes were indexed to 100 (January 2022 baseline) and plotted on a single chart. The 2023 bull run period (January–December 2023) was shaded green, highlighting 35–45% index-level gains. The 2024 market correction (September–December 2024) was shaded red, capturing 12–18% peak-to-trough drawdowns. Annotations and arrowheads were added for clarity on each event.</w:t>
      </w:r>
    </w:p>
    <w:p>
      <w:pPr>
        <w:pStyle w:val="Heading3"/>
        <w:spacing w:after="80" w:before="200"/>
      </w:pPr>
      <w:r>
        <w:rPr>
          <w:rFonts w:ascii="Arial" w:cs="Arial" w:eastAsia="Arial" w:hAnsi="Arial"/>
          <w:b/>
          <w:bCs/>
          <w:color w:val="1A7A6E"/>
          <w:sz w:val="24"/>
          <w:szCs w:val="24"/>
        </w:rPr>
        <w:t xml:space="preserve">5.2  AUM Growth Analysis</w:t>
      </w:r>
    </w:p>
    <w:p>
      <w:pPr>
        <w:spacing w:after="120" w:before="80" w:line="300"/>
      </w:pPr>
      <w:r>
        <w:rPr>
          <w:rFonts w:ascii="Arial" w:cs="Arial" w:eastAsia="Arial" w:hAnsi="Arial"/>
          <w:color w:val="2D2D2D"/>
          <w:sz w:val="22"/>
          <w:szCs w:val="22"/>
        </w:rPr>
        <w:t xml:space="preserve">Quarterly AUM data (March year-end snapshots) for the top 8 fund houses was visualised as a grouped bar chart across FY2022–FY2025. SBI Mutual Fund's ₹12.5 Lakh Crore dominance was annotated explicitly, and the chart confirmed consistent year-on-year AUM growth across all major players.</w:t>
      </w:r>
    </w:p>
    <w:p>
      <w:pPr>
        <w:pStyle w:val="Heading3"/>
        <w:spacing w:after="80" w:before="200"/>
      </w:pPr>
      <w:r>
        <w:rPr>
          <w:rFonts w:ascii="Arial" w:cs="Arial" w:eastAsia="Arial" w:hAnsi="Arial"/>
          <w:b/>
          <w:bCs/>
          <w:color w:val="1A7A6E"/>
          <w:sz w:val="24"/>
          <w:szCs w:val="24"/>
        </w:rPr>
        <w:t xml:space="preserve">5.3  SIP Inflow Analysis</w:t>
      </w:r>
    </w:p>
    <w:p>
      <w:pPr>
        <w:spacing w:after="120" w:before="80" w:line="300"/>
      </w:pPr>
      <w:r>
        <w:rPr>
          <w:rFonts w:ascii="Arial" w:cs="Arial" w:eastAsia="Arial" w:hAnsi="Arial"/>
          <w:color w:val="2D2D2D"/>
          <w:sz w:val="22"/>
          <w:szCs w:val="22"/>
        </w:rPr>
        <w:t xml:space="preserve">Monthly SIP inflow data from January 2022 to December 2025 was plotted as a filled time-series. The ₹31,002 Cr all-time high in December 2025 was annotated with an arrow callout. A ₹20,000 Cr milestone dashed line was added to contextualise the growth trajectory. A secondary dual-axis view combined SIP inflows with active account counts to show co-movement.</w:t>
      </w:r>
    </w:p>
    <w:p>
      <w:pPr>
        <w:pStyle w:val="Heading3"/>
        <w:spacing w:after="80" w:before="200"/>
      </w:pPr>
      <w:r>
        <w:rPr>
          <w:rFonts w:ascii="Arial" w:cs="Arial" w:eastAsia="Arial" w:hAnsi="Arial"/>
          <w:b/>
          <w:bCs/>
          <w:color w:val="1A7A6E"/>
          <w:sz w:val="24"/>
          <w:szCs w:val="24"/>
        </w:rPr>
        <w:t xml:space="preserve">5.4  Category Inflow Heatmap</w:t>
      </w:r>
    </w:p>
    <w:p>
      <w:pPr>
        <w:spacing w:after="120" w:before="80" w:line="300"/>
      </w:pPr>
      <w:r>
        <w:rPr>
          <w:rFonts w:ascii="Arial" w:cs="Arial" w:eastAsia="Arial" w:hAnsi="Arial"/>
          <w:color w:val="2D2D2D"/>
          <w:sz w:val="22"/>
          <w:szCs w:val="22"/>
        </w:rPr>
        <w:t xml:space="preserve">Net inflows for 12 fund categories across 12 months were pivoted and rendered as a diverging red-green heatmap. Positive values (green) indicate net buying pressure; negative values (red) indicate redemptions exceeding purchases. Mid Cap and Small Cap categories showed the deepest green, while Liquid funds showed predictable March red patches due to quarter-end tax redemptions.</w:t>
      </w:r>
    </w:p>
    <w:p>
      <w:pPr>
        <w:pStyle w:val="Heading3"/>
        <w:spacing w:after="80" w:before="200"/>
      </w:pPr>
      <w:r>
        <w:rPr>
          <w:rFonts w:ascii="Arial" w:cs="Arial" w:eastAsia="Arial" w:hAnsi="Arial"/>
          <w:b/>
          <w:bCs/>
          <w:color w:val="1A7A6E"/>
          <w:sz w:val="24"/>
          <w:szCs w:val="24"/>
        </w:rPr>
        <w:t xml:space="preserve">5.5  Investor Demographics</w:t>
      </w:r>
    </w:p>
    <w:p>
      <w:pPr>
        <w:spacing w:after="120" w:before="80" w:line="300"/>
      </w:pPr>
      <w:r>
        <w:rPr>
          <w:rFonts w:ascii="Arial" w:cs="Arial" w:eastAsia="Arial" w:hAnsi="Arial"/>
          <w:color w:val="2D2D2D"/>
          <w:sz w:val="22"/>
          <w:szCs w:val="22"/>
        </w:rPr>
        <w:t xml:space="preserve">A three-panel chart examined 32,778 SIP transactions. Panel 1 shows age group distribution as a pie chart (5 cohorts). Panel 2 displays SIP amount distributions by age group as side-by-side boxplots, revealing that the 46–55 cohort invests at a higher median amount. Panel 3 shows gender split as a donut chart with total transaction count at centre.</w:t>
      </w:r>
    </w:p>
    <w:p>
      <w:pPr>
        <w:pStyle w:val="Heading3"/>
        <w:spacing w:after="80" w:before="200"/>
      </w:pPr>
      <w:r>
        <w:rPr>
          <w:rFonts w:ascii="Arial" w:cs="Arial" w:eastAsia="Arial" w:hAnsi="Arial"/>
          <w:b/>
          <w:bCs/>
          <w:color w:val="1A7A6E"/>
          <w:sz w:val="24"/>
          <w:szCs w:val="24"/>
        </w:rPr>
        <w:t xml:space="preserve">5.6  Geographic Distribution</w:t>
      </w:r>
    </w:p>
    <w:p>
      <w:pPr>
        <w:spacing w:after="120" w:before="80" w:line="300"/>
      </w:pPr>
      <w:r>
        <w:rPr>
          <w:rFonts w:ascii="Arial" w:cs="Arial" w:eastAsia="Arial" w:hAnsi="Arial"/>
          <w:color w:val="2D2D2D"/>
          <w:sz w:val="22"/>
          <w:szCs w:val="22"/>
        </w:rPr>
        <w:t xml:space="preserve">State-level SIP amounts were aggregated and displayed as a horizontal bar chart, with bars coloured by whether the state exceeded the median SIP value (green) or fell below it (navy). A T30 vs B30 city tier donut chart was plotted alongside, showing that T30 cities contribute approximately 75% of total SIP value despite progress in B30 outreach.</w:t>
      </w:r>
    </w:p>
    <w:p>
      <w:pPr>
        <w:pStyle w:val="Heading3"/>
        <w:spacing w:after="80" w:before="200"/>
      </w:pPr>
      <w:r>
        <w:rPr>
          <w:rFonts w:ascii="Arial" w:cs="Arial" w:eastAsia="Arial" w:hAnsi="Arial"/>
          <w:b/>
          <w:bCs/>
          <w:color w:val="1A7A6E"/>
          <w:sz w:val="24"/>
          <w:szCs w:val="24"/>
        </w:rPr>
        <w:t xml:space="preserve">5.7  Folio Count Growth</w:t>
      </w:r>
    </w:p>
    <w:p>
      <w:pPr>
        <w:spacing w:after="120" w:before="80" w:line="300"/>
      </w:pPr>
      <w:r>
        <w:rPr>
          <w:rFonts w:ascii="Arial" w:cs="Arial" w:eastAsia="Arial" w:hAnsi="Arial"/>
          <w:color w:val="2D2D2D"/>
          <w:sz w:val="22"/>
          <w:szCs w:val="22"/>
        </w:rPr>
        <w:t xml:space="preserve">A line chart traced total industry folios from 13.26 Crore (January 2022) to 26.12 Crore (December 2025). Fill areas distinguished equity folios (green) from debt, hybrid, and other segments (gold). Milestone annotations marked the start and end of the series, underscoring the doubling of investor accounts in four years.</w:t>
      </w:r>
    </w:p>
    <w:p>
      <w:pPr>
        <w:pStyle w:val="Heading3"/>
        <w:spacing w:after="80" w:before="200"/>
      </w:pPr>
      <w:r>
        <w:rPr>
          <w:rFonts w:ascii="Arial" w:cs="Arial" w:eastAsia="Arial" w:hAnsi="Arial"/>
          <w:b/>
          <w:bCs/>
          <w:color w:val="1A7A6E"/>
          <w:sz w:val="24"/>
          <w:szCs w:val="24"/>
        </w:rPr>
        <w:t xml:space="preserve">5.8  NAV Return Correlation Analysis</w:t>
      </w:r>
    </w:p>
    <w:p>
      <w:pPr>
        <w:spacing w:after="120" w:before="80" w:line="300"/>
      </w:pPr>
      <w:r>
        <w:rPr>
          <w:rFonts w:ascii="Arial" w:cs="Arial" w:eastAsia="Arial" w:hAnsi="Arial"/>
          <w:color w:val="2D2D2D"/>
          <w:sz w:val="22"/>
          <w:szCs w:val="22"/>
        </w:rPr>
        <w:t xml:space="preserve">Daily percentage returns were computed for 10 selected schemes and assembled into a returns matrix. Pairwise Pearson correlations were computed and rendered as a full square heatmap (Red-Yellow-Green colour scale). Large Cap funds clustered at 0.85–0.95 correlation, confirming high systematic co-movement. Debt funds showed near-zero or negative correlations, validating diversification benefit.</w:t>
      </w:r>
    </w:p>
    <w:p>
      <w:pPr>
        <w:pStyle w:val="Heading3"/>
        <w:spacing w:after="80" w:before="200"/>
      </w:pPr>
      <w:r>
        <w:rPr>
          <w:rFonts w:ascii="Arial" w:cs="Arial" w:eastAsia="Arial" w:hAnsi="Arial"/>
          <w:b/>
          <w:bCs/>
          <w:color w:val="1A7A6E"/>
          <w:sz w:val="24"/>
          <w:szCs w:val="24"/>
        </w:rPr>
        <w:t xml:space="preserve">5.9  Sector Allocation (Donut Chart)</w:t>
      </w:r>
    </w:p>
    <w:p>
      <w:pPr>
        <w:spacing w:after="120" w:before="80" w:line="300"/>
      </w:pPr>
      <w:r>
        <w:rPr>
          <w:rFonts w:ascii="Arial" w:cs="Arial" w:eastAsia="Arial" w:hAnsi="Arial"/>
          <w:color w:val="2D2D2D"/>
          <w:sz w:val="22"/>
          <w:szCs w:val="22"/>
        </w:rPr>
        <w:t xml:space="preserve">Portfolio holdings data was grouped by sector and summed across all equity funds. The top 10 sectors by aggregate weight were displayed as a donut chart, with Banking (17%) and IT (14%) as the two dominant allocations. The centre label reads 'Equity Funds' for clarity.</w:t>
      </w:r>
    </w:p>
    <w:p>
      <w:pPr>
        <w:pStyle w:val="Heading3"/>
        <w:spacing w:after="80" w:before="200"/>
      </w:pPr>
      <w:r>
        <w:rPr>
          <w:rFonts w:ascii="Arial" w:cs="Arial" w:eastAsia="Arial" w:hAnsi="Arial"/>
          <w:b/>
          <w:bCs/>
          <w:color w:val="1A7A6E"/>
          <w:sz w:val="24"/>
          <w:szCs w:val="24"/>
        </w:rPr>
        <w:t xml:space="preserve">5.10  Additional Analyses</w:t>
      </w:r>
    </w:p>
    <w:p>
      <w:pPr>
        <w:spacing w:after="120" w:before="80" w:line="300"/>
      </w:pPr>
      <w:r>
        <w:rPr>
          <w:rFonts w:ascii="Arial" w:cs="Arial" w:eastAsia="Arial" w:hAnsi="Arial"/>
          <w:color w:val="2D2D2D"/>
          <w:sz w:val="22"/>
          <w:szCs w:val="22"/>
        </w:rPr>
        <w:t xml:space="preserve">Five supplementary charts were generated: (i) Industry AUM trend line 2022–2026 with ₹50L Cr milestone; (ii) NIFTY 50 vs average MF NAV indexed overlay with outperformance shading; (iii) Top 10 schemes by 3-year CAGR vs industry average benchmark; (iv) Risk vs Return scatter with Sharpe ratio as bubble size; (v) Expense ratio vs 3-year return scatter distinguishing Direct vs Regular plans.</w:t>
      </w:r>
    </w:p>
    <w:p>
      <w:pPr>
        <w:spacing w:after="0" w:before="120"/>
      </w:pPr>
    </w:p>
    <w:p>
      <w:pPr>
        <w:pStyle w:val="Heading1"/>
        <w:spacing w:after="80" w:before="200"/>
      </w:pPr>
      <w:r>
        <w:rPr>
          <w:rFonts w:ascii="Arial" w:cs="Arial" w:eastAsia="Arial" w:hAnsi="Arial"/>
          <w:b/>
          <w:bCs/>
          <w:color w:val="1A3C5E"/>
          <w:sz w:val="30"/>
          <w:szCs w:val="30"/>
        </w:rPr>
        <w:t xml:space="preserve">6.  Visualisations Generated</w:t>
      </w:r>
    </w:p>
    <w:p>
      <w:pPr>
        <w:pBdr>
          <w:bottom w:val="single" w:color="F4A623" w:sz="8" w:space="1"/>
        </w:pBdr>
        <w:spacing w:after="160" w:before="0"/>
      </w:pPr>
    </w:p>
    <w:p>
      <w:pPr>
        <w:spacing w:after="120" w:before="80" w:line="300"/>
      </w:pPr>
      <w:r>
        <w:rPr>
          <w:rFonts w:ascii="Arial" w:cs="Arial" w:eastAsia="Arial" w:hAnsi="Arial"/>
          <w:color w:val="2D2D2D"/>
          <w:sz w:val="22"/>
          <w:szCs w:val="22"/>
        </w:rPr>
        <w:t xml:space="preserve">The notebook generated 15 publication-ready charts (150 DPI PNG exports), covering all EDA tasks defined in the project brief:</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30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Chart Title</w:t>
            </w:r>
          </w:p>
        </w:tc>
        <w:tc>
          <w:tcPr>
            <w:tcW w:type="dxa" w:w="57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01</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NAV Trend — 6 Flagship Schemes</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Indexed to 100 (Jan 2022); 2023 bull run &amp; 2024 correction highlighted</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02</w:t>
            </w:r>
          </w:p>
        </w:tc>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AUM Grouped Bar — Fund Houses</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Year-on-year AUM for top 8 fund houses; SBI ₹12.5L Cr annotated</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03</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SIP Inflow Time-Series</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Jan 2022–Dec 2025; ₹31,002 Cr all-time high (Dec 2025) annotated</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04</w:t>
            </w:r>
          </w:p>
        </w:tc>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Category Inflow Heatmap</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12 categories × 12 months; diverging red-green colour scale</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05</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Investor Demographics</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Age pie chart + SIP amount boxplot + gender donut (3-panel)</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06</w:t>
            </w:r>
          </w:p>
        </w:tc>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Geographic Distribution</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State-wise horizontal bar + T30 vs B30 city tier donut</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07</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Folio Count Growth</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13.26 Cr → 26.12 Cr line chart with equity/other fill bands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08</w:t>
            </w:r>
          </w:p>
        </w:tc>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NAV Return Correlation Matrix</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Pearson heatmap for 10 selected schemes' daily returns</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09</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Sector Allocation Donut</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Aggregate sector weights across all equity fund holdings</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10</w:t>
            </w:r>
          </w:p>
        </w:tc>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Risk vs Return Scatter</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Std Dev vs 3-yr return; bubble size = Sharpe ratio; by category</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11</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Industry AUM Trend</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Combined AUM growth line 2022–2026; ₹50L Cr milestone marked</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12</w:t>
            </w:r>
          </w:p>
        </w:tc>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Benchmark vs MF Overlay</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NIFTY 50 vs average MF NAV (indexed); outperformance shaded</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13</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Top 10 Scheme Returns</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Horizontal bar — top 10 by 3-year CAGR vs industry average</w:t>
            </w:r>
          </w:p>
        </w:tc>
      </w:tr>
      <w:tr>
        <w:tc>
          <w:tcPr>
            <w:tcW w:type="dxa" w:w="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14</w:t>
            </w:r>
          </w:p>
        </w:tc>
        <w:tc>
          <w:tcPr>
            <w:tcW w:type="dxa" w:w="30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SIP Accounts Dual Axis</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SIP inflow (₹ Cr) + active accounts (Cr) on dual Y-axes</w:t>
            </w:r>
          </w:p>
        </w:tc>
      </w:tr>
      <w:tr>
        <w:tc>
          <w:tcPr>
            <w:tcW w:type="dxa" w:w="6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15</w:t>
            </w:r>
          </w:p>
        </w:tc>
        <w:tc>
          <w:tcPr>
            <w:tcW w:type="dxa" w:w="300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Expense Ratio vs Returns</w:t>
            </w:r>
          </w:p>
        </w:tc>
        <w:tc>
          <w:tcPr>
            <w:tcW w:type="dxa" w:w="5760"/>
            <w:tcBorders>
              <w:top w:val="single" w:color="D0D7DE" w:sz="1"/>
              <w:left w:val="single" w:color="D0D7DE" w:sz="1"/>
              <w:bottom w:val="single" w:color="D0D7DE" w:sz="1"/>
              <w:right w:val="single" w:color="D0D7DE" w:sz="1"/>
            </w:tcBorders>
            <w:shd w:fill="F4F6F8"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Direct vs Regular plan scatter; trend line across all schemes</w:t>
            </w:r>
          </w:p>
        </w:tc>
      </w:tr>
    </w:tbl>
    <w:p>
      <w:pPr>
        <w:spacing w:after="0" w:before="200"/>
      </w:pPr>
    </w:p>
    <w:p>
      <w:pPr>
        <w:pStyle w:val="Heading1"/>
        <w:spacing w:after="80" w:before="200"/>
      </w:pPr>
      <w:r>
        <w:rPr>
          <w:rFonts w:ascii="Arial" w:cs="Arial" w:eastAsia="Arial" w:hAnsi="Arial"/>
          <w:b/>
          <w:bCs/>
          <w:color w:val="1A3C5E"/>
          <w:sz w:val="30"/>
          <w:szCs w:val="30"/>
        </w:rPr>
        <w:t xml:space="preserve">7.  Key EDA Findings</w:t>
      </w:r>
    </w:p>
    <w:p>
      <w:pPr>
        <w:pBdr>
          <w:bottom w:val="single" w:color="F4A623" w:sz="8" w:space="1"/>
        </w:pBdr>
        <w:spacing w:after="160" w:before="0"/>
      </w:pPr>
    </w:p>
    <w:p>
      <w:pPr>
        <w:spacing w:after="120" w:before="80" w:line="300"/>
      </w:pPr>
      <w:r>
        <w:rPr>
          <w:rFonts w:ascii="Arial" w:cs="Arial" w:eastAsia="Arial" w:hAnsi="Arial"/>
          <w:color w:val="2D2D2D"/>
          <w:sz w:val="22"/>
          <w:szCs w:val="22"/>
        </w:rPr>
        <w:t xml:space="preserve">The following ten findings were documented as Markdown cells in the notebook, each backed by a specific chart reference: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5760"/>
        <w:gridCol w:w="1400"/>
      </w:tblGrid>
      <w:tr>
        <w:trPr>
          <w:tblHeader/>
        </w:trPr>
        <w:tc>
          <w:tcPr>
            <w:tcW w:type="dxa" w:w="4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t>
            </w:r>
          </w:p>
        </w:tc>
        <w:tc>
          <w:tcPr>
            <w:tcW w:type="dxa" w:w="18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Finding</w:t>
            </w:r>
          </w:p>
        </w:tc>
        <w:tc>
          <w:tcPr>
            <w:tcW w:type="dxa" w:w="576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Detail</w:t>
            </w:r>
          </w:p>
        </w:tc>
        <w:tc>
          <w:tcPr>
            <w:tcW w:type="dxa" w:w="140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Chart Ref</w:t>
            </w:r>
          </w:p>
        </w:tc>
      </w:tr>
      <w:tr>
        <w:tc>
          <w:tcPr>
            <w:tcW w:type="dxa" w:w="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w:t>
            </w:r>
          </w:p>
        </w:tc>
        <w:tc>
          <w:tcPr>
            <w:tcW w:type="dxa" w:w="18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SIP All-Time High</w:t>
            </w:r>
          </w:p>
        </w:tc>
        <w:tc>
          <w:tcPr>
            <w:tcW w:type="dxa" w:w="576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Monthly SIP inflows reached ₹31,002 Cr in December 2025 — a 169% increase from ₹11,517 Cr in January 2022, confirming a structural shift to systematic investment behaviour.</w:t>
            </w:r>
          </w:p>
        </w:tc>
        <w:tc>
          <w:tcPr>
            <w:tcW w:type="dxa" w:w="1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3</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2</w:t>
            </w:r>
          </w:p>
        </w:tc>
        <w:tc>
          <w:tcPr>
            <w:tcW w:type="dxa" w:w="18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Folio Count Doubled</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Industry folios grew from 13.26 Cr (Jan 2022) to 26.12 Cr (Dec 2025), adding ~2.8 lakh new accounts per day, with equity folios comprising 72% of net growth.</w:t>
            </w:r>
          </w:p>
        </w:tc>
        <w:tc>
          <w:tcPr>
            <w:tcW w:type="dxa" w:w="1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7</w:t>
            </w:r>
          </w:p>
        </w:tc>
      </w:tr>
      <w:tr>
        <w:tc>
          <w:tcPr>
            <w:tcW w:type="dxa" w:w="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3</w:t>
            </w:r>
          </w:p>
        </w:tc>
        <w:tc>
          <w:tcPr>
            <w:tcW w:type="dxa" w:w="18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SBI Market Leadership</w:t>
            </w:r>
          </w:p>
        </w:tc>
        <w:tc>
          <w:tcPr>
            <w:tcW w:type="dxa" w:w="576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SBI Mutual Fund sustained the #1 position with ₹12.5 Lakh Crore AUM by FY2025 — a 2.1× growth over four years — driven by extensive branch and government scheme distribution.</w:t>
            </w:r>
          </w:p>
        </w:tc>
        <w:tc>
          <w:tcPr>
            <w:tcW w:type="dxa" w:w="1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2</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4</w:t>
            </w:r>
          </w:p>
        </w:tc>
        <w:tc>
          <w:tcPr>
            <w:tcW w:type="dxa" w:w="18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2023 Bull Run Impact</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All tracked flagship schemes outperformed during the 2023 bull run, reaching 155–175 on the indexed NAV scale (Base 100 = Jan 2022), reflecting broad equity market tailwinds.</w:t>
            </w:r>
          </w:p>
        </w:tc>
        <w:tc>
          <w:tcPr>
            <w:tcW w:type="dxa" w:w="1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1, 12</w:t>
            </w:r>
          </w:p>
        </w:tc>
      </w:tr>
      <w:tr>
        <w:tc>
          <w:tcPr>
            <w:tcW w:type="dxa" w:w="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5</w:t>
            </w:r>
          </w:p>
        </w:tc>
        <w:tc>
          <w:tcPr>
            <w:tcW w:type="dxa" w:w="18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Mid &amp; Small Cap Inflow Dominance</w:t>
            </w:r>
          </w:p>
        </w:tc>
        <w:tc>
          <w:tcPr>
            <w:tcW w:type="dxa" w:w="576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Mid Cap and Small Cap categories recorded the highest net positive inflows across all 12 months; Liquid funds showed predictable March outflows driven by tax-related redemptions.</w:t>
            </w:r>
          </w:p>
        </w:tc>
        <w:tc>
          <w:tcPr>
            <w:tcW w:type="dxa" w:w="1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4</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6</w:t>
            </w:r>
          </w:p>
        </w:tc>
        <w:tc>
          <w:tcPr>
            <w:tcW w:type="dxa" w:w="18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Millennial-Led SIP Growth</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The 26–35 cohort contributed the largest share of SIP accounts, while the 46–55 age group invested higher per-SIP amounts (median ₹4,500 vs ₹1,500 for 18–25).</w:t>
            </w:r>
          </w:p>
        </w:tc>
        <w:tc>
          <w:tcPr>
            <w:tcW w:type="dxa" w:w="1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5</w:t>
            </w:r>
          </w:p>
        </w:tc>
      </w:tr>
      <w:tr>
        <w:tc>
          <w:tcPr>
            <w:tcW w:type="dxa" w:w="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7</w:t>
            </w:r>
          </w:p>
        </w:tc>
        <w:tc>
          <w:tcPr>
            <w:tcW w:type="dxa" w:w="18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Banking &amp; IT Sector Dominance</w:t>
            </w:r>
          </w:p>
        </w:tc>
        <w:tc>
          <w:tcPr>
            <w:tcW w:type="dxa" w:w="576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Banking (17%) and IT (14%) together account for 31% of aggregate equity fund holdings, closely tracking NIFTY 50 composition and reflecting index fund expansion.</w:t>
            </w:r>
          </w:p>
        </w:tc>
        <w:tc>
          <w:tcPr>
            <w:tcW w:type="dxa" w:w="1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9</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8</w:t>
            </w:r>
          </w:p>
        </w:tc>
        <w:tc>
          <w:tcPr>
            <w:tcW w:type="dxa" w:w="18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Large Cap Inter-Correlation</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Daily return correlations of 0.85–0.95 among Large Cap funds confirm near-identical systematic beta exposure, limiting diversification benefits within the category.</w:t>
            </w:r>
          </w:p>
        </w:tc>
        <w:tc>
          <w:tcPr>
            <w:tcW w:type="dxa" w:w="1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8</w:t>
            </w:r>
          </w:p>
        </w:tc>
      </w:tr>
      <w:tr>
        <w:tc>
          <w:tcPr>
            <w:tcW w:type="dxa" w:w="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9</w:t>
            </w:r>
          </w:p>
        </w:tc>
        <w:tc>
          <w:tcPr>
            <w:tcW w:type="dxa" w:w="18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Direct Plan Alpha</w:t>
            </w:r>
          </w:p>
        </w:tc>
        <w:tc>
          <w:tcPr>
            <w:tcW w:type="dxa" w:w="576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Direct plan funds consistently outperformed Regular plans by 1–2% CAGR over 3 years, attributable to lower expense ratios (avg 0.7% vs 1.6% for Regular plans).</w:t>
            </w:r>
          </w:p>
        </w:tc>
        <w:tc>
          <w:tcPr>
            <w:tcW w:type="dxa" w:w="1400"/>
            <w:tcBorders>
              <w:top w:val="single" w:color="D0D7DE" w:sz="1"/>
              <w:left w:val="single" w:color="D0D7DE" w:sz="1"/>
              <w:bottom w:val="single" w:color="D0D7DE" w:sz="1"/>
              <w:right w:val="single" w:color="D0D7DE" w:sz="1"/>
            </w:tcBorders>
            <w:shd w:fill="D6E8F5"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15</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bCs/>
                <w:color w:val="2D2D2D"/>
                <w:sz w:val="20"/>
                <w:szCs w:val="20"/>
              </w:rPr>
              <w:t xml:space="preserve">10</w:t>
            </w:r>
          </w:p>
        </w:tc>
        <w:tc>
          <w:tcPr>
            <w:tcW w:type="dxa" w:w="18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T30 Urban Concentration</w:t>
            </w:r>
          </w:p>
        </w:tc>
        <w:tc>
          <w:tcPr>
            <w:tcW w:type="dxa" w:w="57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T30 cities account for ~75% of total SIP value; Maharashtra, Karnataka, and Delhi NCR alone contribute over 50%. B30 share has grown from ~18% to ~25% over the period.</w:t>
            </w:r>
          </w:p>
        </w:tc>
        <w:tc>
          <w:tcPr>
            <w:tcW w:type="dxa" w:w="14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color w:val="2D2D2D"/>
                <w:sz w:val="20"/>
                <w:szCs w:val="20"/>
              </w:rPr>
              <w:t xml:space="preserve">Chart 6</w:t>
            </w:r>
          </w:p>
        </w:tc>
      </w:tr>
    </w:tbl>
    <w:p>
      <w:pPr>
        <w:spacing w:after="0" w:before="200"/>
      </w:pPr>
    </w:p>
    <w:p>
      <w:pPr>
        <w:pStyle w:val="Heading1"/>
        <w:spacing w:after="80" w:before="200"/>
      </w:pPr>
      <w:r>
        <w:rPr>
          <w:rFonts w:ascii="Arial" w:cs="Arial" w:eastAsia="Arial" w:hAnsi="Arial"/>
          <w:b/>
          <w:bCs/>
          <w:color w:val="1A3C5E"/>
          <w:sz w:val="30"/>
          <w:szCs w:val="30"/>
        </w:rPr>
        <w:t xml:space="preserve">8.  Conclusion</w:t>
      </w:r>
    </w:p>
    <w:p>
      <w:pPr>
        <w:pBdr>
          <w:bottom w:val="single" w:color="F4A623" w:sz="8" w:space="1"/>
        </w:pBdr>
        <w:spacing w:after="160" w:before="0"/>
      </w:pPr>
    </w:p>
    <w:p>
      <w:pPr>
        <w:spacing w:after="120" w:before="80" w:line="300"/>
      </w:pPr>
      <w:r>
        <w:rPr>
          <w:rFonts w:ascii="Arial" w:cs="Arial" w:eastAsia="Arial" w:hAnsi="Arial"/>
          <w:color w:val="2D2D2D"/>
          <w:sz w:val="22"/>
          <w:szCs w:val="22"/>
        </w:rPr>
        <w:t xml:space="preserve">The Exploratory Data Analysis phase successfully transformed ten raw CSV datasets into a coherent set of statistical summaries and 15 publication-ready visualisations. The analysis surfaced critical insights across fund performance, investor demographics, geographic distribution, portfolio construction, and industry growth metrics.</w:t>
      </w:r>
    </w:p>
    <w:p>
      <w:pPr>
        <w:spacing w:after="120" w:before="80" w:line="300"/>
      </w:pPr>
      <w:r>
        <w:rPr>
          <w:rFonts w:ascii="Arial" w:cs="Arial" w:eastAsia="Arial" w:hAnsi="Arial"/>
          <w:color w:val="2D2D2D"/>
          <w:sz w:val="22"/>
          <w:szCs w:val="22"/>
        </w:rPr>
        <w:t xml:space="preserve">Key outcomes include the confirmation of a sustained SIP inflow growth trajectory culminating in an all-time high of ₹31,002 Crore, the doubling of industry folios from 13.26 Crore to 26.12 Crore, and the quantification of a 1–2% CAGR advantage for Direct plan investors. The correlation analysis established clear diversification boundaries between equity and debt fund categories, while the sector allocation donut revealed the dominant role of Banking and IT in equity mandates.</w:t>
      </w:r>
    </w:p>
    <w:p>
      <w:pPr>
        <w:spacing w:after="120" w:before="80" w:line="300"/>
      </w:pPr>
      <w:r>
        <w:rPr>
          <w:rFonts w:ascii="Arial" w:cs="Arial" w:eastAsia="Arial" w:hAnsi="Arial"/>
          <w:color w:val="2D2D2D"/>
          <w:sz w:val="22"/>
          <w:szCs w:val="22"/>
        </w:rPr>
        <w:t xml:space="preserve">These findings provide a robust analytical foundation for the next project phases — predictive modelling, investor segmentation, and interactive dashboard development.</w:t>
      </w:r>
    </w:p>
    <w:p>
      <w:pPr>
        <w:spacing w:after="0" w:before="120"/>
      </w:pPr>
    </w:p>
    <w:p>
      <w:pPr>
        <w:pStyle w:val="Heading1"/>
        <w:spacing w:after="80" w:before="200"/>
      </w:pPr>
      <w:r>
        <w:rPr>
          <w:rFonts w:ascii="Arial" w:cs="Arial" w:eastAsia="Arial" w:hAnsi="Arial"/>
          <w:b/>
          <w:bCs/>
          <w:color w:val="1A3C5E"/>
          <w:sz w:val="30"/>
          <w:szCs w:val="30"/>
        </w:rPr>
        <w:t xml:space="preserve">9.  Future Scope</w:t>
      </w:r>
    </w:p>
    <w:p>
      <w:pPr>
        <w:pBdr>
          <w:bottom w:val="single" w:color="F4A623" w:sz="8"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Initiative</w:t>
            </w:r>
          </w:p>
        </w:tc>
        <w:tc>
          <w:tcPr>
            <w:tcW w:type="dxa" w:w="6480"/>
            <w:tcBorders>
              <w:top w:val="single" w:color="D0D7DE" w:sz="1"/>
              <w:left w:val="single" w:color="D0D7DE" w:sz="1"/>
              <w:bottom w:val="single" w:color="D0D7DE" w:sz="1"/>
              <w:right w:val="single" w:color="D0D7DE" w:sz="1"/>
            </w:tcBorders>
            <w:shd w:fill="1A3C5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Description</w:t>
            </w:r>
          </w:p>
        </w:tc>
      </w:tr>
      <w:tr>
        <w:tc>
          <w:tcPr>
            <w:tcW w:type="dxa" w:w="28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Interactive Dashboards</w:t>
            </w:r>
          </w:p>
        </w:tc>
        <w:tc>
          <w:tcPr>
            <w:tcW w:type="dxa" w:w="64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Power BI / Tableau dashboards for real-time NAV, AUM, and SIP monitoring</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ML Return Prediction</w:t>
            </w:r>
          </w:p>
        </w:tc>
        <w:tc>
          <w:tcPr>
            <w:tcW w:type="dxa" w:w="64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LSTM / XGBoost models to forecast NAV returns using historical data</w:t>
            </w:r>
          </w:p>
        </w:tc>
      </w:tr>
      <w:tr>
        <w:tc>
          <w:tcPr>
            <w:tcW w:type="dxa" w:w="28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Investor Segmentation</w:t>
            </w:r>
          </w:p>
        </w:tc>
        <w:tc>
          <w:tcPr>
            <w:tcW w:type="dxa" w:w="64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Clustering investors by behaviour, demographics, and portfolio risk profile</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Portfolio Optimisation</w:t>
            </w:r>
          </w:p>
        </w:tc>
        <w:tc>
          <w:tcPr>
            <w:tcW w:type="dxa" w:w="64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Mean-variance and Black-Litterman models for optimal fund allocation</w:t>
            </w:r>
          </w:p>
        </w:tc>
      </w:tr>
      <w:tr>
        <w:tc>
          <w:tcPr>
            <w:tcW w:type="dxa" w:w="28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Risk Analysis Models</w:t>
            </w:r>
          </w:p>
        </w:tc>
        <w:tc>
          <w:tcPr>
            <w:tcW w:type="dxa" w:w="64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Monte Carlo simulations for Value-at-Risk and drawdown probability</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Recommendation System</w:t>
            </w:r>
          </w:p>
        </w:tc>
        <w:tc>
          <w:tcPr>
            <w:tcW w:type="dxa" w:w="64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Collaborative and content-based filtering for personalised fund suggestions</w:t>
            </w:r>
          </w:p>
        </w:tc>
      </w:tr>
      <w:tr>
        <w:tc>
          <w:tcPr>
            <w:tcW w:type="dxa" w:w="28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bCs/>
                <w:color w:val="2D2D2D"/>
                <w:sz w:val="20"/>
                <w:szCs w:val="20"/>
              </w:rPr>
              <w:t xml:space="preserve">Real-Time Analytics</w:t>
            </w:r>
          </w:p>
        </w:tc>
        <w:tc>
          <w:tcPr>
            <w:tcW w:type="dxa" w:w="6480"/>
            <w:tcBorders>
              <w:top w:val="single" w:color="D0D7DE" w:sz="1"/>
              <w:left w:val="single" w:color="D0D7DE" w:sz="1"/>
              <w:bottom w:val="single" w:color="D0D7DE" w:sz="1"/>
              <w:right w:val="single" w:color="D0D7DE" w:sz="1"/>
            </w:tcBorders>
            <w:shd w:fill="FEF3DC" w:val="clear"/>
            <w:tcMar>
              <w:top w:type="dxa" w:w="80"/>
              <w:left w:type="dxa" w:w="160"/>
              <w:bottom w:type="dxa" w:w="80"/>
              <w:right w:type="dxa" w:w="160"/>
            </w:tcMar>
            <w:vAlign w:val="center"/>
          </w:tcPr>
          <w:p>
            <w:pPr>
              <w:jc w:val="left"/>
            </w:pPr>
            <w:r>
              <w:rPr>
                <w:rFonts w:ascii="Arial" w:cs="Arial" w:eastAsia="Arial" w:hAnsi="Arial"/>
                <w:b w:val="false"/>
                <w:bCs w:val="false"/>
                <w:color w:val="2D2D2D"/>
                <w:sz w:val="20"/>
                <w:szCs w:val="20"/>
              </w:rPr>
              <w:t xml:space="preserve">Streaming pipelines for live market data ingestion and alerting</w:t>
            </w:r>
          </w:p>
        </w:tc>
      </w:tr>
    </w:tbl>
    <w:p>
      <w:pPr>
        <w:spacing w:after="0" w:before="200"/>
      </w:pPr>
    </w:p>
    <w:p>
      <w:pPr>
        <w:pBdr>
          <w:bottom w:val="single" w:color="D0D7DE" w:sz="4" w:space="1"/>
        </w:pBdr>
        <w:spacing w:after="160" w:before="0"/>
      </w:pPr>
    </w:p>
    <w:p>
      <w:pPr>
        <w:spacing w:before="120"/>
        <w:jc w:val="center"/>
      </w:pPr>
      <w:r>
        <w:rPr>
          <w:rFonts w:ascii="Arial" w:cs="Arial" w:eastAsia="Arial" w:hAnsi="Arial"/>
          <w:i/>
          <w:iCs/>
          <w:color w:val="888888"/>
          <w:sz w:val="18"/>
          <w:szCs w:val="18"/>
        </w:rPr>
        <w:t xml:space="preserve">EDA_Analysis.ipynb  ·  10 CSV Datasets  ·  46,000+ NAV Records  ·  32,778 Investor Transactions  ·  15 Charts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tabs>
        <w:tab w:val="right" w:pos="9360"/>
      </w:tabs>
      <w:spacing w:before="0"/>
    </w:pPr>
    <w:r>
      <w:rPr>
        <w:rFonts w:ascii="Arial" w:cs="Arial" w:eastAsia="Arial" w:hAnsi="Arial"/>
        <w:color w:val="888888"/>
        <w:sz w:val="16"/>
        <w:szCs w:val="16"/>
      </w:rPr>
      <w:t xml:space="preserve">Day 2 – Exploratory Data Analysis  |  Indian Mutual Fund Dataset 2022–2026</w:t>
    </w:r>
    <w:r>
      <w:rPr>
        <w:sz w:val="16"/>
        <w:szCs w:val="16"/>
      </w:rPr>
      <w:t xml:space="preserve">	</w:t>
    </w:r>
    <w:r>
      <w:rPr>
        <w:rFonts w:ascii="Arial" w:cs="Arial" w:eastAsia="Arial" w:hAnsi="Arial"/>
        <w:color w:val="888888"/>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623" w:sz="6" w:space="1"/>
      </w:pBdr>
      <w:tabs>
        <w:tab w:val="right" w:pos="9360"/>
      </w:tabs>
      <w:spacing w:after="0"/>
    </w:pPr>
    <w:r>
      <w:rPr>
        <w:rFonts w:ascii="Arial" w:cs="Arial" w:eastAsia="Arial" w:hAnsi="Arial"/>
        <w:b/>
        <w:bCs/>
        <w:color w:val="1A3C5E"/>
        <w:sz w:val="18"/>
        <w:szCs w:val="18"/>
      </w:rPr>
      <w:t xml:space="preserve">Mutual Fund Analytics  —  EDA Report</w:t>
    </w:r>
    <w:r>
      <w:rPr>
        <w:rFonts w:ascii="Arial" w:cs="Arial" w:eastAsia="Arial" w:hAnsi="Arial"/>
        <w:sz w:val="18"/>
        <w:szCs w:val="18"/>
      </w:rPr>
      <w:t xml:space="preserve">	</w:t>
    </w:r>
    <w:r>
      <w:rPr>
        <w:rFonts w:ascii="Arial" w:cs="Arial" w:eastAsia="Arial" w:hAnsi="Arial"/>
        <w:color w:val="666666"/>
        <w:sz w:val="18"/>
        <w:szCs w:val="18"/>
      </w:rPr>
      <w:t xml:space="preserve">Tanushree Rathod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7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2026-06-27T08:25:01.780Z</dcterms:created>
  <dcterms:modified xsi:type="dcterms:W3CDTF">2026-06-27T08:25:01.780Z</dcterms:modified>
</cp:coreProperties>
</file>

<file path=docProps/custom.xml><?xml version="1.0" encoding="utf-8"?>
<Properties xmlns="http://schemas.openxmlformats.org/officeDocument/2006/custom-properties" xmlns:vt="http://schemas.openxmlformats.org/officeDocument/2006/docPropsVTypes"/>
</file>