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writers in the English language and is often called the "Bard of Avon."</w:t>
        <w:br/>
        <w:br/>
        <w:t>Shakespeare's life before he became a playwright is not well documented, but it is known that he attended the local grammar school in Stratford and later worked as an actor and playwright in London. His first play, believed to be "The Two Gentlemen of Verona," was likely written around 1590. Over the next several years, he wrote at least 17 plays, including "Romeo and Juliet," "A Midsummer Night's Dream," "Macbeth," and "Hamlet." These works are still performed and studied today for their literary merit, historical significance, and insight into human nature.</w:t>
        <w:br/>
        <w:br/>
        <w:t>Shakespeare's plays were initially performed by his own acting company, The Lord Chamberlain's Men, which later became known as The King's Men. Many of these early performances took place at The Globe Theatre in London, which was built by Shakespeare's friends and investors in 1599.</w:t>
        <w:br/>
        <w:br/>
        <w:t>In addition to his work as a playwright, Shakespeare was also a shareholder in The Lord Chamberlain's Men, and he invested in real estate and other business ventures. He married Anne Hathaway when he was 18 years old and had three children with her. However, little else is known about his personal life beyond this basic information.</w:t>
        <w:br/>
        <w:br/>
        <w:t>Shakespeare's legacy has endured for centuries, and his works continue to inspire new adaptations, interpretations, and reinterpretations in various forms of media. His influence can be seen in literature, film, theatre, music, and countless other artistic endeavors. Despite the passage of time and changes in cultural context, Shakespeare's writing remains remarkably relevant and resonant to audiences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