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before="160" w:after="100"/>
        <w:ind w:firstLine="720"/>
        <w:jc w:val="center"/>
        <w:rPr>
          <w:b w:val="1"/>
          <w:bCs w:val="1"/>
          <w:color w:val="ff0000"/>
          <w:sz w:val="32"/>
          <w:szCs w:val="32"/>
          <w:u w:color="ff0000"/>
        </w:rPr>
      </w:pPr>
      <w:r>
        <w:rPr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Report for Lab 19-1: IP</w:t>
      </w:r>
    </w:p>
    <w:tbl>
      <w:tblPr>
        <w:tblW w:w="885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2"/>
        <w:gridCol w:w="2855"/>
        <w:gridCol w:w="271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b w:val="1"/>
                <w:bCs w:val="1"/>
                <w:rtl w:val="0"/>
                <w:lang w:val="en-US"/>
              </w:rPr>
              <w:t>Name: Tanveen Kaur</w:t>
            </w:r>
          </w:p>
        </w:tc>
        <w:tc>
          <w:tcPr>
            <w:tcW w:type="dxa" w:w="2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b w:val="1"/>
                <w:bCs w:val="1"/>
                <w:rtl w:val="0"/>
                <w:lang w:val="en-US"/>
              </w:rPr>
              <w:t>Student ID: 1014603</w:t>
            </w:r>
          </w:p>
        </w:tc>
        <w:tc>
          <w:tcPr>
            <w:tcW w:type="dxa" w:w="2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b w:val="1"/>
                <w:bCs w:val="1"/>
                <w:rtl w:val="0"/>
                <w:lang w:val="en-US"/>
              </w:rPr>
              <w:t>Date: 04/02/2017</w:t>
            </w:r>
          </w:p>
        </w:tc>
      </w:tr>
    </w:tbl>
    <w:p>
      <w:pPr>
        <w:pStyle w:val="Normal.0"/>
        <w:widowControl w:val="0"/>
        <w:spacing w:before="160" w:after="100"/>
        <w:ind w:left="216" w:hanging="216"/>
        <w:jc w:val="center"/>
        <w:rPr>
          <w:b w:val="1"/>
          <w:bCs w:val="1"/>
          <w:color w:val="ff0000"/>
          <w:sz w:val="32"/>
          <w:szCs w:val="32"/>
          <w:u w:color="ff0000"/>
        </w:rPr>
      </w:pPr>
    </w:p>
    <w:p>
      <w:pPr>
        <w:pStyle w:val="Normal.0"/>
        <w:widowControl w:val="0"/>
        <w:spacing w:before="160" w:after="100"/>
        <w:ind w:left="108" w:hanging="108"/>
        <w:jc w:val="center"/>
        <w:rPr>
          <w:b w:val="1"/>
          <w:bCs w:val="1"/>
          <w:color w:val="ff0000"/>
          <w:sz w:val="32"/>
          <w:szCs w:val="32"/>
          <w:u w:color="ff0000"/>
        </w:rPr>
      </w:pPr>
    </w:p>
    <w:p>
      <w:pPr>
        <w:pStyle w:val="Normal.0"/>
        <w:widowControl w:val="0"/>
        <w:spacing w:before="160" w:after="100"/>
        <w:jc w:val="center"/>
        <w:rPr>
          <w:b w:val="1"/>
          <w:bCs w:val="1"/>
          <w:color w:val="ff0000"/>
          <w:sz w:val="32"/>
          <w:szCs w:val="32"/>
          <w:u w:color="ff0000"/>
        </w:rPr>
      </w:pPr>
    </w:p>
    <w:p>
      <w:pPr>
        <w:pStyle w:val="Normal.0"/>
      </w:pPr>
    </w:p>
    <w:tbl>
      <w:tblPr>
        <w:tblW w:w="88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"/>
        <w:gridCol w:w="4221"/>
        <w:gridCol w:w="4219"/>
      </w:tblGrid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4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a. IP version: IPv4 i.e IP Version 4.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b. Header length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Number of bytes in  the header: 20 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c. Service type: Differentiated Services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d.  Total length: 40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e. Identification: 52544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f.  Flags:  0x00 </w:t>
            </w:r>
            <w:r>
              <w:rPr>
                <w:i w:val="1"/>
                <w:iCs w:val="1"/>
                <w:rtl w:val="0"/>
                <w:lang w:val="en-US"/>
              </w:rPr>
              <w:t>(3 bits, ip.flags, 1 Byte)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g. Fragmentation offset: 0 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h. TTL: 49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i. Upper layer protocol: TCP (6)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j. Checksum: 0xe7cb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k. Source IP address: 74.125.200.154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l. Destination IP address:192.168.1.4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Are answers to question 1 verified by the information in the packet detail pane? YES</w:t>
            </w:r>
          </w:p>
        </w:tc>
      </w:tr>
      <w:tr>
        <w:tblPrEx>
          <w:shd w:val="clear" w:color="auto" w:fill="ced7e7"/>
        </w:tblPrEx>
        <w:trPr>
          <w:trHeight w:val="106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If the checksum in the packet detail pane is marked correct, can we conclude that the IP payload is not corrupted?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Explain. Yes, check sum is used to identify whether is there any error occurred. So if the checksum is marked as correct then there will be no error in IP Payload.</w:t>
            </w:r>
          </w:p>
        </w:tc>
      </w:tr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Is the datagram fragmented?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Explain. NO, Since the More Fragments bit is 0. </w:t>
            </w:r>
          </w:p>
        </w:tc>
      </w:tr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Does source or destination address belong to one of the special addresses? 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If yes which one? Yes, Private address for source Address belongs to Special Addresses. 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Number of bytes of data in the IP payload: IP Header = 20 Bytes and Total Length is 40 Bytes, which gives us 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 xml:space="preserve">0 Bytes in the IP payload. </w:t>
            </w:r>
          </w:p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