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483C1" w14:textId="57A9D68E" w:rsidR="005260F3" w:rsidRDefault="00023FA1">
      <w:r w:rsidRPr="00023FA1">
        <w:drawing>
          <wp:inline distT="0" distB="0" distL="0" distR="0" wp14:anchorId="2998E13A" wp14:editId="76A31EAB">
            <wp:extent cx="5731510" cy="1236980"/>
            <wp:effectExtent l="0" t="0" r="2540" b="1270"/>
            <wp:docPr id="80551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18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FA1"/>
    <w:rsid w:val="00023FA1"/>
    <w:rsid w:val="005260F3"/>
    <w:rsid w:val="005E1190"/>
    <w:rsid w:val="009C7B15"/>
    <w:rsid w:val="00ED1B63"/>
    <w:rsid w:val="00F4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FB57C"/>
  <w15:chartTrackingRefBased/>
  <w15:docId w15:val="{B2329BFF-77A6-4CD5-932E-9B3BCA7D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Amin - Head of Regulatory Affairs and Quality Assurance</dc:creator>
  <cp:keywords/>
  <dc:description/>
  <cp:lastModifiedBy>Pratik Amin - Head of Regulatory Affairs and Quality Assurance</cp:lastModifiedBy>
  <cp:revision>2</cp:revision>
  <dcterms:created xsi:type="dcterms:W3CDTF">2026-03-13T16:01:00Z</dcterms:created>
  <dcterms:modified xsi:type="dcterms:W3CDTF">2026-03-13T16:02:00Z</dcterms:modified>
</cp:coreProperties>
</file>