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CBC" w:rsidRPr="001F7CBC" w:rsidRDefault="001F7CBC">
      <w:pPr>
        <w:rPr>
          <w:b/>
        </w:rPr>
      </w:pPr>
    </w:p>
    <w:tbl>
      <w:tblPr>
        <w:tblStyle w:val="TableGrid"/>
        <w:tblW w:w="0" w:type="auto"/>
        <w:tblLook w:val="04A0" w:firstRow="1" w:lastRow="0" w:firstColumn="1" w:lastColumn="0" w:noHBand="0" w:noVBand="1"/>
      </w:tblPr>
      <w:tblGrid>
        <w:gridCol w:w="9265"/>
      </w:tblGrid>
      <w:tr w:rsidR="00385528" w:rsidTr="00385528">
        <w:tc>
          <w:tcPr>
            <w:tcW w:w="9265" w:type="dxa"/>
          </w:tcPr>
          <w:p w:rsidR="00385528" w:rsidRPr="00FA1D45" w:rsidRDefault="00385528">
            <w:pPr>
              <w:rPr>
                <w:b/>
              </w:rPr>
            </w:pPr>
            <w:r w:rsidRPr="00FA1D45">
              <w:rPr>
                <w:b/>
              </w:rPr>
              <w:t>Important</w:t>
            </w:r>
            <w:r>
              <w:rPr>
                <w:b/>
              </w:rPr>
              <w:t xml:space="preserve"> changes (mostly)</w:t>
            </w:r>
          </w:p>
        </w:tc>
      </w:tr>
      <w:tr w:rsidR="00385528" w:rsidTr="00385528">
        <w:tc>
          <w:tcPr>
            <w:tcW w:w="9265" w:type="dxa"/>
          </w:tcPr>
          <w:p w:rsidR="00385528" w:rsidRDefault="00385528">
            <w:r w:rsidRPr="00456928">
              <w:rPr>
                <w:highlight w:val="yellow"/>
              </w:rPr>
              <w:t>Title page – see note below</w:t>
            </w:r>
          </w:p>
        </w:tc>
      </w:tr>
      <w:tr w:rsidR="00456928" w:rsidRPr="00456928" w:rsidTr="00EB5079">
        <w:tc>
          <w:tcPr>
            <w:tcW w:w="9265" w:type="dxa"/>
          </w:tcPr>
          <w:p w:rsidR="00456928" w:rsidRPr="00456928" w:rsidRDefault="00456928" w:rsidP="00EB5079">
            <w:r w:rsidRPr="00456928">
              <w:t>Preliminary Section – Creating APEX LT</w:t>
            </w:r>
          </w:p>
        </w:tc>
      </w:tr>
      <w:tr w:rsidR="00385528" w:rsidTr="00385528">
        <w:tc>
          <w:tcPr>
            <w:tcW w:w="9265" w:type="dxa"/>
          </w:tcPr>
          <w:p w:rsidR="00385528" w:rsidRDefault="00385528" w:rsidP="001F7CBC">
            <w:r>
              <w:t>p. 57 Figure 1.29 move up</w:t>
            </w:r>
          </w:p>
        </w:tc>
      </w:tr>
      <w:tr w:rsidR="00385528" w:rsidTr="00385528">
        <w:tc>
          <w:tcPr>
            <w:tcW w:w="9265" w:type="dxa"/>
          </w:tcPr>
          <w:p w:rsidR="00385528" w:rsidRDefault="00385528">
            <w:r>
              <w:t>p. 62 Figure 1.32 move up</w:t>
            </w:r>
          </w:p>
        </w:tc>
      </w:tr>
      <w:tr w:rsidR="00385528" w:rsidTr="00385528">
        <w:tc>
          <w:tcPr>
            <w:tcW w:w="9265" w:type="dxa"/>
          </w:tcPr>
          <w:p w:rsidR="00385528" w:rsidRDefault="00385528">
            <w:r>
              <w:t>Figure 1.34 is not referenced in the text – see note below</w:t>
            </w:r>
          </w:p>
        </w:tc>
      </w:tr>
      <w:tr w:rsidR="00385528" w:rsidTr="00385528">
        <w:tc>
          <w:tcPr>
            <w:tcW w:w="9265" w:type="dxa"/>
          </w:tcPr>
          <w:p w:rsidR="00385528" w:rsidRDefault="00385528" w:rsidP="00717C0A">
            <w:r w:rsidRPr="00456928">
              <w:rPr>
                <w:highlight w:val="yellow"/>
              </w:rPr>
              <w:t>In 2.0 –  define x &amp; y so they are nonnegative for even roots – see note below</w:t>
            </w:r>
          </w:p>
        </w:tc>
      </w:tr>
      <w:tr w:rsidR="00385528" w:rsidTr="00385528">
        <w:tc>
          <w:tcPr>
            <w:tcW w:w="9265" w:type="dxa"/>
          </w:tcPr>
          <w:p w:rsidR="00385528" w:rsidRDefault="00385528" w:rsidP="00717C0A">
            <w:r>
              <w:t>Figure 2.1 needs to move to p. 82</w:t>
            </w:r>
          </w:p>
        </w:tc>
      </w:tr>
      <w:tr w:rsidR="00385528" w:rsidTr="00385528">
        <w:tc>
          <w:tcPr>
            <w:tcW w:w="9265" w:type="dxa"/>
          </w:tcPr>
          <w:p w:rsidR="00385528" w:rsidRDefault="00385528" w:rsidP="00717C0A">
            <w:r>
              <w:t>Section 2.3, Example 2.4.8 – why n \</w:t>
            </w:r>
            <w:proofErr w:type="spellStart"/>
            <w:r>
              <w:t>neq</w:t>
            </w:r>
            <w:proofErr w:type="spellEnd"/>
            <w:r>
              <w:t xml:space="preserve"> 0? – see note below</w:t>
            </w:r>
          </w:p>
        </w:tc>
      </w:tr>
      <w:tr w:rsidR="00385528" w:rsidTr="00385528">
        <w:tc>
          <w:tcPr>
            <w:tcW w:w="9265" w:type="dxa"/>
          </w:tcPr>
          <w:p w:rsidR="00385528" w:rsidRDefault="00385528" w:rsidP="00717C0A">
            <w:r>
              <w:t>p. 150 Figure 3.5 move up</w:t>
            </w:r>
          </w:p>
        </w:tc>
      </w:tr>
      <w:tr w:rsidR="00385528" w:rsidTr="00385528">
        <w:tc>
          <w:tcPr>
            <w:tcW w:w="9265" w:type="dxa"/>
          </w:tcPr>
          <w:p w:rsidR="00385528" w:rsidRDefault="00385528" w:rsidP="00C80A5E">
            <w:r>
              <w:t>p. 152 Figure 3.8 move up</w:t>
            </w:r>
          </w:p>
        </w:tc>
      </w:tr>
      <w:tr w:rsidR="00385528" w:rsidTr="00385528">
        <w:tc>
          <w:tcPr>
            <w:tcW w:w="9265" w:type="dxa"/>
          </w:tcPr>
          <w:p w:rsidR="00385528" w:rsidRDefault="00385528" w:rsidP="00C80A5E">
            <w:r>
              <w:t xml:space="preserve">p. 156 Figure 3.11 move up </w:t>
            </w:r>
          </w:p>
        </w:tc>
      </w:tr>
      <w:tr w:rsidR="00385528" w:rsidTr="00385528">
        <w:tc>
          <w:tcPr>
            <w:tcW w:w="9265" w:type="dxa"/>
          </w:tcPr>
          <w:p w:rsidR="00385528" w:rsidRDefault="00385528" w:rsidP="00C80A5E">
            <w:r>
              <w:t>p. 157 Figure 3.13 move up</w:t>
            </w:r>
          </w:p>
        </w:tc>
      </w:tr>
      <w:tr w:rsidR="00385528" w:rsidTr="00385528">
        <w:tc>
          <w:tcPr>
            <w:tcW w:w="9265" w:type="dxa"/>
          </w:tcPr>
          <w:p w:rsidR="00385528" w:rsidRDefault="00385528" w:rsidP="00C80A5E">
            <w:r>
              <w:t>p. 166 Figure 3.18 is not referenced in the text – see note below</w:t>
            </w:r>
          </w:p>
        </w:tc>
      </w:tr>
      <w:tr w:rsidR="00385528" w:rsidTr="00385528">
        <w:tc>
          <w:tcPr>
            <w:tcW w:w="9265" w:type="dxa"/>
          </w:tcPr>
          <w:p w:rsidR="00385528" w:rsidRDefault="00385528" w:rsidP="00C80A5E">
            <w:r>
              <w:t>P, 173 Figure 3.21 move up</w:t>
            </w:r>
          </w:p>
        </w:tc>
      </w:tr>
      <w:tr w:rsidR="00385528" w:rsidTr="00385528">
        <w:tc>
          <w:tcPr>
            <w:tcW w:w="9265" w:type="dxa"/>
          </w:tcPr>
          <w:p w:rsidR="00385528" w:rsidRDefault="00385528" w:rsidP="00C80A5E">
            <w:r>
              <w:t>p. 185 Figure 3.33 move up</w:t>
            </w:r>
          </w:p>
        </w:tc>
      </w:tr>
      <w:tr w:rsidR="00385528" w:rsidTr="00385528">
        <w:tc>
          <w:tcPr>
            <w:tcW w:w="9265" w:type="dxa"/>
          </w:tcPr>
          <w:p w:rsidR="00385528" w:rsidRDefault="00385528" w:rsidP="00C80A5E">
            <w:r>
              <w:t>p. 187 The sign chart for example 3.5.3 – remove figure number &amp; caption</w:t>
            </w:r>
          </w:p>
        </w:tc>
      </w:tr>
      <w:tr w:rsidR="00385528" w:rsidTr="00385528">
        <w:tc>
          <w:tcPr>
            <w:tcW w:w="9265" w:type="dxa"/>
          </w:tcPr>
          <w:p w:rsidR="00385528" w:rsidRDefault="00385528" w:rsidP="00C80A5E">
            <w:r>
              <w:t>p. 205 Example 4.2.4 – see note below</w:t>
            </w:r>
          </w:p>
        </w:tc>
      </w:tr>
      <w:tr w:rsidR="00385528" w:rsidTr="00385528">
        <w:tc>
          <w:tcPr>
            <w:tcW w:w="9265" w:type="dxa"/>
          </w:tcPr>
          <w:p w:rsidR="00385528" w:rsidRDefault="00385528" w:rsidP="00C80A5E">
            <w:r>
              <w:t>p. 274 Figure 5.22 move up</w:t>
            </w:r>
          </w:p>
        </w:tc>
      </w:tr>
      <w:tr w:rsidR="00385528" w:rsidTr="00385528">
        <w:tc>
          <w:tcPr>
            <w:tcW w:w="9265" w:type="dxa"/>
          </w:tcPr>
          <w:p w:rsidR="00385528" w:rsidRDefault="00385528" w:rsidP="00C80A5E">
            <w:r w:rsidRPr="00456928">
              <w:rPr>
                <w:highlight w:val="yellow"/>
              </w:rPr>
              <w:t>p. 286 Key Idea 11 – see note below</w:t>
            </w:r>
          </w:p>
        </w:tc>
      </w:tr>
      <w:tr w:rsidR="00385528" w:rsidTr="00385528">
        <w:tc>
          <w:tcPr>
            <w:tcW w:w="9265" w:type="dxa"/>
          </w:tcPr>
          <w:p w:rsidR="00385528" w:rsidRDefault="00385528" w:rsidP="00C80A5E">
            <w:r>
              <w:t>p. 294 Figure 6.1 move up</w:t>
            </w:r>
          </w:p>
        </w:tc>
      </w:tr>
      <w:tr w:rsidR="00385528" w:rsidTr="00385528">
        <w:tc>
          <w:tcPr>
            <w:tcW w:w="9265" w:type="dxa"/>
          </w:tcPr>
          <w:p w:rsidR="00385528" w:rsidRDefault="00385528" w:rsidP="00C80A5E">
            <w:r>
              <w:t>p. 307 Figure 6.14 move up</w:t>
            </w:r>
          </w:p>
        </w:tc>
      </w:tr>
      <w:tr w:rsidR="00385528" w:rsidTr="00385528">
        <w:tc>
          <w:tcPr>
            <w:tcW w:w="9265" w:type="dxa"/>
          </w:tcPr>
          <w:p w:rsidR="00385528" w:rsidRDefault="00385528" w:rsidP="00C80A5E">
            <w:r>
              <w:t>p. 315 move up all figures &amp; add a little more space between 6.20 &amp; 6.21</w:t>
            </w:r>
          </w:p>
        </w:tc>
      </w:tr>
      <w:tr w:rsidR="00385528" w:rsidTr="00385528">
        <w:tc>
          <w:tcPr>
            <w:tcW w:w="9265" w:type="dxa"/>
          </w:tcPr>
          <w:p w:rsidR="00385528" w:rsidRDefault="00385528" w:rsidP="00C80A5E">
            <w:r>
              <w:t>p. 317 Figure 6.23 move up</w:t>
            </w:r>
          </w:p>
        </w:tc>
      </w:tr>
    </w:tbl>
    <w:p w:rsidR="00717C0A" w:rsidRDefault="00717C0A"/>
    <w:p w:rsidR="00717C0A" w:rsidRDefault="00717C0A">
      <w:pPr>
        <w:rPr>
          <w:b/>
        </w:rPr>
      </w:pPr>
      <w:r w:rsidRPr="00717C0A">
        <w:rPr>
          <w:b/>
        </w:rPr>
        <w:t>Notes:</w:t>
      </w:r>
    </w:p>
    <w:p w:rsidR="00456928" w:rsidRPr="00717C0A" w:rsidRDefault="00456928">
      <w:pPr>
        <w:rPr>
          <w:b/>
        </w:rPr>
      </w:pPr>
      <w:r w:rsidRPr="00CE6AA3">
        <w:rPr>
          <w:b/>
          <w:highlight w:val="yellow"/>
        </w:rPr>
        <w:t>I printed pages 112 – 113 and the stray lines showed up on the graphs for Exercises 32 &amp; 33. They do not show up on the electronic version. Not sure what can be done about this. These are graphs I created, not originally part of APEX. I don’t know if this is a problem for other new graphs.</w:t>
      </w:r>
      <w:bookmarkStart w:id="0" w:name="_GoBack"/>
      <w:bookmarkEnd w:id="0"/>
    </w:p>
    <w:p w:rsidR="00351457" w:rsidRPr="00FA1D45" w:rsidRDefault="006F2814">
      <w:pPr>
        <w:rPr>
          <w:b/>
        </w:rPr>
      </w:pPr>
      <w:r w:rsidRPr="00456928">
        <w:rPr>
          <w:b/>
          <w:highlight w:val="yellow"/>
        </w:rPr>
        <w:t>Title page:</w:t>
      </w:r>
    </w:p>
    <w:p w:rsidR="006F2814" w:rsidRDefault="006F2814" w:rsidP="00322472">
      <w:pPr>
        <w:ind w:left="720"/>
      </w:pPr>
      <w:r>
        <w:t xml:space="preserve">Under Calculus I Late </w:t>
      </w:r>
      <w:proofErr w:type="spellStart"/>
      <w:r>
        <w:t>Transcendentals</w:t>
      </w:r>
      <w:proofErr w:type="spellEnd"/>
      <w:r>
        <w:t xml:space="preserve"> credit the University of North Dakota Mathematics Department. Adapted from APEX Calculus I with those authors listed in a smaller font.</w:t>
      </w:r>
    </w:p>
    <w:p w:rsidR="0003089A" w:rsidRDefault="0003089A" w:rsidP="00E46E73">
      <w:pPr>
        <w:rPr>
          <w:b/>
        </w:rPr>
      </w:pPr>
      <w:r>
        <w:rPr>
          <w:b/>
        </w:rPr>
        <w:t>Preliminary Section – Creating APEX LT –</w:t>
      </w:r>
      <w:r w:rsidRPr="0003089A">
        <w:t xml:space="preserve"> </w:t>
      </w:r>
      <w:r>
        <w:t xml:space="preserve">you could </w:t>
      </w:r>
      <w:r w:rsidRPr="0003089A">
        <w:t>mention that we added prerequisite sections where needed.</w:t>
      </w:r>
    </w:p>
    <w:p w:rsidR="00E46E73" w:rsidRPr="00FA1D45" w:rsidRDefault="00E46E73" w:rsidP="00E46E73">
      <w:pPr>
        <w:rPr>
          <w:b/>
        </w:rPr>
      </w:pPr>
      <w:r w:rsidRPr="00FA1D45">
        <w:rPr>
          <w:b/>
        </w:rPr>
        <w:t>Figure 1.3</w:t>
      </w:r>
      <w:r w:rsidR="00717C0A" w:rsidRPr="00FA1D45">
        <w:rPr>
          <w:b/>
        </w:rPr>
        <w:t xml:space="preserve">4 – </w:t>
      </w:r>
      <w:r w:rsidRPr="00FA1D45">
        <w:rPr>
          <w:b/>
        </w:rPr>
        <w:t xml:space="preserve">one idea for </w:t>
      </w:r>
      <w:r w:rsidR="00C80A5E">
        <w:rPr>
          <w:b/>
        </w:rPr>
        <w:t>referenc</w:t>
      </w:r>
      <w:r w:rsidR="002B009C">
        <w:rPr>
          <w:b/>
        </w:rPr>
        <w:t>i</w:t>
      </w:r>
      <w:r w:rsidRPr="00FA1D45">
        <w:rPr>
          <w:b/>
        </w:rPr>
        <w:t>ng it:</w:t>
      </w:r>
    </w:p>
    <w:p w:rsidR="00E46E73" w:rsidRDefault="00E46E73" w:rsidP="00717C0A">
      <w:pPr>
        <w:ind w:left="720"/>
      </w:pPr>
      <w:r>
        <w:t>“While this notion seems… concept is stated in the form of a theorem and illustrated in Figure 1.34.”</w:t>
      </w:r>
    </w:p>
    <w:p w:rsidR="00FA1D45" w:rsidRDefault="00FA1D45" w:rsidP="00E46E73">
      <w:r w:rsidRPr="00456928">
        <w:rPr>
          <w:b/>
          <w:highlight w:val="yellow"/>
        </w:rPr>
        <w:t>Section 2.0</w:t>
      </w:r>
    </w:p>
    <w:p w:rsidR="009D29B0" w:rsidRDefault="00E46E73" w:rsidP="00E46E73">
      <w:r>
        <w:lastRenderedPageBreak/>
        <w:t>In 2.0 we need to define x</w:t>
      </w:r>
      <w:r w:rsidR="009D29B0">
        <w:t xml:space="preserve"> &amp; y</w:t>
      </w:r>
      <w:r>
        <w:t xml:space="preserve"> so </w:t>
      </w:r>
      <w:r w:rsidR="009D29B0">
        <w:t>they are</w:t>
      </w:r>
      <w:r>
        <w:t xml:space="preserve"> not negative when </w:t>
      </w:r>
      <w:r w:rsidR="005F4397">
        <w:t>the root is even. The best way I could come up with was to say that x &amp; y take on the values for which the expression is defined.</w:t>
      </w:r>
      <w:r w:rsidR="00FA1D45">
        <w:t xml:space="preserve"> </w:t>
      </w:r>
      <w:r w:rsidR="009D29B0">
        <w:t xml:space="preserve">Perhaps </w:t>
      </w:r>
      <w:r w:rsidR="00937CC9">
        <w:t>we</w:t>
      </w:r>
      <w:r w:rsidR="009D29B0">
        <w:t xml:space="preserve"> can say this just once in the first paragraph under Rule of Exponents header:</w:t>
      </w:r>
    </w:p>
    <w:p w:rsidR="009D29B0" w:rsidRDefault="009D29B0" w:rsidP="00FA1D45">
      <w:pPr>
        <w:ind w:left="720"/>
      </w:pPr>
      <w:r>
        <w:t>“We will briefly summarize … in this chapter. The laws of exponents are only valid for the values of x &amp; y for which the expression is defined (i.e. nonzero</w:t>
      </w:r>
      <w:r w:rsidR="00FA1D45">
        <w:t xml:space="preserve"> real numbers</w:t>
      </w:r>
      <w:r>
        <w:t xml:space="preserve"> </w:t>
      </w:r>
      <w:r w:rsidR="00FA1D45">
        <w:t xml:space="preserve">in the denominator </w:t>
      </w:r>
      <w:r>
        <w:t xml:space="preserve">and </w:t>
      </w:r>
      <w:r w:rsidR="00FA1D45">
        <w:t>nonnegative real numbers when roots are even</w:t>
      </w:r>
      <w:r w:rsidR="00717C0A">
        <w:t>.)</w:t>
      </w:r>
    </w:p>
    <w:p w:rsidR="00322472" w:rsidRPr="00FA1D45" w:rsidRDefault="00FA1D45">
      <w:pPr>
        <w:rPr>
          <w:b/>
        </w:rPr>
      </w:pPr>
      <w:r w:rsidRPr="00FA1D45">
        <w:rPr>
          <w:b/>
        </w:rPr>
        <w:t>Figures 2.11 – 2.13</w:t>
      </w:r>
    </w:p>
    <w:p w:rsidR="00FA1D45" w:rsidRDefault="00FA1D45">
      <w:r>
        <w:t>Can we move 2.13 up to p. 100 where it is referenced? One idea would be to cut 2.12(a). If that is not enough we could cut 2.11(a) and label the curve in 2.11(b) as f(x)=x^2.</w:t>
      </w:r>
    </w:p>
    <w:p w:rsidR="00322472" w:rsidRPr="000564E5" w:rsidRDefault="000564E5">
      <w:pPr>
        <w:rPr>
          <w:b/>
        </w:rPr>
      </w:pPr>
      <w:r w:rsidRPr="00456928">
        <w:rPr>
          <w:b/>
          <w:highlight w:val="yellow"/>
        </w:rPr>
        <w:t>Section 2.3, Example 2.4.8 – why n \</w:t>
      </w:r>
      <w:proofErr w:type="spellStart"/>
      <w:r w:rsidRPr="00456928">
        <w:rPr>
          <w:b/>
          <w:highlight w:val="yellow"/>
        </w:rPr>
        <w:t>neq</w:t>
      </w:r>
      <w:proofErr w:type="spellEnd"/>
      <w:r w:rsidRPr="00456928">
        <w:rPr>
          <w:b/>
          <w:highlight w:val="yellow"/>
        </w:rPr>
        <w:t xml:space="preserve"> 0?</w:t>
      </w:r>
    </w:p>
    <w:p w:rsidR="00322472" w:rsidRDefault="007404D6">
      <w:r>
        <w:t>Th</w:t>
      </w:r>
      <w:r w:rsidR="000564E5">
        <w:t xml:space="preserve">e original APEX excluded n=0 from their statement of the power rule. We removed it from the statement of the rule, but it is still excluded in the two proof/justifications (p. 105 &amp; p. 121) we offer. </w:t>
      </w:r>
      <w:r>
        <w:t>The only case that will be trouble is 0^0 – do we want to acknowledge that somehow? How should we do it. If we let n=0 we need to change one of the proof/justifications to let n = 0.</w:t>
      </w:r>
    </w:p>
    <w:p w:rsidR="000564E5" w:rsidRPr="007404D6" w:rsidRDefault="007404D6">
      <w:pPr>
        <w:rPr>
          <w:b/>
        </w:rPr>
      </w:pPr>
      <w:r w:rsidRPr="007404D6">
        <w:rPr>
          <w:b/>
        </w:rPr>
        <w:t>p. 166 Figure 3.18 is not referenced in the text</w:t>
      </w:r>
    </w:p>
    <w:p w:rsidR="007404D6" w:rsidRDefault="007404D6">
      <w:r>
        <w:t xml:space="preserve">Suggestion for reference: In the first paragraph on p. 166 </w:t>
      </w:r>
    </w:p>
    <w:p w:rsidR="007404D6" w:rsidRDefault="007404D6">
      <w:r>
        <w:t>… A similar statement can be made for relative minimums (see Figure 3.18).</w:t>
      </w:r>
    </w:p>
    <w:p w:rsidR="007404D6" w:rsidRPr="0072059E" w:rsidRDefault="0072059E">
      <w:pPr>
        <w:rPr>
          <w:b/>
        </w:rPr>
      </w:pPr>
      <w:r w:rsidRPr="0072059E">
        <w:rPr>
          <w:b/>
        </w:rPr>
        <w:t>p. 205 Example 4.2.4</w:t>
      </w:r>
    </w:p>
    <w:p w:rsidR="0072059E" w:rsidRDefault="0072059E">
      <w:pPr>
        <w:rPr>
          <w:rFonts w:eastAsiaTheme="minorEastAsia"/>
        </w:rPr>
      </w:pPr>
      <w:r>
        <w:t xml:space="preserve">When solving for h cut the step </w:t>
      </w:r>
      <m:oMath>
        <m:f>
          <m:fPr>
            <m:ctrlPr>
              <w:rPr>
                <w:rFonts w:ascii="Cambria Math" w:hAnsi="Cambria Math"/>
                <w:i/>
              </w:rPr>
            </m:ctrlPr>
          </m:fPr>
          <m:num>
            <m:r>
              <w:rPr>
                <w:rFonts w:ascii="Cambria Math" w:hAnsi="Cambria Math"/>
              </w:rPr>
              <m:t>8</m:t>
            </m:r>
          </m:num>
          <m:den>
            <m:r>
              <w:rPr>
                <w:rFonts w:ascii="Cambria Math" w:hAnsi="Cambria Math"/>
              </w:rPr>
              <m:t>π</m:t>
            </m:r>
          </m:den>
        </m:f>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π</m:t>
                            </m:r>
                          </m:den>
                        </m:f>
                        <m:ctrlPr>
                          <w:rPr>
                            <w:rFonts w:ascii="Cambria Math" w:eastAsiaTheme="minorEastAsia" w:hAnsi="Cambria Math"/>
                            <w:i/>
                          </w:rPr>
                        </m:ctrlP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e>
            </m:d>
          </m:e>
          <m:sup>
            <m:r>
              <w:rPr>
                <w:rFonts w:ascii="Cambria Math" w:eastAsiaTheme="minorEastAsia" w:hAnsi="Cambria Math"/>
              </w:rPr>
              <m:t>-2</m:t>
            </m:r>
          </m:sup>
        </m:sSup>
      </m:oMath>
      <w:r w:rsidR="008F7B22">
        <w:rPr>
          <w:rFonts w:eastAsiaTheme="minorEastAsia"/>
        </w:rPr>
        <w:t>. Hopefully this will move the solving for h process to one line. AND this won’t mess up any later spacing because it is right before the exercises!</w:t>
      </w:r>
    </w:p>
    <w:p w:rsidR="008F7B22" w:rsidRDefault="00150209">
      <w:r w:rsidRPr="00150209">
        <w:rPr>
          <w:b/>
        </w:rPr>
        <w:t>p. 228 Theorem 33</w:t>
      </w:r>
      <w:r>
        <w:t xml:space="preserve"> – it seems as little strange to continue numbering from theorem 32 – but discussion under Theorem 33 would refer to same numbers as discussion above Theorem 33 if we didn’t. It could be confusing. Not sure there is a better option</w:t>
      </w:r>
    </w:p>
    <w:p w:rsidR="0072059E" w:rsidRPr="00D13A0C" w:rsidRDefault="00D13A0C">
      <w:pPr>
        <w:rPr>
          <w:b/>
        </w:rPr>
      </w:pPr>
      <w:r w:rsidRPr="00456928">
        <w:rPr>
          <w:b/>
          <w:highlight w:val="yellow"/>
        </w:rPr>
        <w:t>p. 286 Key Idea 11</w:t>
      </w:r>
    </w:p>
    <w:p w:rsidR="008213F7" w:rsidRDefault="00D13A0C">
      <w:r>
        <w:t>I thought we were removing “differential element” from Key Idea 11 and sections 6.1 - 6.3. Maybe this is something that needs more discussion and will have to wait until the next revision. It is interesting that the term “differential element” does not appear in 6.3.</w:t>
      </w:r>
    </w:p>
    <w:p w:rsidR="008213F7" w:rsidRDefault="008213F7">
      <w:r>
        <w:t>Here are some changes that I would suggest but are not as important</w:t>
      </w:r>
      <w:r w:rsidR="00213B9B">
        <w:t xml:space="preserve"> or can be considered for the future</w:t>
      </w:r>
      <w:r>
        <w:t>.</w:t>
      </w:r>
    </w:p>
    <w:tbl>
      <w:tblPr>
        <w:tblStyle w:val="TableGrid"/>
        <w:tblW w:w="0" w:type="auto"/>
        <w:tblLook w:val="04A0" w:firstRow="1" w:lastRow="0" w:firstColumn="1" w:lastColumn="0" w:noHBand="0" w:noVBand="1"/>
      </w:tblPr>
      <w:tblGrid>
        <w:gridCol w:w="4315"/>
        <w:gridCol w:w="4680"/>
      </w:tblGrid>
      <w:tr w:rsidR="008213F7" w:rsidTr="008213F7">
        <w:tc>
          <w:tcPr>
            <w:tcW w:w="4315" w:type="dxa"/>
          </w:tcPr>
          <w:p w:rsidR="008213F7" w:rsidRPr="00FA1D45" w:rsidRDefault="008213F7" w:rsidP="00604B96">
            <w:pPr>
              <w:rPr>
                <w:b/>
              </w:rPr>
            </w:pPr>
            <w:r>
              <w:rPr>
                <w:b/>
              </w:rPr>
              <w:t>Change i</w:t>
            </w:r>
            <w:r w:rsidRPr="00FA1D45">
              <w:rPr>
                <w:b/>
              </w:rPr>
              <w:t>f possible</w:t>
            </w:r>
            <w:r>
              <w:rPr>
                <w:b/>
              </w:rPr>
              <w:t xml:space="preserve"> – without you wanting to hurt someone</w:t>
            </w:r>
          </w:p>
        </w:tc>
        <w:tc>
          <w:tcPr>
            <w:tcW w:w="4680" w:type="dxa"/>
          </w:tcPr>
          <w:p w:rsidR="008213F7" w:rsidRPr="00FA1D45" w:rsidRDefault="008213F7" w:rsidP="00604B96">
            <w:pPr>
              <w:rPr>
                <w:b/>
              </w:rPr>
            </w:pPr>
            <w:r w:rsidRPr="00FA1D45">
              <w:rPr>
                <w:b/>
              </w:rPr>
              <w:t xml:space="preserve">Can </w:t>
            </w:r>
            <w:r>
              <w:rPr>
                <w:b/>
              </w:rPr>
              <w:t xml:space="preserve">definitely </w:t>
            </w:r>
            <w:r w:rsidRPr="00FA1D45">
              <w:rPr>
                <w:b/>
              </w:rPr>
              <w:t>wait until the next revision</w:t>
            </w:r>
            <w:r>
              <w:rPr>
                <w:b/>
              </w:rPr>
              <w:t xml:space="preserve"> or maybe not an issue at all</w:t>
            </w:r>
          </w:p>
        </w:tc>
      </w:tr>
      <w:tr w:rsidR="00213B9B" w:rsidTr="008213F7">
        <w:tc>
          <w:tcPr>
            <w:tcW w:w="4315" w:type="dxa"/>
          </w:tcPr>
          <w:p w:rsidR="00213B9B" w:rsidRDefault="00213B9B" w:rsidP="00385528"/>
        </w:tc>
        <w:tc>
          <w:tcPr>
            <w:tcW w:w="4680" w:type="dxa"/>
          </w:tcPr>
          <w:p w:rsidR="00213B9B" w:rsidRDefault="00213B9B" w:rsidP="00385528">
            <w:r>
              <w:t>Include solutions to all problems in the .0 sections in the back of the book.</w:t>
            </w:r>
          </w:p>
        </w:tc>
      </w:tr>
      <w:tr w:rsidR="008213F7" w:rsidTr="008213F7">
        <w:tc>
          <w:tcPr>
            <w:tcW w:w="4315" w:type="dxa"/>
          </w:tcPr>
          <w:p w:rsidR="008213F7" w:rsidRDefault="008213F7" w:rsidP="00385528"/>
        </w:tc>
        <w:tc>
          <w:tcPr>
            <w:tcW w:w="4680" w:type="dxa"/>
          </w:tcPr>
          <w:p w:rsidR="008213F7" w:rsidRDefault="008213F7" w:rsidP="00385528">
            <w:r>
              <w:t>p. 30 Figure 1.16 move up</w:t>
            </w:r>
          </w:p>
        </w:tc>
      </w:tr>
      <w:tr w:rsidR="008213F7" w:rsidTr="008213F7">
        <w:tc>
          <w:tcPr>
            <w:tcW w:w="4315" w:type="dxa"/>
          </w:tcPr>
          <w:p w:rsidR="008213F7" w:rsidRDefault="008213F7" w:rsidP="00385528"/>
        </w:tc>
        <w:tc>
          <w:tcPr>
            <w:tcW w:w="4680" w:type="dxa"/>
          </w:tcPr>
          <w:p w:rsidR="008213F7" w:rsidRDefault="008213F7" w:rsidP="00385528">
            <w:r>
              <w:t>p. 31 Figure 1.17 move up</w:t>
            </w:r>
          </w:p>
        </w:tc>
      </w:tr>
      <w:tr w:rsidR="008213F7" w:rsidTr="008213F7">
        <w:tc>
          <w:tcPr>
            <w:tcW w:w="4315" w:type="dxa"/>
          </w:tcPr>
          <w:p w:rsidR="008213F7" w:rsidRDefault="008213F7" w:rsidP="00385528">
            <w:r>
              <w:lastRenderedPageBreak/>
              <w:t>p. 33 Figure 1.18 move up</w:t>
            </w:r>
          </w:p>
        </w:tc>
        <w:tc>
          <w:tcPr>
            <w:tcW w:w="4680" w:type="dxa"/>
          </w:tcPr>
          <w:p w:rsidR="008213F7" w:rsidRDefault="008213F7" w:rsidP="00385528"/>
        </w:tc>
      </w:tr>
      <w:tr w:rsidR="008213F7" w:rsidTr="008213F7">
        <w:tc>
          <w:tcPr>
            <w:tcW w:w="4315" w:type="dxa"/>
          </w:tcPr>
          <w:p w:rsidR="008213F7" w:rsidRDefault="008213F7" w:rsidP="00385528">
            <w:r>
              <w:t>p. 43 Figure 1.21 move up</w:t>
            </w:r>
          </w:p>
        </w:tc>
        <w:tc>
          <w:tcPr>
            <w:tcW w:w="4680" w:type="dxa"/>
          </w:tcPr>
          <w:p w:rsidR="008213F7" w:rsidRDefault="008213F7" w:rsidP="00385528"/>
        </w:tc>
      </w:tr>
      <w:tr w:rsidR="008213F7" w:rsidTr="008213F7">
        <w:tc>
          <w:tcPr>
            <w:tcW w:w="4315" w:type="dxa"/>
          </w:tcPr>
          <w:p w:rsidR="008213F7" w:rsidRDefault="008213F7" w:rsidP="00385528"/>
        </w:tc>
        <w:tc>
          <w:tcPr>
            <w:tcW w:w="4680" w:type="dxa"/>
          </w:tcPr>
          <w:p w:rsidR="008213F7" w:rsidRDefault="008213F7" w:rsidP="00385528">
            <w:r>
              <w:t>p. 50 Figures 1.23 &amp; 1.24 move up</w:t>
            </w:r>
          </w:p>
        </w:tc>
      </w:tr>
      <w:tr w:rsidR="008213F7" w:rsidTr="008213F7">
        <w:tc>
          <w:tcPr>
            <w:tcW w:w="4315" w:type="dxa"/>
          </w:tcPr>
          <w:p w:rsidR="008213F7" w:rsidRDefault="008213F7" w:rsidP="00385528">
            <w:r>
              <w:t>p. 51 Figure 1.26 move up</w:t>
            </w:r>
          </w:p>
        </w:tc>
        <w:tc>
          <w:tcPr>
            <w:tcW w:w="4680" w:type="dxa"/>
          </w:tcPr>
          <w:p w:rsidR="008213F7" w:rsidRDefault="008213F7" w:rsidP="00385528"/>
        </w:tc>
      </w:tr>
      <w:tr w:rsidR="008213F7" w:rsidTr="008213F7">
        <w:tc>
          <w:tcPr>
            <w:tcW w:w="4315" w:type="dxa"/>
          </w:tcPr>
          <w:p w:rsidR="008213F7" w:rsidRDefault="008213F7" w:rsidP="00385528">
            <w:r>
              <w:t>p. 53 Figure 1.27 move up</w:t>
            </w:r>
          </w:p>
        </w:tc>
        <w:tc>
          <w:tcPr>
            <w:tcW w:w="4680" w:type="dxa"/>
          </w:tcPr>
          <w:p w:rsidR="008213F7" w:rsidRDefault="008213F7" w:rsidP="00385528"/>
        </w:tc>
      </w:tr>
      <w:tr w:rsidR="008213F7" w:rsidTr="008213F7">
        <w:tc>
          <w:tcPr>
            <w:tcW w:w="4315" w:type="dxa"/>
          </w:tcPr>
          <w:p w:rsidR="008213F7" w:rsidRDefault="008213F7" w:rsidP="00385528"/>
        </w:tc>
        <w:tc>
          <w:tcPr>
            <w:tcW w:w="4680" w:type="dxa"/>
          </w:tcPr>
          <w:p w:rsidR="008213F7" w:rsidRDefault="008213F7" w:rsidP="00385528">
            <w:r>
              <w:t>p. 66 Figure 1.33 move up</w:t>
            </w:r>
          </w:p>
        </w:tc>
      </w:tr>
      <w:tr w:rsidR="008213F7" w:rsidTr="008213F7">
        <w:tc>
          <w:tcPr>
            <w:tcW w:w="4315" w:type="dxa"/>
          </w:tcPr>
          <w:p w:rsidR="008213F7" w:rsidRDefault="008213F7" w:rsidP="00385528"/>
        </w:tc>
        <w:tc>
          <w:tcPr>
            <w:tcW w:w="4680" w:type="dxa"/>
          </w:tcPr>
          <w:p w:rsidR="008213F7" w:rsidRDefault="008213F7" w:rsidP="00385528">
            <w:r>
              <w:t>p. 68 Figure 1.35 move up</w:t>
            </w:r>
          </w:p>
        </w:tc>
      </w:tr>
      <w:tr w:rsidR="008213F7" w:rsidTr="008213F7">
        <w:tc>
          <w:tcPr>
            <w:tcW w:w="4315" w:type="dxa"/>
          </w:tcPr>
          <w:p w:rsidR="008213F7" w:rsidRDefault="008213F7" w:rsidP="00385528"/>
        </w:tc>
        <w:tc>
          <w:tcPr>
            <w:tcW w:w="4680" w:type="dxa"/>
          </w:tcPr>
          <w:p w:rsidR="008213F7" w:rsidRDefault="008213F7" w:rsidP="00385528">
            <w:r>
              <w:t>p. 82 Figure 2.2 move down</w:t>
            </w:r>
          </w:p>
        </w:tc>
      </w:tr>
      <w:tr w:rsidR="008213F7" w:rsidTr="008213F7">
        <w:tc>
          <w:tcPr>
            <w:tcW w:w="4315" w:type="dxa"/>
          </w:tcPr>
          <w:p w:rsidR="008213F7" w:rsidRDefault="008213F7" w:rsidP="00385528">
            <w:r>
              <w:t>pp. 100-101 Figures 2.11 – 2.13 see note below</w:t>
            </w:r>
          </w:p>
        </w:tc>
        <w:tc>
          <w:tcPr>
            <w:tcW w:w="4680" w:type="dxa"/>
          </w:tcPr>
          <w:p w:rsidR="008213F7" w:rsidRDefault="008213F7" w:rsidP="00385528"/>
        </w:tc>
      </w:tr>
      <w:tr w:rsidR="008213F7" w:rsidTr="008213F7">
        <w:tc>
          <w:tcPr>
            <w:tcW w:w="4315" w:type="dxa"/>
          </w:tcPr>
          <w:p w:rsidR="008213F7" w:rsidRDefault="008213F7" w:rsidP="00385528">
            <w:r>
              <w:t>p. 115 Figure 2.15 move up</w:t>
            </w:r>
          </w:p>
        </w:tc>
        <w:tc>
          <w:tcPr>
            <w:tcW w:w="4680" w:type="dxa"/>
          </w:tcPr>
          <w:p w:rsidR="008213F7" w:rsidRDefault="008213F7" w:rsidP="00385528"/>
        </w:tc>
      </w:tr>
      <w:tr w:rsidR="008213F7" w:rsidTr="008213F7">
        <w:tc>
          <w:tcPr>
            <w:tcW w:w="4315" w:type="dxa"/>
          </w:tcPr>
          <w:p w:rsidR="008213F7" w:rsidRDefault="008213F7" w:rsidP="00385528"/>
        </w:tc>
        <w:tc>
          <w:tcPr>
            <w:tcW w:w="4680" w:type="dxa"/>
          </w:tcPr>
          <w:p w:rsidR="008213F7" w:rsidRDefault="008213F7" w:rsidP="00385528">
            <w:r>
              <w:t>P. 151 add a little more space between 3.6(a) &amp; 3.6(b)</w:t>
            </w:r>
          </w:p>
        </w:tc>
      </w:tr>
      <w:tr w:rsidR="008213F7" w:rsidTr="008213F7">
        <w:tc>
          <w:tcPr>
            <w:tcW w:w="4315" w:type="dxa"/>
          </w:tcPr>
          <w:p w:rsidR="008213F7" w:rsidRDefault="008213F7" w:rsidP="00385528">
            <w:r>
              <w:t>p. 192 top -  add space between 31.4 &amp; in/</w:t>
            </w:r>
            <w:proofErr w:type="spellStart"/>
            <w:r>
              <w:t>hr</w:t>
            </w:r>
            <w:proofErr w:type="spellEnd"/>
            <w:r>
              <w:t xml:space="preserve"> </w:t>
            </w:r>
          </w:p>
        </w:tc>
        <w:tc>
          <w:tcPr>
            <w:tcW w:w="4680" w:type="dxa"/>
          </w:tcPr>
          <w:p w:rsidR="008213F7" w:rsidRDefault="008213F7" w:rsidP="00385528"/>
        </w:tc>
      </w:tr>
      <w:tr w:rsidR="008213F7" w:rsidTr="008213F7">
        <w:tc>
          <w:tcPr>
            <w:tcW w:w="4315" w:type="dxa"/>
          </w:tcPr>
          <w:p w:rsidR="008213F7" w:rsidRDefault="008213F7" w:rsidP="00385528"/>
        </w:tc>
        <w:tc>
          <w:tcPr>
            <w:tcW w:w="4680" w:type="dxa"/>
          </w:tcPr>
          <w:p w:rsidR="008213F7" w:rsidRDefault="008213F7" w:rsidP="00385528">
            <w:r>
              <w:t>p. 194 move Figure 4.1 up so note moves up</w:t>
            </w:r>
          </w:p>
        </w:tc>
      </w:tr>
      <w:tr w:rsidR="008213F7" w:rsidTr="008213F7">
        <w:tc>
          <w:tcPr>
            <w:tcW w:w="4315" w:type="dxa"/>
          </w:tcPr>
          <w:p w:rsidR="008213F7" w:rsidRDefault="008213F7" w:rsidP="00385528"/>
        </w:tc>
        <w:tc>
          <w:tcPr>
            <w:tcW w:w="4680" w:type="dxa"/>
          </w:tcPr>
          <w:p w:rsidR="008213F7" w:rsidRDefault="008213F7" w:rsidP="00385528">
            <w:r>
              <w:t>Section 4.1 add similar triangle example</w:t>
            </w:r>
          </w:p>
        </w:tc>
      </w:tr>
      <w:tr w:rsidR="008213F7" w:rsidTr="008213F7">
        <w:tc>
          <w:tcPr>
            <w:tcW w:w="4315" w:type="dxa"/>
          </w:tcPr>
          <w:p w:rsidR="008213F7" w:rsidRDefault="008213F7" w:rsidP="00385528">
            <w:r>
              <w:t>p. 201 Figure 4.4 move up</w:t>
            </w:r>
          </w:p>
        </w:tc>
        <w:tc>
          <w:tcPr>
            <w:tcW w:w="4680" w:type="dxa"/>
          </w:tcPr>
          <w:p w:rsidR="008213F7" w:rsidRDefault="008213F7" w:rsidP="00385528"/>
        </w:tc>
      </w:tr>
      <w:tr w:rsidR="008213F7" w:rsidTr="008213F7">
        <w:tc>
          <w:tcPr>
            <w:tcW w:w="4315" w:type="dxa"/>
          </w:tcPr>
          <w:p w:rsidR="008213F7" w:rsidRDefault="008213F7" w:rsidP="00385528"/>
        </w:tc>
        <w:tc>
          <w:tcPr>
            <w:tcW w:w="4680" w:type="dxa"/>
          </w:tcPr>
          <w:p w:rsidR="008213F7" w:rsidRDefault="008213F7" w:rsidP="00385528">
            <w:r>
              <w:t>p. 216 Figure 4.9 move up</w:t>
            </w:r>
          </w:p>
        </w:tc>
      </w:tr>
      <w:tr w:rsidR="008213F7" w:rsidTr="008213F7">
        <w:tc>
          <w:tcPr>
            <w:tcW w:w="4315" w:type="dxa"/>
          </w:tcPr>
          <w:p w:rsidR="008213F7" w:rsidRDefault="008213F7" w:rsidP="00385528">
            <w:r>
              <w:t>p. 217 Example 4.4.1 remove the space between problem statement &amp; solution</w:t>
            </w:r>
          </w:p>
        </w:tc>
        <w:tc>
          <w:tcPr>
            <w:tcW w:w="4680" w:type="dxa"/>
          </w:tcPr>
          <w:p w:rsidR="008213F7" w:rsidRDefault="008213F7" w:rsidP="00385528"/>
        </w:tc>
      </w:tr>
      <w:tr w:rsidR="008213F7" w:rsidTr="008213F7">
        <w:tc>
          <w:tcPr>
            <w:tcW w:w="4315" w:type="dxa"/>
          </w:tcPr>
          <w:p w:rsidR="008213F7" w:rsidRDefault="008213F7" w:rsidP="00385528"/>
        </w:tc>
        <w:tc>
          <w:tcPr>
            <w:tcW w:w="4680" w:type="dxa"/>
          </w:tcPr>
          <w:p w:rsidR="008213F7" w:rsidRDefault="008213F7" w:rsidP="00385528">
            <w:r>
              <w:t>p. 228 Theorem 33 – see note below</w:t>
            </w:r>
          </w:p>
        </w:tc>
      </w:tr>
      <w:tr w:rsidR="008213F7" w:rsidTr="008213F7">
        <w:tc>
          <w:tcPr>
            <w:tcW w:w="4315" w:type="dxa"/>
          </w:tcPr>
          <w:p w:rsidR="008213F7" w:rsidRDefault="008213F7" w:rsidP="00385528">
            <w:r>
              <w:t>p. 239 Figure 5.8 move up</w:t>
            </w:r>
          </w:p>
        </w:tc>
        <w:tc>
          <w:tcPr>
            <w:tcW w:w="4680" w:type="dxa"/>
          </w:tcPr>
          <w:p w:rsidR="008213F7" w:rsidRDefault="008213F7" w:rsidP="00385528"/>
        </w:tc>
      </w:tr>
      <w:tr w:rsidR="008213F7" w:rsidTr="008213F7">
        <w:tc>
          <w:tcPr>
            <w:tcW w:w="4315" w:type="dxa"/>
          </w:tcPr>
          <w:p w:rsidR="008213F7" w:rsidRDefault="008213F7" w:rsidP="00385528"/>
        </w:tc>
        <w:tc>
          <w:tcPr>
            <w:tcW w:w="4680" w:type="dxa"/>
          </w:tcPr>
          <w:p w:rsidR="008213F7" w:rsidRDefault="008213F7" w:rsidP="00385528">
            <w:r>
              <w:t>p. 253 Figure 5.17 move up</w:t>
            </w:r>
          </w:p>
        </w:tc>
      </w:tr>
      <w:tr w:rsidR="008213F7" w:rsidTr="008213F7">
        <w:tc>
          <w:tcPr>
            <w:tcW w:w="4315" w:type="dxa"/>
          </w:tcPr>
          <w:p w:rsidR="008213F7" w:rsidRDefault="008213F7" w:rsidP="00385528"/>
        </w:tc>
        <w:tc>
          <w:tcPr>
            <w:tcW w:w="4680" w:type="dxa"/>
          </w:tcPr>
          <w:p w:rsidR="008213F7" w:rsidRDefault="008213F7" w:rsidP="00385528">
            <w:r>
              <w:t xml:space="preserve">p. 256 Example – first line of solution show </w:t>
            </w:r>
            <w:r w:rsidRPr="002B009C">
              <w:rPr>
                <w:i/>
              </w:rPr>
              <w:t>x_1 = (-</w:t>
            </w:r>
            <w:proofErr w:type="gramStart"/>
            <w:r w:rsidRPr="002B009C">
              <w:rPr>
                <w:i/>
              </w:rPr>
              <w:t>1)+</w:t>
            </w:r>
            <w:proofErr w:type="spellStart"/>
            <w:proofErr w:type="gramEnd"/>
            <w:r w:rsidRPr="002B009C">
              <w:rPr>
                <w:i/>
              </w:rPr>
              <w:t>i</w:t>
            </w:r>
            <w:proofErr w:type="spellEnd"/>
            <w:r w:rsidRPr="002B009C">
              <w:rPr>
                <w:i/>
              </w:rPr>
              <w:t xml:space="preserve"> Delta x = (-1)+6i/n</w:t>
            </w:r>
          </w:p>
        </w:tc>
      </w:tr>
      <w:tr w:rsidR="008213F7" w:rsidTr="008213F7">
        <w:tc>
          <w:tcPr>
            <w:tcW w:w="4315" w:type="dxa"/>
          </w:tcPr>
          <w:p w:rsidR="008213F7" w:rsidRDefault="008213F7" w:rsidP="00385528">
            <w:r>
              <w:t>p. 295 Figure 6.2 move up</w:t>
            </w:r>
          </w:p>
        </w:tc>
        <w:tc>
          <w:tcPr>
            <w:tcW w:w="4680" w:type="dxa"/>
          </w:tcPr>
          <w:p w:rsidR="008213F7" w:rsidRDefault="008213F7" w:rsidP="00385528"/>
        </w:tc>
      </w:tr>
      <w:tr w:rsidR="008213F7" w:rsidTr="008213F7">
        <w:tc>
          <w:tcPr>
            <w:tcW w:w="4315" w:type="dxa"/>
          </w:tcPr>
          <w:p w:rsidR="008213F7" w:rsidRDefault="008213F7" w:rsidP="00385528">
            <w:r>
              <w:t xml:space="preserve">p. 296 Figure 6.4 move up </w:t>
            </w:r>
          </w:p>
        </w:tc>
        <w:tc>
          <w:tcPr>
            <w:tcW w:w="4680" w:type="dxa"/>
          </w:tcPr>
          <w:p w:rsidR="008213F7" w:rsidRDefault="008213F7" w:rsidP="00385528"/>
        </w:tc>
      </w:tr>
      <w:tr w:rsidR="008213F7" w:rsidTr="008213F7">
        <w:tc>
          <w:tcPr>
            <w:tcW w:w="4315" w:type="dxa"/>
          </w:tcPr>
          <w:p w:rsidR="008213F7" w:rsidRDefault="008213F7" w:rsidP="00385528"/>
        </w:tc>
        <w:tc>
          <w:tcPr>
            <w:tcW w:w="4680" w:type="dxa"/>
          </w:tcPr>
          <w:p w:rsidR="008213F7" w:rsidRDefault="008213F7" w:rsidP="00385528">
            <w:r>
              <w:t>p. 320 Exercises #18-24 – rewrite so the format is similar to #13 – 17.</w:t>
            </w:r>
          </w:p>
        </w:tc>
      </w:tr>
    </w:tbl>
    <w:p w:rsidR="00D13A0C" w:rsidRDefault="00D13A0C"/>
    <w:sectPr w:rsidR="00D13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814"/>
    <w:rsid w:val="0003089A"/>
    <w:rsid w:val="000564E5"/>
    <w:rsid w:val="00150209"/>
    <w:rsid w:val="001F7CBC"/>
    <w:rsid w:val="00213B9B"/>
    <w:rsid w:val="002B009C"/>
    <w:rsid w:val="002F387D"/>
    <w:rsid w:val="00322472"/>
    <w:rsid w:val="00351457"/>
    <w:rsid w:val="00385528"/>
    <w:rsid w:val="00394467"/>
    <w:rsid w:val="00456928"/>
    <w:rsid w:val="005F4397"/>
    <w:rsid w:val="006B5339"/>
    <w:rsid w:val="006F2814"/>
    <w:rsid w:val="0070761E"/>
    <w:rsid w:val="00717C0A"/>
    <w:rsid w:val="0072059E"/>
    <w:rsid w:val="007404D6"/>
    <w:rsid w:val="0078071D"/>
    <w:rsid w:val="008213F7"/>
    <w:rsid w:val="008C551E"/>
    <w:rsid w:val="008F7B22"/>
    <w:rsid w:val="00937CC9"/>
    <w:rsid w:val="009D29B0"/>
    <w:rsid w:val="00AC2B15"/>
    <w:rsid w:val="00AD1E6C"/>
    <w:rsid w:val="00C62353"/>
    <w:rsid w:val="00C80A5E"/>
    <w:rsid w:val="00CE6AA3"/>
    <w:rsid w:val="00D13A0C"/>
    <w:rsid w:val="00D60C59"/>
    <w:rsid w:val="00E46E73"/>
    <w:rsid w:val="00E85892"/>
    <w:rsid w:val="00FA1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A746"/>
  <w15:chartTrackingRefBased/>
  <w15:docId w15:val="{81AEA91E-0AC9-44A1-8C8D-E6F3E4F57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7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205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Iiams</dc:creator>
  <cp:keywords/>
  <dc:description/>
  <cp:lastModifiedBy>Michele Iiams</cp:lastModifiedBy>
  <cp:revision>5</cp:revision>
  <dcterms:created xsi:type="dcterms:W3CDTF">2016-07-31T21:48:00Z</dcterms:created>
  <dcterms:modified xsi:type="dcterms:W3CDTF">2016-07-31T22:05:00Z</dcterms:modified>
</cp:coreProperties>
</file>