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b/>
          <w:bCs/>
          <w:color w:val="1F4E79"/>
          <w:sz w:val="40"/>
          <w:szCs w:val="40"/>
        </w:rPr>
        <w:t xml:space="preserve">ML Challenge 2026</w:t>
      </w:r>
    </w:p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Business Entity Resolution</w:t>
      </w:r>
    </w:p>
    <w:p>
      <w:pPr>
        <w:spacing w:after="60"/>
        <w:jc w:val="center"/>
      </w:pPr>
      <w:r>
        <w:rPr>
          <w:i/>
          <w:iCs/>
          <w:sz w:val="26"/>
          <w:szCs w:val="26"/>
        </w:rPr>
        <w:t xml:space="preserve">Exploratory Data Analysis — Data Understanding Report</w:t>
      </w:r>
    </w:p>
    <w:p>
      <w:pPr>
        <w:spacing w:after="1000"/>
        <w:jc w:val="center"/>
      </w:pPr>
      <w:r>
        <w:rPr>
          <w:color w:val="666666"/>
          <w:sz w:val="20"/>
          <w:szCs w:val="20"/>
        </w:rPr>
        <w:t xml:space="preserve">Pre-modeling profiling of the training and test datasets</w:t>
      </w:r>
    </w:p>
    <w:p>
      <w:pPr>
        <w:spacing w:after="40"/>
        <w:jc w:val="center"/>
      </w:pPr>
      <w:r>
        <w:rPr>
          <w:color w:val="666666"/>
          <w:sz w:val="18"/>
          <w:szCs w:val="18"/>
        </w:rPr>
        <w:t xml:space="preserve">Scope: file inventory, schema, data quality, label structure, distribution and noise analysis</w:t>
      </w:r>
    </w:p>
    <w:p>
      <w:pPr>
        <w:jc w:val="center"/>
      </w:pPr>
      <w:r>
        <w:rPr>
          <w:color w:val="666666"/>
          <w:sz w:val="18"/>
          <w:szCs w:val="18"/>
        </w:rPr>
        <w:t xml:space="preserve">Prepared: 25 September 2026</w:t>
      </w:r>
    </w:p>
    <w:p>
      <w:pPr>
        <w:spacing w:after="0"/>
      </w:pPr>
    </w:p>
    <w:p>
      <w:pPr>
        <w:pageBreakBefore/>
      </w:pPr>
      <w:r>
        <w:br/>
        <w:t xml:space="preserve"/>
      </w:r>
    </w:p>
    <w:p>
      <w:pPr>
        <w:pStyle w:val="Heading1"/>
        <w:spacing w:after="120" w:before="240"/>
      </w:pPr>
      <w:r>
        <w:t xml:space="preserve">1. Executive Summary</w:t>
      </w:r>
    </w:p>
    <w:p>
      <w:pPr>
        <w:spacing w:after="120" w:line="276"/>
      </w:pPr>
      <w:r>
        <w:t xml:space="preserve">This report documents a data-understanding (EDA) pass over the ML Challenge 2026 </w:t>
      </w:r>
      <w:r>
        <w:rPr>
          <w:b/>
          <w:bCs/>
        </w:rPr>
        <w:t xml:space="preserve">Business Entity Resolution</w:t>
      </w:r>
      <w:r>
        <w:t xml:space="preserve"> dataset, carried out before any modeling. The task is to identify, for each record in a deduplicated reference source (Source 1), all records from two other noisy sources (Source 2 and Source 3) that refer to the same real-world business. Submissions are scored with the </w:t>
      </w:r>
      <w:r>
        <w:rPr>
          <w:b/>
          <w:bCs/>
        </w:rPr>
        <w:t xml:space="preserve">F₀.₅</w:t>
      </w:r>
      <w:r>
        <w:t xml:space="preserve"> metric (precision-weighted, macro-averaged per Source 1 entity).</w:t>
      </w:r>
    </w:p>
    <w:p>
      <w:pPr>
        <w:spacing w:after="120" w:line="276"/>
      </w:pPr>
      <w:r>
        <w:t xml:space="preserve">The dataset is large and clean in structure but heavily noisy in content. Across seven tab-separated files (~2.5 GB) we found </w:t>
      </w:r>
      <w:r>
        <w:rPr>
          <w:b/>
          <w:bCs/>
        </w:rPr>
        <w:t xml:space="preserve">24.3 million records total</w:t>
      </w:r>
      <w:r>
        <w:t xml:space="preserve"> with a perfectly regular column structure (zero malformed rows) yet substantial real-world messiness in the text fields: multilingual names (Devanagari, French), typos, leading junk characters, inconsistent legal suffixes, casing differences, and reordered or partial addresses.</w:t>
      </w:r>
    </w:p>
    <w:p>
      <w:pPr>
        <w:spacing w:after="120" w:line="276"/>
      </w:pPr>
      <w:r>
        <w:t xml:space="preserve">The most consequential findings for strategy are: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Strictly many-to-one labels. </w:t>
      </w:r>
      <w:r>
        <w:t xml:space="preserve">Every Source 2 / Source 3 record matches at most one Source 1 entity (verified: maximum multiplicity = 1). The data is a set of disjoint clusters, each anchored by one Source 1 record.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Low singleton rate (5.58%). </w:t>
      </w:r>
      <w:r>
        <w:t xml:space="preserve">94.4% of reference entities have at least one match (mean 3.46, max 11), so the score is earned by finding matches, not by abstaining.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~25% orphan distractors. </w:t>
      </w:r>
      <w:r>
        <w:t xml:space="preserve">About a quarter of Source 2/3 records match no reference entity and must be actively rejected.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Train→test distribution shift. </w:t>
      </w:r>
      <w:r>
        <w:t xml:space="preserve">The test set adds an unseen country (France, ~15%) and shifts the US/India balance from 60/40 to roughly 38/47, so validation must be country-aware.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Blocking is mandatory. </w:t>
      </w:r>
      <w:r>
        <w:t xml:space="preserve">A brute-force comparison is ~2.3×10¹³ pairs; candidate generation quality will set the recall ceiling.</w:t>
      </w:r>
    </w:p>
    <w:p>
      <w:pPr>
        <w:pStyle w:val="Heading1"/>
        <w:spacing w:after="120" w:before="240"/>
      </w:pPr>
      <w:r>
        <w:t xml:space="preserve">2. Objective and Scope</w:t>
      </w:r>
    </w:p>
    <w:p>
      <w:pPr>
        <w:spacing w:after="120" w:line="276"/>
      </w:pPr>
      <w:r>
        <w:t xml:space="preserve">The goal of this pass was strictly to </w:t>
      </w:r>
      <w:r>
        <w:rPr>
          <w:b/>
          <w:bCs/>
        </w:rPr>
        <w:t xml:space="preserve">understand the data before building anything</w:t>
      </w:r>
      <w:r>
        <w:t xml:space="preserve"> — to establish the files, schema, scale, label structure, data quality and noise characteristics that any candidate-generation and matching pipeline must accommodate. No models were trained. All figures below are computed directly from the provided files.</w:t>
      </w:r>
    </w:p>
    <w:p>
      <w:pPr>
        <w:spacing w:after="120" w:line="276"/>
      </w:pPr>
      <w:r>
        <w:rPr>
          <w:b/>
          <w:bCs/>
        </w:rPr>
        <w:t xml:space="preserve">The task (per the challenge README): </w:t>
      </w:r>
      <w:r>
        <w:t xml:space="preserve">business identity data arrives from three independent sources with no shared identifiers. Source 1 is the deduplicated reference source. For each Source 1 entity, find all matching records from Source 2 and Source 3. An entity may match zero, one, or many records.</w:t>
      </w:r>
    </w:p>
    <w:p>
      <w:pPr>
        <w:spacing w:after="120" w:line="276"/>
      </w:pPr>
      <w:r>
        <w:rPr>
          <w:b/>
          <w:bCs/>
        </w:rPr>
        <w:t xml:space="preserve">Evaluation: </w:t>
      </w:r>
      <w:r>
        <w:t xml:space="preserve">F₀.₅ = (1.25 × P × R) / (0.25 × P + R), computed per Source 1 entity then macro-averaged over all entities (singletons included). Precision is weighted twice as heavily as recall, so false merges are penalised more than misses.</w:t>
      </w:r>
    </w:p>
    <w:p>
      <w:pPr>
        <w:spacing w:after="120" w:line="276"/>
      </w:pPr>
      <w:r>
        <w:rPr>
          <w:b/>
          <w:bCs/>
        </w:rPr>
        <w:t xml:space="preserve">Key constraints: </w:t>
      </w:r>
      <w:r>
        <w:t xml:space="preserve">the final model must be MIT/Apache-2.0 licensed and ≤ 8B parameters; external data lookup (entity APIs, government registries, geocoding, internet augmentation) is strictly prohibited.</w:t>
      </w:r>
    </w:p>
    <w:p>
      <w:pPr>
        <w:pStyle w:val="Heading1"/>
        <w:spacing w:after="120" w:before="240"/>
      </w:pPr>
      <w:r>
        <w:t xml:space="preserve">3. Dataset Inventory</w:t>
      </w:r>
    </w:p>
    <w:p>
      <w:pPr>
        <w:spacing w:after="120" w:line="276"/>
      </w:pPr>
      <w:r>
        <w:t xml:space="preserve">The shared Google Drive folder unpacks to a </w:t>
      </w:r>
      <w:r>
        <w:rPr>
          <w:b/>
          <w:bCs/>
        </w:rPr>
        <w:t xml:space="preserve">student_resource</w:t>
      </w:r>
      <w:r>
        <w:t xml:space="preserve"> package (plus ignorable macOS metadata). The substantive contents are seven data files, a README, a documentation template, and a submission validator. Row counts are exact (header excluded).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50"/>
        <w:gridCol w:w="1150"/>
        <w:gridCol w:w="1760"/>
        <w:gridCol w:w="4000"/>
      </w:tblGrid>
      <w:tr>
        <w:trPr>
          <w:tblHeader/>
        </w:trPr>
        <w:tc>
          <w:tcPr>
            <w:tcW w:type="dxa" w:w="2450"/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1150"/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Size</w:t>
            </w:r>
          </w:p>
        </w:tc>
        <w:tc>
          <w:tcPr>
            <w:tcW w:type="dxa" w:w="1760"/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Rows</w:t>
            </w:r>
          </w:p>
        </w:tc>
        <w:tc>
          <w:tcPr>
            <w:tcW w:type="dxa" w:w="4000"/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c>
          <w:tcPr>
            <w:tcW w:type="dxa" w:w="2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train_source1.tsv</w:t>
            </w:r>
          </w:p>
        </w:tc>
        <w:tc>
          <w:tcPr>
            <w:tcW w:type="dxa" w:w="11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210 MB</w:t>
            </w:r>
          </w:p>
        </w:tc>
        <w:tc>
          <w:tcPr>
            <w:tcW w:type="dxa" w:w="1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2,206,821</w:t>
            </w:r>
          </w:p>
        </w:tc>
        <w:tc>
          <w:tcPr>
            <w:tcW w:type="dxa" w:w="4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Train input — Source 1 (reference)</w:t>
            </w:r>
          </w:p>
        </w:tc>
      </w:tr>
      <w:tr>
        <w:tc>
          <w:tcPr>
            <w:tcW w:type="dxa" w:w="245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train_source2.tsv</w:t>
            </w:r>
          </w:p>
        </w:tc>
        <w:tc>
          <w:tcPr>
            <w:tcW w:type="dxa" w:w="115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489 MB</w:t>
            </w:r>
          </w:p>
        </w:tc>
        <w:tc>
          <w:tcPr>
            <w:tcW w:type="dxa" w:w="176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5,034,616</w:t>
            </w:r>
          </w:p>
        </w:tc>
        <w:tc>
          <w:tcPr>
            <w:tcW w:type="dxa" w:w="4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Train input — Source 2</w:t>
            </w:r>
          </w:p>
        </w:tc>
      </w:tr>
      <w:tr>
        <w:tc>
          <w:tcPr>
            <w:tcW w:type="dxa" w:w="2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train_source3.tsv</w:t>
            </w:r>
          </w:p>
        </w:tc>
        <w:tc>
          <w:tcPr>
            <w:tcW w:type="dxa" w:w="11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504 MB</w:t>
            </w:r>
          </w:p>
        </w:tc>
        <w:tc>
          <w:tcPr>
            <w:tcW w:type="dxa" w:w="1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5,285,603</w:t>
            </w:r>
          </w:p>
        </w:tc>
        <w:tc>
          <w:tcPr>
            <w:tcW w:type="dxa" w:w="4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Train input — Source 3</w:t>
            </w:r>
          </w:p>
        </w:tc>
      </w:tr>
      <w:tr>
        <w:tc>
          <w:tcPr>
            <w:tcW w:type="dxa" w:w="245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train_ground_truth.tsv</w:t>
            </w:r>
          </w:p>
        </w:tc>
        <w:tc>
          <w:tcPr>
            <w:tcW w:type="dxa" w:w="115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127 MB</w:t>
            </w:r>
          </w:p>
        </w:tc>
        <w:tc>
          <w:tcPr>
            <w:tcW w:type="dxa" w:w="176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2,206,821</w:t>
            </w:r>
          </w:p>
        </w:tc>
        <w:tc>
          <w:tcPr>
            <w:tcW w:type="dxa" w:w="4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Train labels (matches)</w:t>
            </w:r>
          </w:p>
        </w:tc>
      </w:tr>
      <w:tr>
        <w:tc>
          <w:tcPr>
            <w:tcW w:type="dxa" w:w="2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test_source1.tsv</w:t>
            </w:r>
          </w:p>
        </w:tc>
        <w:tc>
          <w:tcPr>
            <w:tcW w:type="dxa" w:w="11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175 MB</w:t>
            </w:r>
          </w:p>
        </w:tc>
        <w:tc>
          <w:tcPr>
            <w:tcW w:type="dxa" w:w="1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1,732,544</w:t>
            </w:r>
          </w:p>
        </w:tc>
        <w:tc>
          <w:tcPr>
            <w:tcW w:type="dxa" w:w="4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 input — Source 1 (reference)</w:t>
            </w:r>
          </w:p>
        </w:tc>
      </w:tr>
      <w:tr>
        <w:tc>
          <w:tcPr>
            <w:tcW w:type="dxa" w:w="245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test_source2.tsv</w:t>
            </w:r>
          </w:p>
        </w:tc>
        <w:tc>
          <w:tcPr>
            <w:tcW w:type="dxa" w:w="115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509 MB</w:t>
            </w:r>
          </w:p>
        </w:tc>
        <w:tc>
          <w:tcPr>
            <w:tcW w:type="dxa" w:w="176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4,887,273</w:t>
            </w:r>
          </w:p>
        </w:tc>
        <w:tc>
          <w:tcPr>
            <w:tcW w:type="dxa" w:w="4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 input — Source 2</w:t>
            </w:r>
          </w:p>
        </w:tc>
      </w:tr>
      <w:tr>
        <w:tc>
          <w:tcPr>
            <w:tcW w:type="dxa" w:w="2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test_source3.tsv</w:t>
            </w:r>
          </w:p>
        </w:tc>
        <w:tc>
          <w:tcPr>
            <w:tcW w:type="dxa" w:w="11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506 MB</w:t>
            </w:r>
          </w:p>
        </w:tc>
        <w:tc>
          <w:tcPr>
            <w:tcW w:type="dxa" w:w="1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5,082,316</w:t>
            </w:r>
          </w:p>
        </w:tc>
        <w:tc>
          <w:tcPr>
            <w:tcW w:type="dxa" w:w="4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 input — Source 3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Totals: </w:t>
      </w:r>
      <w:r>
        <w:t xml:space="preserve">train source records ≈ 12.5M; test ≈ 11.7M; grand total ≈ 24.3M records.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Source sizing: </w:t>
      </w:r>
      <w:r>
        <w:t xml:space="preserve">Source 2 and Source 3 are ~2.3–2.4× larger than Source 1 in both splits — the reference source is the smaller, deduplicated one.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Ground-truth count </w:t>
      </w:r>
      <w:r>
        <w:t xml:space="preserve">(2,206,821) exactly equals the train Source 1 row count — one label row per reference entity.</w:t>
      </w:r>
    </w:p>
    <w:p>
      <w:pPr>
        <w:pStyle w:val="Heading1"/>
        <w:spacing w:after="120" w:before="240"/>
      </w:pPr>
      <w:r>
        <w:t xml:space="preserve">4. Schema and Data Dictionary</w:t>
      </w:r>
    </w:p>
    <w:p>
      <w:pPr>
        <w:spacing w:after="120" w:line="276"/>
      </w:pPr>
      <w:r>
        <w:t xml:space="preserve">All files are genuinely tab-separated (</w:t>
      </w:r>
      <w:r>
        <w:rPr>
          <w:b/>
          <w:bCs/>
        </w:rPr>
        <w:t xml:space="preserve">.tsv</w:t>
      </w:r>
      <w:r>
        <w:t xml:space="preserve">); commas appear inside address and ID-list fields, so they must be read with an explicit tab separator. The on-disk structure matches the documentation exactly.</w:t>
      </w:r>
    </w:p>
    <w:p>
      <w:pPr>
        <w:spacing w:after="120" w:line="276"/>
      </w:pPr>
      <w:r>
        <w:rPr>
          <w:b/>
          <w:bCs/>
        </w:rPr>
        <w:t xml:space="preserve">Source files </w:t>
      </w:r>
      <w:r>
        <w:t xml:space="preserve">(train/test × source 1/2/3) — four columns: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6960"/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entity_id</w:t>
            </w:r>
          </w:p>
        </w:tc>
        <w:tc>
          <w:tcPr>
            <w:tcW w:type="dxa" w:w="6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Unique record id. Prefix encodes the source: S1- / S2- / S3-. Numeric part is variable length. There is no separate source column.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business_name</w:t>
            </w:r>
          </w:p>
        </w:tc>
        <w:tc>
          <w:tcPr>
            <w:tcW w:type="dxa" w:w="696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Business name. May contain abbreviations, legal suffixes, DBA/trade names, punctuation differences, word-order transpositions, typos and transliterations.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business_address</w:t>
            </w:r>
          </w:p>
        </w:tc>
        <w:tc>
          <w:tcPr>
            <w:tcW w:type="dxa" w:w="6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Address. May be partial, reordered, abbreviated, landmark-based, or missing components (e.g. no postal code).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country</w:t>
            </w:r>
          </w:p>
        </w:tc>
        <w:tc>
          <w:tcPr>
            <w:tcW w:type="dxa" w:w="696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Country label. Train = {US, India}; test additionally contains France. To be treated as an open set of string labels.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b/>
          <w:bCs/>
        </w:rPr>
        <w:t xml:space="preserve">Ground-truth file </w:t>
      </w:r>
      <w:r>
        <w:t xml:space="preserve">(train_ground_truth.tsv) — two columns: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6960"/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source1_entity_id</w:t>
            </w:r>
          </w:p>
        </w:tc>
        <w:tc>
          <w:tcPr>
            <w:tcW w:type="dxa" w:w="6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entity_id of a Source 1 record.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matched_entity_ids</w:t>
            </w:r>
          </w:p>
        </w:tc>
        <w:tc>
          <w:tcPr>
            <w:tcW w:type="dxa" w:w="696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Comma-separated list of matching S2/S3 entity_ids; empty when the entity has no matches (singleton).</w:t>
            </w:r>
          </w:p>
        </w:tc>
      </w:tr>
    </w:tbl>
    <w:p>
      <w:pPr>
        <w:pStyle w:val="Heading1"/>
        <w:spacing w:after="120" w:before="240"/>
      </w:pPr>
      <w:r>
        <w:t xml:space="preserve">5. Data Quality Assessment</w:t>
      </w:r>
    </w:p>
    <w:p>
      <w:pPr>
        <w:spacing w:after="120" w:line="276"/>
      </w:pPr>
      <w:r>
        <w:t xml:space="preserve">Structural quality is excellent; the messiness is entirely in field content, not in the file format.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Zero malformed rows </w:t>
      </w:r>
      <w:r>
        <w:t xml:space="preserve">across all six source files — every row splits into exactly four tab fields (no embedded tabs, no missing columns).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business_name is never empty </w:t>
      </w:r>
      <w:r>
        <w:t xml:space="preserve">in any file.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business_address is empty only in Source 2/3, </w:t>
      </w:r>
      <w:r>
        <w:t xml:space="preserve">never in Source 1. Rates: train S2 3.36%, S3 3.33%; test S2 2.65%, S3 2.68%.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No record is entirely blank </w:t>
      </w:r>
      <w:r>
        <w:t xml:space="preserve">(empty name AND address = 0 everywhere) — every record carries at least a name.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entity_id integrity: </w:t>
      </w:r>
      <w:r>
        <w:t xml:space="preserve">Source 1 ids are 100% unique and all correctly prefixed; the GT source1 id-set is identical to the train Source 1 id-set (verified two-way, zero discrepancies); every matched id in the GT actually exists in its source file (zero dangling references).</w:t>
      </w:r>
    </w:p>
    <w:p>
      <w:pPr>
        <w:spacing w:after="120" w:line="276"/>
      </w:pPr>
      <w:r>
        <w:rPr>
          <w:b/>
          <w:bCs/>
        </w:rPr>
        <w:t xml:space="preserve">Implication: </w:t>
      </w:r>
      <w:r>
        <w:t xml:space="preserve">name is the only universally present field, so the matching pipeline must remain functional on name alone and treat address as a strong-but-optional signal.</w:t>
      </w:r>
    </w:p>
    <w:p>
      <w:pPr>
        <w:pStyle w:val="Heading1"/>
        <w:spacing w:after="120" w:before="240"/>
      </w:pPr>
      <w:r>
        <w:t xml:space="preserve">6. Ground-Truth (Label) Structure</w:t>
      </w:r>
    </w:p>
    <w:p>
      <w:pPr>
        <w:spacing w:after="120" w:line="276"/>
      </w:pPr>
      <w:r>
        <w:t xml:space="preserve">Profiling the 2,206,821 label rows reveals the shape of the target: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Singletons: </w:t>
      </w:r>
      <w:r>
        <w:t xml:space="preserve">123,247 entities (5.58%) have no match; 2,083,574 (94.42%) have at least one.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Total true matches: </w:t>
      </w:r>
      <w:r>
        <w:t xml:space="preserve">7,638,365, split almost evenly between Source 2 (48.36%) and Source 3 (51.64%).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Matches per entity: </w:t>
      </w:r>
      <w:r>
        <w:t xml:space="preserve">mean 3.46 across all entities (3.67 among matched), maximum 11.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Cardinality: </w:t>
      </w:r>
      <w:r>
        <w:t xml:space="preserve">strictly many-to-one — every matched S2/S3 id appears in exactly one entity's list (verified maximum multiplicity = 1). The data forms disjoint clusters.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Orphans: </w:t>
      </w:r>
      <w:r>
        <w:t xml:space="preserve">Source 2 has 1,340,997 unmatched records (26.64%); Source 3 has 1,340,857 (25.37%). The near-identical orphan counts suggest a fixed pool of distractor records.</w:t>
      </w:r>
    </w:p>
    <w:p>
      <w:pPr>
        <w:spacing w:after="60"/>
      </w:pPr>
    </w:p>
    <w:p>
      <w:pPr>
        <w:spacing w:after="120" w:line="276"/>
      </w:pPr>
      <w:r>
        <w:rPr>
          <w:b/>
          <w:bCs/>
        </w:rPr>
        <w:t xml:space="preserve">Distribution of matches per Source 1 entity: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Matches</w:t>
            </w:r>
          </w:p>
        </w:tc>
        <w:tc>
          <w:tcPr>
            <w:tcW w:type="dxa" w:w="3120"/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# Source 1 entities</w:t>
            </w:r>
          </w:p>
        </w:tc>
        <w:tc>
          <w:tcPr>
            <w:tcW w:type="dxa" w:w="3120"/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Share</w:t>
            </w:r>
          </w:p>
        </w:tc>
      </w:tr>
      <w:tr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123,247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5.58%</w:t>
            </w:r>
          </w:p>
        </w:tc>
      </w:tr>
      <w:tr>
        <w:tc>
          <w:tcPr>
            <w:tcW w:type="dxa" w:w="312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12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119,157</w:t>
            </w:r>
          </w:p>
        </w:tc>
        <w:tc>
          <w:tcPr>
            <w:tcW w:type="dxa" w:w="312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5.40%</w:t>
            </w:r>
          </w:p>
        </w:tc>
      </w:tr>
      <w:tr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375,212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17.00%</w:t>
            </w:r>
          </w:p>
        </w:tc>
      </w:tr>
      <w:tr>
        <w:tc>
          <w:tcPr>
            <w:tcW w:type="dxa" w:w="312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12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530,841</w:t>
            </w:r>
          </w:p>
        </w:tc>
        <w:tc>
          <w:tcPr>
            <w:tcW w:type="dxa" w:w="312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24.05%</w:t>
            </w:r>
          </w:p>
        </w:tc>
      </w:tr>
      <w:tr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484,115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21.94%</w:t>
            </w:r>
          </w:p>
        </w:tc>
      </w:tr>
      <w:tr>
        <w:tc>
          <w:tcPr>
            <w:tcW w:type="dxa" w:w="312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12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321,957</w:t>
            </w:r>
          </w:p>
        </w:tc>
        <w:tc>
          <w:tcPr>
            <w:tcW w:type="dxa" w:w="312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14.59%</w:t>
            </w:r>
          </w:p>
        </w:tc>
      </w:tr>
      <w:tr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164,868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7.47%</w:t>
            </w:r>
          </w:p>
        </w:tc>
      </w:tr>
      <w:tr>
        <w:tc>
          <w:tcPr>
            <w:tcW w:type="dxa" w:w="312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312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63,968</w:t>
            </w:r>
          </w:p>
        </w:tc>
        <w:tc>
          <w:tcPr>
            <w:tcW w:type="dxa" w:w="312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2.90%</w:t>
            </w:r>
          </w:p>
        </w:tc>
      </w:tr>
      <w:tr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18,680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0.85%</w:t>
            </w:r>
          </w:p>
        </w:tc>
      </w:tr>
      <w:tr>
        <w:tc>
          <w:tcPr>
            <w:tcW w:type="dxa" w:w="312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312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4,205</w:t>
            </w:r>
          </w:p>
        </w:tc>
        <w:tc>
          <w:tcPr>
            <w:tcW w:type="dxa" w:w="312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0.19%</w:t>
            </w:r>
          </w:p>
        </w:tc>
      </w:tr>
      <w:tr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534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0.02%</w:t>
            </w:r>
          </w:p>
        </w:tc>
      </w:tr>
      <w:tr>
        <w:tc>
          <w:tcPr>
            <w:tcW w:type="dxa" w:w="312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312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37</w:t>
            </w:r>
          </w:p>
        </w:tc>
        <w:tc>
          <w:tcPr>
            <w:tcW w:type="dxa" w:w="312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0.00%</w:t>
            </w:r>
          </w:p>
        </w:tc>
      </w:tr>
    </w:tbl>
    <w:p>
      <w:pPr>
        <w:pStyle w:val="Heading1"/>
        <w:spacing w:after="120" w:before="240"/>
      </w:pPr>
      <w:r>
        <w:t xml:space="preserve">7. Country and Distribution Analysis</w:t>
      </w:r>
    </w:p>
    <w:p>
      <w:pPr>
        <w:spacing w:after="120" w:line="276"/>
      </w:pPr>
      <w:r>
        <w:t xml:space="preserve">Country composition is consistent across the three sources within each split, but differs sharply between train and test.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2000"/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US</w:t>
            </w:r>
          </w:p>
        </w:tc>
        <w:tc>
          <w:tcPr>
            <w:tcW w:type="dxa" w:w="2000"/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India</w:t>
            </w:r>
          </w:p>
        </w:tc>
        <w:tc>
          <w:tcPr>
            <w:tcW w:type="dxa" w:w="2000"/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France</w:t>
            </w:r>
          </w:p>
        </w:tc>
      </w:tr>
      <w:tr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train_source1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59.98%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40.02%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336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train_source2</w:t>
            </w:r>
          </w:p>
        </w:tc>
        <w:tc>
          <w:tcPr>
            <w:tcW w:type="dxa" w:w="2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59.92%</w:t>
            </w:r>
          </w:p>
        </w:tc>
        <w:tc>
          <w:tcPr>
            <w:tcW w:type="dxa" w:w="2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40.08%</w:t>
            </w:r>
          </w:p>
        </w:tc>
        <w:tc>
          <w:tcPr>
            <w:tcW w:type="dxa" w:w="2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train_source3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59.98%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40.02%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336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test_source1</w:t>
            </w:r>
          </w:p>
        </w:tc>
        <w:tc>
          <w:tcPr>
            <w:tcW w:type="dxa" w:w="2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38.27%</w:t>
            </w:r>
          </w:p>
        </w:tc>
        <w:tc>
          <w:tcPr>
            <w:tcW w:type="dxa" w:w="2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46.75%</w:t>
            </w:r>
          </w:p>
        </w:tc>
        <w:tc>
          <w:tcPr>
            <w:tcW w:type="dxa" w:w="2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14.98%</w:t>
            </w:r>
          </w:p>
        </w:tc>
      </w:tr>
      <w:tr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test_source2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38.29%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47.32%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14.39%</w:t>
            </w:r>
          </w:p>
        </w:tc>
      </w:tr>
      <w:tr>
        <w:tc>
          <w:tcPr>
            <w:tcW w:type="dxa" w:w="336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test_source3</w:t>
            </w:r>
          </w:p>
        </w:tc>
        <w:tc>
          <w:tcPr>
            <w:tcW w:type="dxa" w:w="2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38.28%</w:t>
            </w:r>
          </w:p>
        </w:tc>
        <w:tc>
          <w:tcPr>
            <w:tcW w:type="dxa" w:w="2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47.32%</w:t>
            </w:r>
          </w:p>
        </w:tc>
        <w:tc>
          <w:tcPr>
            <w:tcW w:type="dxa" w:w="2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14.40%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Unseen country in test: </w:t>
      </w:r>
      <w:r>
        <w:t xml:space="preserve">France is ~15% of the test set and absent from training — the pipeline must generalise to a new country/language with zero labels.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Covariate shift: </w:t>
      </w:r>
      <w:r>
        <w:t xml:space="preserve">US drops from ~60% (train) to ~38% (test) while India rises from ~40% to ~47%. Even excluding France, the test US:India ratio is ~45:55 versus train's 60:40.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Implication: </w:t>
      </w:r>
      <w:r>
        <w:t xml:space="preserve">thresholds and features tuned on the train mix may not transfer; validation should be stratified and reported per country, and no step should hard-code the country set to {US, India}.</w:t>
      </w:r>
    </w:p>
    <w:p>
      <w:pPr>
        <w:pStyle w:val="Heading1"/>
        <w:spacing w:after="120" w:before="240"/>
      </w:pPr>
      <w:r>
        <w:t xml:space="preserve">8. Noise and Heterogeneity Catalogue</w:t>
      </w:r>
    </w:p>
    <w:p>
      <w:pPr>
        <w:spacing w:after="120" w:line="276"/>
      </w:pPr>
      <w:r>
        <w:t xml:space="preserve">Direct inspection of records confirms all the noise patterns the challenge warns about, plus a few practical ones: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Multilingual names. </w:t>
      </w:r>
      <w:r>
        <w:t xml:space="preserve">India records are frequently in Devanagari (e.g. राम मार्केटिंग प्राइवेट लिमिटेड); France records use accented French. Handling requires Unicode-aware, script-aware processing and likely transliteration.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Leading junk tokens. </w:t>
      </w:r>
      <w:r>
        <w:t xml:space="preserve">Names prefixed with stray characters such as “-- ”, “&lt;&lt; ”, or “B+ ”.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Deliberate typos. </w:t>
      </w:r>
      <w:r>
        <w:t xml:space="preserve">e.g. COIMATORE (Coimbatore), Léarning (Learning), JEN ZAY (Jean Zay) — edit-distance and phonetic features will matter.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Legal-suffix variation. </w:t>
      </w:r>
      <w:r>
        <w:t xml:space="preserve">Inc / Corp / Private Ltd / LLC / LLP / Sarl / S.A.S and localized forms (प्राइवेट लिमिटेड, एलएलपी) — a multilingual suffix-normalisation dictionary will help.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Casing differences. </w:t>
      </w:r>
      <w:r>
        <w:t xml:space="preserve">Source 2 addresses are often all-caps while Source 1/3 are mixed case — casefolding before comparison is essential.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Address messiness. </w:t>
      </w:r>
      <w:r>
        <w:t xml:space="preserve">component reordering (state-first), abbreviations (Rd/Road), landmark references, missing postal codes, and (in S2/S3) fully missing addresses.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Other. </w:t>
      </w:r>
      <w:r>
        <w:t xml:space="preserve">occasional domain names used as business names (e.g. wilfordhancock.com); mixed full-vs-abbreviated state labels (Texas vs TX, Haryana vs HR).</w:t>
      </w:r>
    </w:p>
    <w:p>
      <w:pPr>
        <w:pStyle w:val="Heading1"/>
        <w:spacing w:after="120" w:before="240"/>
      </w:pPr>
      <w:r>
        <w:t xml:space="preserve">9. Scale and Computational Implications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Blocking is mandatory. </w:t>
      </w:r>
      <w:r>
        <w:t xml:space="preserve">A naive all-pairs comparison for training alone is 2.21M × (5.03M + 5.29M) ≈ 2.3×10¹³ comparisons — infeasible. Candidate generation quality sets the achievable recall ceiling.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Memory discipline. </w:t>
      </w:r>
      <w:r>
        <w:t xml:space="preserve">Standard Colab RAM (~12–13 GB) cannot hold all sources in pandas simultaneously (the 500 MB files expand to several GB each). This EDA used streaming / column-subset reads and sampling throughout; the production pipeline should do likewise (chunking, compact dtypes, on-disk joins).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Small clusters help. </w:t>
      </w:r>
      <w:r>
        <w:t xml:space="preserve">With at most 11 matches per entity (mean ~3.5), candidate lists per entity can stay short, and per-entity local resolution is tractable once blocking has narrowed the space.</w:t>
      </w:r>
    </w:p>
    <w:p>
      <w:pPr>
        <w:pStyle w:val="Heading1"/>
        <w:spacing w:after="120" w:before="240"/>
      </w:pPr>
      <w:r>
        <w:t xml:space="preserve">10. Strategic Implications for Modeling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Optimise for precision, but do not sacrifice recall. </w:t>
      </w:r>
      <w:r>
        <w:t xml:space="preserve">F₀.₅ weights precision 2×, yet 94% of entities have ~3.5 true matches, so recall still contributes materially; the trade-off should be tuned to the metric on a held-out split.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Exploit the many-to-one constraint. </w:t>
      </w:r>
      <w:r>
        <w:t xml:space="preserve">Because each S2/S3 record belongs to at most one entity, a global or greedy best-match assignment can prevent the same record being matched to multiple entities, raising precision.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Guard singletons. </w:t>
      </w:r>
      <w:r>
        <w:t xml:space="preserve">Correctly predicting an empty list scores a full 1.0 on that entity; a false merge scores 0.0. A confidence threshold that leaves low-evidence entities empty protects ~5.6% of the score.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Reject orphans explicitly. </w:t>
      </w:r>
      <w:r>
        <w:t xml:space="preserve">~25% of S2/S3 records match nothing; an over-eager matcher will pull these in and bleed precision.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Design for generalisation. </w:t>
      </w:r>
      <w:r>
        <w:t xml:space="preserve">France appears only at test time, so features and thresholds must be country-agnostic and language-robust rather than fitted to {US, India}.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Lead with name features. </w:t>
      </w:r>
      <w:r>
        <w:t xml:space="preserve">Name is always present and both sources contribute equally; address is a strong secondary signal that must degrade gracefully when missing.</w:t>
      </w:r>
    </w:p>
    <w:p>
      <w:pPr>
        <w:pStyle w:val="Heading1"/>
        <w:spacing w:after="120" w:before="240"/>
      </w:pPr>
      <w:r>
        <w:t xml:space="preserve">11. Recommended Next Steps</w:t>
      </w:r>
    </w:p>
    <w:p>
      <w:pPr>
        <w:spacing w:after="120" w:line="276"/>
      </w:pPr>
      <w:r>
        <w:t xml:space="preserve">The following analyses were designed as the next stage of this EDA and are </w:t>
      </w:r>
      <w:r>
        <w:rPr>
          <w:b/>
          <w:bCs/>
        </w:rPr>
        <w:t xml:space="preserve">not yet executed</w:t>
      </w:r>
      <w:r>
        <w:t xml:space="preserve">; they should be completed before finalising the pipeline design: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Match country-consistency. </w:t>
      </w:r>
      <w:r>
        <w:t xml:space="preserve">Quantify whether true matches are always within-country. If they are, country becomes a free, safe top-level blocking key.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Pair separability. </w:t>
      </w:r>
      <w:r>
        <w:t xml:space="preserve">Compare similarity distributions (name-token Jaccard, character-trigram Jaccard, address-token Jaccard, exact-name rate) for true matches versus random same-country pairs, to identify which features carry signal.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Blocking-key feasibility. </w:t>
      </w:r>
      <w:r>
        <w:t xml:space="preserve">Estimate pair-recall for candidate keys (first name token, name prefixes, shared token/trigram, shared postal code) and measure postal-code presence by country, to choose keys that maximise recall while controlling candidate volume.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Further profiling. </w:t>
      </w:r>
      <w:r>
        <w:t xml:space="preserve">Verify Source 1 deduplication, quantify near-duplicates within Source 2/3, and profile per-country text length and script composition.</w:t>
      </w:r>
    </w:p>
    <w:p>
      <w:pPr>
        <w:pStyle w:val="Heading1"/>
        <w:spacing w:after="120" w:before="240"/>
      </w:pPr>
      <w:r>
        <w:t xml:space="preserve">12. Appendix — Methodology and Analysis Log</w:t>
      </w:r>
    </w:p>
    <w:p>
      <w:pPr>
        <w:spacing w:after="120" w:line="276"/>
      </w:pPr>
      <w:r>
        <w:t xml:space="preserve">The analysis was performed interactively in Google Colab, one step at a time, with each result recorded before deciding the next step. Steps completed: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Cell 1: </w:t>
      </w:r>
      <w:r>
        <w:t xml:space="preserve">downloaded the Drive folder; inventoried files and sizes.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Cell 2: </w:t>
      </w:r>
      <w:r>
        <w:t xml:space="preserve">read README, documentation template, and submission validator to establish the task, schema, metric and constraints.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Cell 3: </w:t>
      </w:r>
      <w:r>
        <w:t xml:space="preserve">peeked at headers and sample rows of all seven files (confirmed tab separation and column layout).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Cell 4: </w:t>
      </w:r>
      <w:r>
        <w:t xml:space="preserve">computed exact row counts via a memory-light byte-buffered line counter.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Cell 5: </w:t>
      </w:r>
      <w:r>
        <w:t xml:space="preserve">profiled the ground-truth match distribution (singletons, per-entity counts, S2/S3 share).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Cell 6: </w:t>
      </w:r>
      <w:r>
        <w:t xml:space="preserve">verified GT and Source 1 id-sets are identical.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Cell 7: </w:t>
      </w:r>
      <w:r>
        <w:t xml:space="preserve">established many-to-one cardinality, orphan rates, and matched-id existence.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Cell 8: </w:t>
      </w:r>
      <w:r>
        <w:t xml:space="preserve">profiled country distribution, field missingness and malformed-row counts across all six source files.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Cells 9–11 (pending): </w:t>
      </w:r>
      <w:r>
        <w:t xml:space="preserve">country-consistency, pair separability, and blocking-key feasibility (see Section 11).</w:t>
      </w:r>
    </w:p>
    <w:p>
      <w:pPr>
        <w:spacing w:after="120" w:line="276"/>
      </w:pPr>
      <w:r>
        <w:rPr>
          <w:i/>
          <w:iCs/>
          <w:color w:val="666666"/>
          <w:sz w:val="18"/>
          <w:szCs w:val="18"/>
        </w:rPr>
        <w:t xml:space="preserve">All statistics in this report are computed directly from the provided files; no external data was used, consistent with the challenge's fair-play rules.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Business Entity Resolution — EDA Report   |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2E2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EDA</dc:creator>
  <cp:lastModifiedBy>Un-named</cp:lastModifiedBy>
  <cp:revision>1</cp:revision>
  <dcterms:created xsi:type="dcterms:W3CDTF">2026-09-25T17:28:10.721Z</dcterms:created>
  <dcterms:modified xsi:type="dcterms:W3CDTF">2026-09-25T17:28:10.730Z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