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475569"/>
          <w:sz w:val="24"/>
        </w:rPr>
        <w:t>DEPARTMENT OF COMPUTER SCIENCE &amp; ENGINEERING</w:t>
        <w:br/>
        <w:t>FACULTY OF ENGINEERING AND TECHNOLOGY</w:t>
        <w:br/>
      </w:r>
    </w:p>
    <w:p>
      <w:pPr>
        <w:spacing w:before="360" w:after="160"/>
        <w:jc w:val="center"/>
      </w:pPr>
      <w:r>
        <w:rPr>
          <w:rFonts w:ascii="Calibri" w:hAnsi="Calibri"/>
          <w:b/>
          <w:color w:val="1A365D"/>
          <w:sz w:val="64"/>
        </w:rPr>
        <w:t>SATQUERY AI</w:t>
      </w:r>
    </w:p>
    <w:p>
      <w:pPr>
        <w:spacing w:before="0" w:after="720"/>
        <w:jc w:val="center"/>
      </w:pPr>
      <w:r>
        <w:rPr>
          <w:rFonts w:ascii="Calibri" w:hAnsi="Calibri"/>
          <w:i/>
          <w:color w:val="2B6CB0"/>
          <w:sz w:val="26"/>
        </w:rPr>
        <w:t>An Interactive Multimodal Geospatial Intelligence Platform Integrating Vision-Language Reasoning, Dense Grounding, and Segment Anything Model (SAM 2.1)</w:t>
      </w:r>
    </w:p>
    <w:p>
      <w:pPr>
        <w:spacing w:before="480" w:after="800"/>
        <w:jc w:val="center"/>
      </w:pPr>
      <w:r>
        <w:rPr>
          <w:rFonts w:ascii="Calibri" w:hAnsi="Calibri"/>
          <w:color w:val="334155"/>
          <w:sz w:val="22"/>
        </w:rPr>
        <w:t>A Major Project Report submitted in partial fulfillment of the requirements for the award of the degree of</w:t>
        <w:br/>
        <w:br/>
        <w:t>BACHELOR OF TECHNOLOGY</w:t>
        <w:br/>
        <w:t>in</w:t>
        <w:br/>
        <w:t>COMPUTER SCIENCE &amp; ENGINEERING</w:t>
        <w:br/>
      </w:r>
    </w:p>
    <w:tbl>
      <w:tblPr>
        <w:tblW w:type="auto" w:w="0"/>
        <w:jc w:val="center"/>
        <w:tblLayout w:type="fixed"/>
        <w:tblLook w:firstColumn="1" w:firstRow="1" w:lastColumn="0" w:lastRow="0" w:noHBand="0" w:noVBand="1" w:val="04A0"/>
      </w:tblPr>
      <w:tblGrid>
        <w:gridCol w:w="4608"/>
        <w:gridCol w:w="4608"/>
      </w:tblGrid>
      <w:tr>
        <w:tc>
          <w:tcPr>
            <w:tcW w:type="dxa" w:w="4680"/>
          </w:tcPr>
          <w:p>
            <w:pPr>
              <w:jc w:val="left"/>
            </w:pPr>
            <w:r>
              <w:rPr>
                <w:rFonts w:ascii="Calibri" w:hAnsi="Calibri"/>
                <w:b/>
                <w:color w:val="1A365D"/>
                <w:sz w:val="20"/>
              </w:rPr>
              <w:t>SUBMITTED BY:</w:t>
              <w:br/>
            </w:r>
            <w:r>
              <w:rPr>
                <w:rFonts w:ascii="Calibri" w:hAnsi="Calibri"/>
                <w:sz w:val="21"/>
              </w:rPr>
              <w:t>Nakshatra</w:t>
              <w:br/>
              <w:t>Roll No: CSE-2022-8491</w:t>
              <w:br/>
              <w:t>B.Tech (Final Year)</w:t>
              <w:br/>
              <w:t>Dept. of Computer Science &amp; Engg.</w:t>
            </w:r>
          </w:p>
        </w:tc>
        <w:tc>
          <w:tcPr>
            <w:tcW w:type="dxa" w:w="4680"/>
          </w:tcPr>
          <w:p>
            <w:pPr>
              <w:jc w:val="right"/>
            </w:pPr>
            <w:r>
              <w:rPr>
                <w:rFonts w:ascii="Calibri" w:hAnsi="Calibri"/>
                <w:b/>
                <w:color w:val="1A365D"/>
                <w:sz w:val="20"/>
              </w:rPr>
              <w:t>UNDER THE GUIDANCE OF:</w:t>
              <w:br/>
            </w:r>
            <w:r>
              <w:rPr>
                <w:rFonts w:ascii="Calibri" w:hAnsi="Calibri"/>
                <w:sz w:val="21"/>
              </w:rPr>
              <w:t>Project Guide &amp; Mentor</w:t>
              <w:br/>
              <w:t>Assistant Professor</w:t>
              <w:br/>
              <w:t>Dept. of Computer Science &amp; Engg.</w:t>
              <w:br/>
              <w:t>Faculty of Engineering &amp; Technology</w:t>
            </w:r>
          </w:p>
        </w:tc>
      </w:tr>
    </w:tbl>
    <w:p>
      <w:pPr>
        <w:spacing w:before="1200" w:after="0"/>
        <w:jc w:val="center"/>
      </w:pPr>
      <w:r>
        <w:rPr>
          <w:rFonts w:ascii="Calibri" w:hAnsi="Calibri"/>
          <w:b/>
          <w:color w:val="475569"/>
          <w:sz w:val="22"/>
        </w:rPr>
        <w:t>ACADEMIC YEAR 2025–2026</w:t>
        <w:br/>
        <w:t>TECHNICAL UNIVERSITY</w:t>
      </w:r>
    </w:p>
    <w:p>
      <w:r>
        <w:br w:type="page"/>
      </w:r>
    </w:p>
    <w:p>
      <w:pPr>
        <w:keepNext/>
        <w:spacing w:before="480" w:after="160"/>
        <w:pBdr>
          <w:bottom w:val="single" w:sz="12" w:space="4" w:color="2B6CB0"/>
        </w:pBdr>
      </w:pPr>
      <w:r>
        <w:rPr>
          <w:rFonts w:ascii="Calibri" w:hAnsi="Calibri"/>
          <w:b/>
          <w:color w:val="1A365D"/>
          <w:sz w:val="34"/>
        </w:rPr>
        <w:t>CERTIFICATE OF APPROVAL</w:t>
      </w:r>
    </w:p>
    <w:p>
      <w:pPr>
        <w:spacing w:after="120" w:line="276" w:lineRule="auto"/>
      </w:pPr>
      <w:r>
        <w:rPr>
          <w:rFonts w:ascii="Calibri" w:hAnsi="Calibri"/>
          <w:i w:val="0"/>
          <w:color w:val="1E293B"/>
          <w:sz w:val="21"/>
        </w:rPr>
        <w:t>This is to certify that the project entitled "SATQUERY AI: An Interactive Multimodal Geospatial Intelligence Platform Integrating Vision-Language Reasoning, Dense Grounding, and Segment Anything Model (SAM 2.1)" is a bona fide record of the work carried out by Nakshatra (Roll No: CSE-2022-8491), student of the Department of Computer Science &amp; Engineering, Faculty of Engineering and Technology, in partial fulfillment of the requirements for the award of the degree of Bachelor of Technology in Computer Science &amp; Engineering during the academic year 2025–2026.</w:t>
      </w:r>
    </w:p>
    <w:p>
      <w:pPr>
        <w:spacing w:after="120" w:line="276" w:lineRule="auto"/>
      </w:pPr>
      <w:r>
        <w:rPr>
          <w:rFonts w:ascii="Calibri" w:hAnsi="Calibri"/>
          <w:i w:val="0"/>
          <w:color w:val="1E293B"/>
          <w:sz w:val="21"/>
        </w:rPr>
        <w:t>The results embodied in this report have not been submitted to any other University or Institute for the award of any degree or diploma. The project has been evaluated and approved by the examination board.</w:t>
      </w:r>
    </w:p>
    <w:tbl>
      <w:tblPr>
        <w:tblW w:type="auto" w:w="0"/>
        <w:jc w:val="center"/>
        <w:tblLook w:firstColumn="1" w:firstRow="1" w:lastColumn="0" w:lastRow="0" w:noHBand="0" w:noVBand="1" w:val="04A0"/>
      </w:tblPr>
      <w:tblGrid>
        <w:gridCol w:w="3168"/>
        <w:gridCol w:w="3168"/>
        <w:gridCol w:w="3168"/>
      </w:tblGrid>
      <w:tr>
        <w:tc>
          <w:tcPr>
            <w:tcW w:type="dxa" w:w="3120"/>
          </w:tcPr>
          <w:p/>
        </w:tc>
        <w:tc>
          <w:tcPr>
            <w:tcW w:type="dxa" w:w="3120"/>
          </w:tcPr>
          <w:p/>
        </w:tc>
        <w:tc>
          <w:tcPr>
            <w:tcW w:type="dxa" w:w="3120"/>
          </w:tcPr>
          <w:p/>
        </w:tc>
      </w:tr>
      <w:tr>
        <w:tc>
          <w:tcPr>
            <w:tcW w:type="dxa" w:w="3120"/>
          </w:tcPr>
          <w:p>
            <w:pPr>
              <w:spacing w:before="720"/>
              <w:jc w:val="center"/>
            </w:pPr>
            <w:r>
              <w:rPr>
                <w:color w:val="94A3B8"/>
              </w:rPr>
              <w:t>_____________________</w:t>
              <w:br/>
            </w:r>
            <w:r>
              <w:rPr>
                <w:rFonts w:ascii="Calibri" w:hAnsi="Calibri"/>
                <w:b/>
                <w:sz w:val="20"/>
              </w:rPr>
              <w:t>Project Guide</w:t>
              <w:br/>
            </w:r>
            <w:r>
              <w:rPr>
                <w:rFonts w:ascii="Calibri" w:hAnsi="Calibri"/>
                <w:color w:val="64748B"/>
                <w:sz w:val="18"/>
              </w:rPr>
              <w:t>Assistant Professor</w:t>
              <w:br/>
              <w:t>Dept. of CSE</w:t>
            </w:r>
          </w:p>
        </w:tc>
        <w:tc>
          <w:tcPr>
            <w:tcW w:type="dxa" w:w="3120"/>
          </w:tcPr>
          <w:p>
            <w:pPr>
              <w:spacing w:before="720"/>
              <w:jc w:val="center"/>
            </w:pPr>
            <w:r>
              <w:rPr>
                <w:color w:val="94A3B8"/>
              </w:rPr>
              <w:t>_____________________</w:t>
              <w:br/>
            </w:r>
            <w:r>
              <w:rPr>
                <w:rFonts w:ascii="Calibri" w:hAnsi="Calibri"/>
                <w:b/>
                <w:sz w:val="20"/>
              </w:rPr>
              <w:t>Head of Department</w:t>
              <w:br/>
            </w:r>
            <w:r>
              <w:rPr>
                <w:rFonts w:ascii="Calibri" w:hAnsi="Calibri"/>
                <w:color w:val="64748B"/>
                <w:sz w:val="18"/>
              </w:rPr>
              <w:t>Professor &amp; HOD</w:t>
              <w:br/>
              <w:t>Dept. of CSE</w:t>
            </w:r>
          </w:p>
        </w:tc>
        <w:tc>
          <w:tcPr>
            <w:tcW w:type="dxa" w:w="3120"/>
          </w:tcPr>
          <w:p>
            <w:pPr>
              <w:spacing w:before="720"/>
              <w:jc w:val="center"/>
            </w:pPr>
            <w:r>
              <w:rPr>
                <w:color w:val="94A3B8"/>
              </w:rPr>
              <w:t>_____________________</w:t>
              <w:br/>
            </w:r>
            <w:r>
              <w:rPr>
                <w:rFonts w:ascii="Calibri" w:hAnsi="Calibri"/>
                <w:b/>
                <w:sz w:val="20"/>
              </w:rPr>
              <w:t>External Examiner</w:t>
              <w:br/>
            </w:r>
            <w:r>
              <w:rPr>
                <w:rFonts w:ascii="Calibri" w:hAnsi="Calibri"/>
                <w:color w:val="64748B"/>
                <w:sz w:val="18"/>
              </w:rPr>
              <w:t>Board of Evaluators</w:t>
              <w:br/>
              <w:t>Faculty of Engg. &amp; Tech.</w:t>
            </w:r>
          </w:p>
        </w:tc>
      </w:tr>
    </w:tbl>
    <w:p>
      <w:r>
        <w:br w:type="page"/>
      </w:r>
    </w:p>
    <w:p>
      <w:pPr>
        <w:keepNext/>
        <w:spacing w:before="480" w:after="160"/>
        <w:pBdr>
          <w:bottom w:val="single" w:sz="12" w:space="4" w:color="2B6CB0"/>
        </w:pBdr>
      </w:pPr>
      <w:r>
        <w:rPr>
          <w:rFonts w:ascii="Calibri" w:hAnsi="Calibri"/>
          <w:b/>
          <w:color w:val="1A365D"/>
          <w:sz w:val="34"/>
        </w:rPr>
        <w:t>DECLARATION</w:t>
      </w:r>
    </w:p>
    <w:p>
      <w:pPr>
        <w:spacing w:after="120" w:line="276" w:lineRule="auto"/>
      </w:pPr>
      <w:r>
        <w:rPr>
          <w:rFonts w:ascii="Calibri" w:hAnsi="Calibri"/>
          <w:i w:val="0"/>
          <w:color w:val="1E293B"/>
          <w:sz w:val="21"/>
        </w:rPr>
        <w:t>I, Nakshatra, hereby declare that the project report entitled "SATQUERY AI: An Interactive Multimodal Geospatial Intelligence Platform Integrating Vision-Language Reasoning, Dense Grounding, and Segment Anything Model (SAM 2.1)", submitted to the Department of Computer Science &amp; Engineering, Faculty of Engineering and Technology, is an authentic record of my original work completed under the guidance of my project supervisor.</w:t>
      </w:r>
    </w:p>
    <w:p>
      <w:pPr>
        <w:spacing w:after="120" w:line="276" w:lineRule="auto"/>
      </w:pPr>
      <w:r>
        <w:rPr>
          <w:rFonts w:ascii="Calibri" w:hAnsi="Calibri"/>
          <w:i w:val="0"/>
          <w:color w:val="1E293B"/>
          <w:sz w:val="21"/>
        </w:rPr>
        <w:t>I further confirm that this work has not formed the basis for the award of any degree, diploma, associateship, or other similar title in any other university or institution. All sources, research papers, software libraries, and literature utilized in this work have been duly acknowledged and cited in the References section.</w:t>
      </w:r>
    </w:p>
    <w:p>
      <w:pPr>
        <w:spacing w:before="800"/>
        <w:jc w:val="right"/>
      </w:pPr>
      <w:r>
        <w:rPr>
          <w:rFonts w:ascii="Calibri" w:hAnsi="Calibri"/>
          <w:sz w:val="21"/>
        </w:rPr>
        <w:t>Nakshatra</w:t>
        <w:br/>
        <w:t>Roll No: CSE-2022-8491</w:t>
        <w:br/>
        <w:t>B.Tech (Computer Science &amp; Engineering)</w:t>
        <w:br/>
        <w:t>Date: March 2026</w:t>
        <w:br/>
        <w:t>Place: Campus</w:t>
      </w:r>
    </w:p>
    <w:p>
      <w:r>
        <w:br w:type="page"/>
      </w:r>
    </w:p>
    <w:p>
      <w:pPr>
        <w:keepNext/>
        <w:spacing w:before="480" w:after="160"/>
        <w:pBdr>
          <w:bottom w:val="single" w:sz="12" w:space="4" w:color="2B6CB0"/>
        </w:pBdr>
      </w:pPr>
      <w:r>
        <w:rPr>
          <w:rFonts w:ascii="Calibri" w:hAnsi="Calibri"/>
          <w:b/>
          <w:color w:val="1A365D"/>
          <w:sz w:val="34"/>
        </w:rPr>
        <w:t>ACKNOWLEDGEMENT</w:t>
      </w:r>
    </w:p>
    <w:p>
      <w:pPr>
        <w:spacing w:after="120" w:line="276" w:lineRule="auto"/>
      </w:pPr>
      <w:r>
        <w:rPr>
          <w:rFonts w:ascii="Calibri" w:hAnsi="Calibri"/>
          <w:i w:val="0"/>
          <w:color w:val="1E293B"/>
          <w:sz w:val="21"/>
        </w:rPr>
        <w:t>I express my deepest gratitude and sincere appreciation to my Project Guide for their invaluable mentorship, insightful critique, and unwavering encouragement throughout the design, implementation, and evaluation of the SatQuery AI platform. Their technical perspectives in computer vision and artificial intelligence were fundamental in shaping this research.</w:t>
      </w:r>
    </w:p>
    <w:p>
      <w:pPr>
        <w:spacing w:after="120" w:line="276" w:lineRule="auto"/>
      </w:pPr>
      <w:r>
        <w:rPr>
          <w:rFonts w:ascii="Calibri" w:hAnsi="Calibri"/>
          <w:i w:val="0"/>
          <w:color w:val="1E293B"/>
          <w:sz w:val="21"/>
        </w:rPr>
        <w:t>I extend my heartfelt thanks to the Head of the Department of Computer Science &amp; Engineering for providing state-of-the-art laboratory facilities, high-performance computing resources, and an academically rigorous environment that fostered this multidisciplinary initiative.</w:t>
      </w:r>
    </w:p>
    <w:p>
      <w:pPr>
        <w:spacing w:after="120" w:line="276" w:lineRule="auto"/>
      </w:pPr>
      <w:r>
        <w:rPr>
          <w:rFonts w:ascii="Calibri" w:hAnsi="Calibri"/>
          <w:i w:val="0"/>
          <w:color w:val="1E293B"/>
          <w:sz w:val="21"/>
        </w:rPr>
        <w:t>I also acknowledge the global open-source AI and geospatial research community—notably the authors and engineering teams behind Meta AI's Segment Anything Model (SAM 2.1), Google DeepMind's Gemini Vision-Language Models, the FastAPI framework, and the Mapbox / MapLibre GL geospatial mapping ecosystem—whose pioneering open-source architectures enabled the foundation of this engineering realization.</w:t>
      </w:r>
    </w:p>
    <w:p>
      <w:pPr>
        <w:spacing w:after="120" w:line="276" w:lineRule="auto"/>
      </w:pPr>
      <w:r>
        <w:rPr>
          <w:rFonts w:ascii="Calibri" w:hAnsi="Calibri"/>
          <w:i w:val="0"/>
          <w:color w:val="1E293B"/>
          <w:sz w:val="21"/>
        </w:rPr>
        <w:t>Finally, I am profoundly grateful to my family, colleagues, and peers for their continuous moral support and constructive feedback.</w:t>
      </w:r>
    </w:p>
    <w:p>
      <w:pPr>
        <w:spacing w:before="600"/>
        <w:jc w:val="right"/>
      </w:pPr>
      <w:r>
        <w:rPr>
          <w:rFonts w:ascii="Calibri" w:hAnsi="Calibri"/>
          <w:b/>
        </w:rPr>
        <w:t>Nakshatra</w:t>
      </w:r>
    </w:p>
    <w:p>
      <w:r>
        <w:br w:type="page"/>
      </w:r>
    </w:p>
    <w:p>
      <w:pPr>
        <w:keepNext/>
        <w:spacing w:before="480" w:after="160"/>
        <w:pBdr>
          <w:bottom w:val="single" w:sz="12" w:space="4" w:color="2B6CB0"/>
        </w:pBdr>
      </w:pPr>
      <w:r>
        <w:rPr>
          <w:rFonts w:ascii="Calibri" w:hAnsi="Calibri"/>
          <w:b/>
          <w:color w:val="1A365D"/>
          <w:sz w:val="34"/>
        </w:rPr>
        <w:t>ABSTRACT</w:t>
      </w:r>
    </w:p>
    <w:p>
      <w:pPr>
        <w:spacing w:after="120" w:line="276" w:lineRule="auto"/>
      </w:pPr>
      <w:r>
        <w:rPr>
          <w:rFonts w:ascii="Calibri" w:hAnsi="Calibri"/>
          <w:i w:val="0"/>
          <w:color w:val="1E293B"/>
          <w:sz w:val="21"/>
        </w:rPr>
        <w:t>Remote sensing satellite imagery has grown exponentially in spatial resolution and temporal frequency; however, traditional Geographic Information System (GIS) workflows remain heavily dependent on manual digitizing, heuristic spectral index formulas, or closed-vocabulary supervised semantic segmentation pipelines that cannot interpret unstructured, natural language user queries. Conversely, modern Vision-Language Models (VLMs) demonstrate outstanding multimodal reasoning and semantic perception but suffer from severe spatial hallucinations and coarse coordinate quantization when tasked with pixel-exact geospatial delineation.</w:t>
      </w:r>
    </w:p>
    <w:p>
      <w:pPr>
        <w:spacing w:after="120" w:line="276" w:lineRule="auto"/>
      </w:pPr>
      <w:r>
        <w:rPr>
          <w:rFonts w:ascii="Calibri" w:hAnsi="Calibri"/>
          <w:i w:val="0"/>
          <w:color w:val="1E293B"/>
          <w:sz w:val="21"/>
        </w:rPr>
        <w:t>To bridge this critical geospatial reasoning gap, this project introduces SatQuery AI: an interactive, multimodal geospatial intelligence platform that decouples high-level semantic vision-language reasoning from fine-grained prompt-guided pixel segmentation. SatQuery AI implements a novel dual-engine architecture: (1) an advanced Multimodal Vision-Language Reasoning Engine powered by Google Gemini 2.0 Flash that parses complex conversational user prompts, extracts environmental scene semantics, and generates structured bounding box grounding coordinates; (2) a Dense Grounding &amp; Geometric Normalization Service that bridges disparate coordinate spaces between VLM normalized tokens [0, 1000] and physical image pixel matrices; and (3) a Visual Segmentation Engine powered by Meta's Segment Anything Model 2.1 (SAM 2.1) backed by an adaptive GrabCut heuristic computer vision fallback mechanism.</w:t>
      </w:r>
    </w:p>
    <w:p>
      <w:pPr>
        <w:spacing w:after="120" w:line="276" w:lineRule="auto"/>
      </w:pPr>
      <w:r>
        <w:rPr>
          <w:rFonts w:ascii="Calibri" w:hAnsi="Calibri"/>
          <w:i w:val="0"/>
          <w:color w:val="1E293B"/>
          <w:sz w:val="21"/>
        </w:rPr>
        <w:t>The platform features an asynchronous FastAPI ASGI backend and an interactive, real-time React 18 / TypeScript frontend equipped with Mapbox GL 3D vector and satellite GIS canvas overlays, interactive prompt refinement (point clicks and bounding box adjustments), and real-time visual inspection. Extensive benchmarking demonstrates that SatQuery AI achieves high segmentation accuracy (Mean IoU of 0.84 on complex water body delineation and 0.79 on dense building footprints) while maintaining an end-to-end conversational round-trip latency of 1.2 to 2.8 seconds, eliminating the need for custom re-training across varying Earth Observation sensor modalities.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top w:val="none"/>
              <w:left w:val="single" w:sz="24" w:space="0" w:color="0D9488"/>
              <w:bottom w:val="none"/>
              <w:right w:val="none"/>
            </w:tcBorders>
          </w:tcPr>
          <w:p>
            <w:pPr>
              <w:spacing w:after="0" w:line="276" w:lineRule="auto"/>
            </w:pPr>
            <w:r>
              <w:rPr>
                <w:rFonts w:ascii="Calibri" w:hAnsi="Calibri"/>
                <w:b/>
                <w:color w:val="0D9488"/>
                <w:sz w:val="20"/>
              </w:rPr>
              <w:t xml:space="preserve">[KEYWORDS] </w:t>
            </w:r>
            <w:r>
              <w:rPr>
                <w:rFonts w:ascii="Calibri" w:hAnsi="Calibri"/>
                <w:color w:val="1E293B"/>
                <w:sz w:val="20"/>
              </w:rPr>
              <w:t>Multimodal Geospatial AI, Vision-Language Models (VLMs), Dense Visual Grounding, Segment Anything Model 2.1 (SAM 2.1), Remote Sensing &amp; Earth Observation, Interactive GIS, Coordinate Space Transformation, GrabCut Heuristic Fallback, FastAPI, React.</w:t>
            </w:r>
          </w:p>
        </w:tc>
      </w:tr>
    </w:tbl>
    <w:p>
      <w:pPr>
        <w:spacing w:after="80"/>
      </w:pPr>
    </w:p>
    <w:p>
      <w:r>
        <w:br w:type="page"/>
      </w:r>
    </w:p>
    <w:p>
      <w:pPr>
        <w:keepNext/>
        <w:spacing w:before="480" w:after="160"/>
        <w:pBdr>
          <w:bottom w:val="single" w:sz="12" w:space="4" w:color="2B6CB0"/>
        </w:pBdr>
      </w:pPr>
      <w:r>
        <w:rPr>
          <w:rFonts w:ascii="Calibri" w:hAnsi="Calibri"/>
          <w:b/>
          <w:color w:val="1A365D"/>
          <w:sz w:val="34"/>
        </w:rPr>
        <w:t>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7920"/>
        <w:gridCol w:w="1440"/>
      </w:tblGrid>
      <w:tr>
        <w:tc>
          <w:tcPr>
            <w:tcW w:type="dxa" w:w="7920"/>
            <w:shd w:fill="1A365D"/>
            <w:tcMar>
              <w:top w:w="100" w:type="dxa"/>
              <w:bottom w:w="100" w:type="dxa"/>
              <w:left w:w="120" w:type="dxa"/>
              <w:right w:w="120" w:type="dxa"/>
            </w:tcMar>
          </w:tcPr>
          <w:p>
            <w:pPr>
              <w:spacing w:after="0"/>
            </w:pPr>
            <w:r>
              <w:rPr>
                <w:rFonts w:ascii="Calibri" w:hAnsi="Calibri"/>
                <w:b/>
                <w:color w:val="FFFFFF"/>
                <w:sz w:val="19"/>
              </w:rPr>
              <w:t>Chapter / Section Title</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Page</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Certificate of Approval</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ii</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Declaration</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iii</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Acknowledgement</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iv</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Abstract &amp; Keywords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v</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List of Figures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vii</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List of Tables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viii</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1: Introduction &amp; Background</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1</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2: Literature Review &amp; State-of-the-Art Analysis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5</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3: Problem Statement &amp; Engineering Objectives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10</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4: System Architecture &amp; Design</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14</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5: Technical Stack &amp; Tool Selection Justification</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21</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6: Frontend Engineering &amp; Interactive Geospatial UI</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26</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7: Backend Architecture &amp; API Gateway</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32</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8: VLM Reasoning Engine &amp; Prompt Engineering</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37</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9: Dense Grounding Service &amp; Coordinate Spaces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42</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10: SAM 2.1 Visual Segmentation Architecture</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47</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11: Heuristic Fallback Pipeline &amp; Classical CV</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52</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12: Satellite Preprocessing &amp; Multimodal Pipeline</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57</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13: Database &amp; Conversation History Subsystem</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62</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14: Data Flow &amp; End-to-End Walkthrough</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66</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15: Installation, Environment &amp; Deployment Guide</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72</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16: Verification, Testing &amp; Quality Assurance</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77</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17: Architectural Trade-Offs &amp; Decisions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82</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18: Security, Privacy &amp; Performance Optimization</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87</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19: Limitations, Pitfalls &amp; Lessons Learned</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91</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Chapter 20: Future Scope &amp; Roadmap</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95</w:t>
            </w:r>
          </w:p>
        </w:tc>
      </w:tr>
      <w:tr>
        <w:tc>
          <w:tcPr>
            <w:tcW w:type="dxa" w:w="7920"/>
            <w:tcMar>
              <w:top w:w="70" w:type="dxa"/>
              <w:bottom w:w="70" w:type="dxa"/>
              <w:left w:w="120" w:type="dxa"/>
              <w:right w:w="120" w:type="dxa"/>
            </w:tcMar>
          </w:tcPr>
          <w:p>
            <w:pPr>
              <w:spacing w:after="0" w:line="264" w:lineRule="auto"/>
            </w:pPr>
            <w:r>
              <w:rPr>
                <w:rFonts w:ascii="Calibri" w:hAnsi="Calibri"/>
                <w:color w:val="1E293B"/>
                <w:sz w:val="18"/>
              </w:rPr>
              <w:t>Chapter 21: Conclusion &amp; Academic Summary</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99</w:t>
            </w:r>
          </w:p>
        </w:tc>
      </w:tr>
      <w:tr>
        <w:tc>
          <w:tcPr>
            <w:tcW w:type="dxa" w:w="7920"/>
            <w:shd w:fill="F8FAFC"/>
            <w:tcMar>
              <w:top w:w="70" w:type="dxa"/>
              <w:bottom w:w="70" w:type="dxa"/>
              <w:left w:w="120" w:type="dxa"/>
              <w:right w:w="120" w:type="dxa"/>
            </w:tcMar>
          </w:tcPr>
          <w:p>
            <w:pPr>
              <w:spacing w:after="0" w:line="264" w:lineRule="auto"/>
            </w:pPr>
            <w:r>
              <w:rPr>
                <w:rFonts w:ascii="Calibri" w:hAnsi="Calibri"/>
                <w:color w:val="1E293B"/>
                <w:sz w:val="18"/>
              </w:rPr>
              <w:t>References &amp; Academic Citations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102</w:t>
            </w:r>
          </w:p>
        </w:tc>
      </w:tr>
    </w:tbl>
    <w:p>
      <w:pPr>
        <w:spacing w:after="80"/>
      </w:pPr>
    </w:p>
    <w:p>
      <w:r>
        <w:br w:type="page"/>
      </w:r>
    </w:p>
    <w:p>
      <w:pPr>
        <w:keepNext/>
        <w:spacing w:before="480" w:after="160"/>
        <w:pBdr>
          <w:bottom w:val="single" w:sz="12" w:space="4" w:color="2B6CB0"/>
        </w:pBdr>
      </w:pPr>
      <w:r>
        <w:rPr>
          <w:rFonts w:ascii="Calibri" w:hAnsi="Calibri"/>
          <w:b/>
          <w:color w:val="1A365D"/>
          <w:sz w:val="34"/>
        </w:rPr>
        <w:t>LIST OF FIGURES &amp; TABLES</w:t>
      </w:r>
    </w:p>
    <w:p>
      <w:pPr>
        <w:keepNext/>
        <w:spacing w:before="280" w:after="120"/>
      </w:pPr>
      <w:r>
        <w:rPr>
          <w:rFonts w:ascii="Calibri" w:hAnsi="Calibri"/>
          <w:b/>
          <w:color w:val="2B6CB0"/>
          <w:sz w:val="27"/>
        </w:rPr>
        <w:t>List of Figures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28"/>
        <w:gridCol w:w="6192"/>
        <w:gridCol w:w="1440"/>
      </w:tblGrid>
      <w:tr>
        <w:tc>
          <w:tcPr>
            <w:tcW w:type="dxa" w:w="1728"/>
            <w:shd w:fill="1A365D"/>
            <w:tcMar>
              <w:top w:w="100" w:type="dxa"/>
              <w:bottom w:w="100" w:type="dxa"/>
              <w:left w:w="120" w:type="dxa"/>
              <w:right w:w="120" w:type="dxa"/>
            </w:tcMar>
          </w:tcPr>
          <w:p>
            <w:pPr>
              <w:spacing w:after="0"/>
            </w:pPr>
            <w:r>
              <w:rPr>
                <w:rFonts w:ascii="Calibri" w:hAnsi="Calibri"/>
                <w:b/>
                <w:color w:val="FFFFFF"/>
                <w:sz w:val="19"/>
              </w:rPr>
              <w:t>Figure No.</w:t>
            </w:r>
          </w:p>
        </w:tc>
        <w:tc>
          <w:tcPr>
            <w:tcW w:type="dxa" w:w="6192"/>
            <w:shd w:fill="1A365D"/>
            <w:tcMar>
              <w:top w:w="100" w:type="dxa"/>
              <w:bottom w:w="100" w:type="dxa"/>
              <w:left w:w="120" w:type="dxa"/>
              <w:right w:w="120" w:type="dxa"/>
            </w:tcMar>
          </w:tcPr>
          <w:p>
            <w:pPr>
              <w:spacing w:after="0"/>
            </w:pPr>
            <w:r>
              <w:rPr>
                <w:rFonts w:ascii="Calibri" w:hAnsi="Calibri"/>
                <w:b/>
                <w:color w:val="FFFFFF"/>
                <w:sz w:val="19"/>
              </w:rPr>
              <w:t>Caption</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Page</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4.1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High-Level End-to-End System Architecture Diagram</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15</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4.2</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Asynchronous Request-Response Sequence Diagram</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18</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4.3</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Subsystem Functional Decomposition</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20</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6.1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Frontend React Component Hierarchy &amp; State Machine</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27</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6.2</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Canvas Layering &amp; Geo-Coordinate Synchronization</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30</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7.1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FastAPI Asynchronous Gateway &amp; Lifespan Architecture</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33</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8.1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Vision-Language Grounding Prompt Pipeline</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38</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9.1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Coordinate Space Transformation Matrix &amp; Flow</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43</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10.1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Meta SAM 2.1 Image Predictor Architecture &amp; Prompt Decoding</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48</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10.2</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Multi-Mask Selection &amp; Ambiguity Disambiguation</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50</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11.1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GrabCut Gaussian Mixture Model (GMM) Energy Minimization Graph</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53</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11.2</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Dual-Engine Fail-Safe Switchover State Machine</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55</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12.1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Satellite Ingestion &amp; Dynamic Range Radiometric Pipeline</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58</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13.1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Entity-Relationship (ER) Schema for Geospatial Conversation Subsystem</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63</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Figure 14.1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Flood Delineation Execution Trace &amp; Data Transformation Pipeline</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68</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Figure 14.2</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Building Footprint Extraction Flowchart</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70</w:t>
            </w:r>
          </w:p>
        </w:tc>
      </w:tr>
    </w:tbl>
    <w:p>
      <w:pPr>
        <w:spacing w:after="80"/>
      </w:pPr>
    </w:p>
    <w:p>
      <w:pPr>
        <w:keepNext/>
        <w:spacing w:before="280" w:after="120"/>
      </w:pPr>
      <w:r>
        <w:rPr>
          <w:rFonts w:ascii="Calibri" w:hAnsi="Calibri"/>
          <w:b/>
          <w:color w:val="2B6CB0"/>
          <w:sz w:val="27"/>
        </w:rPr>
        <w:t>List of Tables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28"/>
        <w:gridCol w:w="6192"/>
        <w:gridCol w:w="1440"/>
      </w:tblGrid>
      <w:tr>
        <w:tc>
          <w:tcPr>
            <w:tcW w:type="dxa" w:w="1728"/>
            <w:shd w:fill="1A365D"/>
            <w:tcMar>
              <w:top w:w="100" w:type="dxa"/>
              <w:bottom w:w="100" w:type="dxa"/>
              <w:left w:w="120" w:type="dxa"/>
              <w:right w:w="120" w:type="dxa"/>
            </w:tcMar>
          </w:tcPr>
          <w:p>
            <w:pPr>
              <w:spacing w:after="0"/>
            </w:pPr>
            <w:r>
              <w:rPr>
                <w:rFonts w:ascii="Calibri" w:hAnsi="Calibri"/>
                <w:b/>
                <w:color w:val="FFFFFF"/>
                <w:sz w:val="19"/>
              </w:rPr>
              <w:t>Table No.</w:t>
            </w:r>
          </w:p>
        </w:tc>
        <w:tc>
          <w:tcPr>
            <w:tcW w:type="dxa" w:w="6192"/>
            <w:shd w:fill="1A365D"/>
            <w:tcMar>
              <w:top w:w="100" w:type="dxa"/>
              <w:bottom w:w="100" w:type="dxa"/>
              <w:left w:w="120" w:type="dxa"/>
              <w:right w:w="120" w:type="dxa"/>
            </w:tcMar>
          </w:tcPr>
          <w:p>
            <w:pPr>
              <w:spacing w:after="0"/>
            </w:pPr>
            <w:r>
              <w:rPr>
                <w:rFonts w:ascii="Calibri" w:hAnsi="Calibri"/>
                <w:b/>
                <w:color w:val="FFFFFF"/>
                <w:sz w:val="19"/>
              </w:rPr>
              <w:t>Title</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Page</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Table 2.1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Comparative Analysis of Geospatial &amp; Remote Sensing AI Paradigms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8</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Table 5.1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Frontend Technology Stack &amp; Component Justifications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22</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Table 5.2</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Backend &amp; Geospatial Gateway Technology Stack</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23</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Table 5.3</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AI / Computer Vision &amp; Segmentation Libraries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24</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Table 7.1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FastAPI Core REST Endpoints &amp; Data Contracts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35</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Table 16.1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Automated Functional &amp; End-to-End Test Suite Matrix</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78</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Table 16.2</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Quantitative Segmentation Performance Benchmarks (IoU, Latency, Memory)</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80</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Table 17.1</w:t>
            </w:r>
          </w:p>
        </w:tc>
        <w:tc>
          <w:tcPr>
            <w:tcW w:type="dxa" w:w="6192"/>
            <w:shd w:fill="F8FAFC"/>
            <w:tcMar>
              <w:top w:w="70" w:type="dxa"/>
              <w:bottom w:w="70" w:type="dxa"/>
              <w:left w:w="120" w:type="dxa"/>
              <w:right w:w="120" w:type="dxa"/>
            </w:tcMar>
          </w:tcPr>
          <w:p>
            <w:pPr>
              <w:spacing w:after="0" w:line="264" w:lineRule="auto"/>
            </w:pPr>
            <w:r>
              <w:rPr>
                <w:rFonts w:ascii="Calibri" w:hAnsi="Calibri"/>
                <w:color w:val="1E293B"/>
                <w:sz w:val="18"/>
              </w:rPr>
              <w:t>Architectural Trade-Offs &amp; Multi-Criteria Decision Analysis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84</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Table 18.1</w:t>
            </w:r>
          </w:p>
        </w:tc>
        <w:tc>
          <w:tcPr>
            <w:tcW w:type="dxa" w:w="6192"/>
            <w:tcMar>
              <w:top w:w="70" w:type="dxa"/>
              <w:bottom w:w="70" w:type="dxa"/>
              <w:left w:w="120" w:type="dxa"/>
              <w:right w:w="120" w:type="dxa"/>
            </w:tcMar>
          </w:tcPr>
          <w:p>
            <w:pPr>
              <w:spacing w:after="0" w:line="264" w:lineRule="auto"/>
            </w:pPr>
            <w:r>
              <w:rPr>
                <w:rFonts w:ascii="Calibri" w:hAnsi="Calibri"/>
                <w:color w:val="1E293B"/>
                <w:sz w:val="18"/>
              </w:rPr>
              <w:t>Threat Modeling &amp; Security Countermeasures Matrix</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89</w:t>
            </w:r>
          </w:p>
        </w:tc>
      </w:tr>
    </w:tbl>
    <w:p>
      <w:pPr>
        <w:spacing w:after="80"/>
      </w:pPr>
    </w:p>
    <w:p>
      <w:r>
        <w:br w:type="page"/>
      </w:r>
    </w:p>
    <w:p>
      <w:pPr>
        <w:keepNext/>
        <w:spacing w:before="400" w:after="160"/>
        <w:pBdr>
          <w:bottom w:val="single" w:sz="12" w:space="4" w:color="2B6CB0"/>
        </w:pBdr>
      </w:pPr>
      <w:r>
        <w:rPr>
          <w:rFonts w:ascii="Calibri" w:hAnsi="Calibri"/>
          <w:b/>
          <w:color w:val="1A365D"/>
          <w:sz w:val="34"/>
        </w:rPr>
        <w:t>CHAPTER 1: INTRODUCTION &amp; BACKGROUND</w:t>
      </w:r>
    </w:p>
    <w:p>
      <w:pPr>
        <w:keepNext/>
        <w:spacing w:before="280" w:after="120"/>
      </w:pPr>
      <w:r>
        <w:rPr>
          <w:rFonts w:ascii="Calibri" w:hAnsi="Calibri"/>
          <w:b/>
          <w:color w:val="2B6CB0"/>
          <w:sz w:val="27"/>
        </w:rPr>
        <w:t>1.1 Domain Overview: Earth Observation and Remote Sensing</w:t>
      </w:r>
    </w:p>
    <w:p>
      <w:pPr>
        <w:spacing w:after="120" w:line="276" w:lineRule="auto"/>
      </w:pPr>
      <w:r>
        <w:rPr>
          <w:rFonts w:ascii="Calibri" w:hAnsi="Calibri"/>
          <w:i w:val="0"/>
          <w:color w:val="1E293B"/>
          <w:sz w:val="21"/>
        </w:rPr>
        <w:t>Earth Observation (EO) satellite remote sensing has undergone a monumental paradigm shift over the past decade. Constellations of public and commercial satellites—ranging from the European Space Agency's (ESA) Copernicus Sentinel-2 and NASA/USGS Landsat-8/9 to high-resolution commercial systems like PlanetScope, Maxar WorldView, and Airbus Pléiades—capture hundreds of terabytes of multi-spectral, panchromatic, and synthetic aperture radar (SAR) imagery daily. This continuous influx of high-resolution orbital imagery provides unprecedented insight into environmental dynamics, urban urbanization, climate resilience, disaster assessment, defense reconnaissance, and agricultural yields.</w:t>
      </w:r>
    </w:p>
    <w:p>
      <w:pPr>
        <w:spacing w:after="120" w:line="276" w:lineRule="auto"/>
      </w:pPr>
      <w:r>
        <w:rPr>
          <w:rFonts w:ascii="Calibri" w:hAnsi="Calibri"/>
          <w:i w:val="0"/>
          <w:color w:val="1E293B"/>
          <w:sz w:val="21"/>
        </w:rPr>
        <w:t>Despite this abundant sensor data, transforming raw raster pixels into actionable, context-aware intelligence remains an arduous computational challenge. Traditional Geographic Information Systems (GIS) workflows rely extensively on human domain specialists using specialized desktop software (e.g., QGIS, ESRI ArcGIS) to manually digitize features, apply handcrafted band math indices (such as Normalized Difference Vegetation Index - NDVI, or Modified Normalized Difference Water Index - MNDWI), or train isolated supervised machine learning classifiers on static datasets. These manual workflows are slow, resource-intensive, and incapable of scaling to crisis response scenarios where minutes count.</w:t>
      </w:r>
    </w:p>
    <w:p>
      <w:pPr>
        <w:keepNext/>
        <w:spacing w:before="280" w:after="120"/>
      </w:pPr>
      <w:r>
        <w:rPr>
          <w:rFonts w:ascii="Calibri" w:hAnsi="Calibri"/>
          <w:b/>
          <w:color w:val="2B6CB0"/>
          <w:sz w:val="27"/>
        </w:rPr>
        <w:t>1.2 The Geospatial Reasoning Gap</w:t>
      </w:r>
    </w:p>
    <w:p>
      <w:pPr>
        <w:spacing w:after="120" w:line="276" w:lineRule="auto"/>
      </w:pPr>
      <w:r>
        <w:rPr>
          <w:rFonts w:ascii="Calibri" w:hAnsi="Calibri"/>
          <w:i w:val="0"/>
          <w:color w:val="1E293B"/>
          <w:sz w:val="21"/>
        </w:rPr>
        <w:t>In recent years, the emergence of Large Multimodal Models (LMMs) and Vision-Language Models (VLMs)—such as OpenAI GPT-4V/4o, Google Gemini 1.5/2.0, and Anthropic Claude 3.5 Sonnet—has revolutionized natural language computer vision. Users can converse in plain English with an AI system, asking open-ended questions about images. However, when applied to satellite remote sensing, standard VLMs encounter severe fundamental limitations termed the Geospatial Reasoning Gap:</w:t>
      </w:r>
    </w:p>
    <w:p>
      <w:pPr>
        <w:pStyle w:val="ListBullet"/>
        <w:spacing w:after="80" w:line="276" w:lineRule="auto"/>
      </w:pPr>
      <w:r>
        <w:rPr>
          <w:rFonts w:ascii="Calibri" w:hAnsi="Calibri"/>
          <w:b/>
          <w:color w:val="1A365D"/>
          <w:sz w:val="21"/>
        </w:rPr>
        <w:t>Extreme Aspect Ratios &amp; Gigapixel Scales</w:t>
      </w:r>
      <w:r>
        <w:rPr>
          <w:rFonts w:ascii="Calibri" w:hAnsi="Calibri"/>
          <w:color w:val="334155"/>
          <w:sz w:val="21"/>
        </w:rPr>
        <w:t>: Satellite images span kilometers of terrain at resolutions from 30 cm to 10 m per pixel. Standard VLMs downsample input images to fixed low-resolution tokens (e.g., 512x512 or 1024x1024), obliterating critical small-scale targets like vehicles, building footprints, and irrigation channels.</w:t>
      </w:r>
    </w:p>
    <w:p>
      <w:pPr>
        <w:pStyle w:val="ListBullet"/>
        <w:spacing w:after="80" w:line="276" w:lineRule="auto"/>
      </w:pPr>
      <w:r>
        <w:rPr>
          <w:rFonts w:ascii="Calibri" w:hAnsi="Calibri"/>
          <w:b/>
          <w:color w:val="1A365D"/>
          <w:sz w:val="21"/>
        </w:rPr>
        <w:t>Lack of Nadir-Angle Spatial Priors</w:t>
      </w:r>
      <w:r>
        <w:rPr>
          <w:rFonts w:ascii="Calibri" w:hAnsi="Calibri"/>
          <w:color w:val="334155"/>
          <w:sz w:val="21"/>
        </w:rPr>
        <w:t>: Standard computer vision models are pre-trained on internet photography (natural perspective images characterized by upright orientation, horizon lines, and central focal objects). Overhead satellite imagery lacks a canonical horizon, exhibits arbitrary rotational orientations, and presents dense, overlapping semantic structures.</w:t>
      </w:r>
    </w:p>
    <w:p>
      <w:pPr>
        <w:pStyle w:val="ListBullet"/>
        <w:spacing w:after="80" w:line="276" w:lineRule="auto"/>
      </w:pPr>
      <w:r>
        <w:rPr>
          <w:rFonts w:ascii="Calibri" w:hAnsi="Calibri"/>
          <w:b/>
          <w:color w:val="1A365D"/>
          <w:sz w:val="21"/>
        </w:rPr>
        <w:t>Spatial Hallucinations &amp; Coarse Coordinate Quantization</w:t>
      </w:r>
      <w:r>
        <w:rPr>
          <w:rFonts w:ascii="Calibri" w:hAnsi="Calibri"/>
          <w:color w:val="334155"/>
          <w:sz w:val="21"/>
        </w:rPr>
        <w:t>: While modern VLMs can produce text bounding boxes, their spatial tokens are quantized into coarse discrete bins (e.g., normalized [0, 1000]). These coordinates produce loose, approximate bounding boxes that fail completely when pixel-precise spatial delineation, boundary tracing, or area calculation is required.</w:t>
      </w:r>
    </w:p>
    <w:p>
      <w:pPr>
        <w:pStyle w:val="ListBullet"/>
        <w:spacing w:after="80" w:line="276" w:lineRule="auto"/>
      </w:pPr>
      <w:r>
        <w:rPr>
          <w:rFonts w:ascii="Calibri" w:hAnsi="Calibri"/>
          <w:b/>
          <w:color w:val="1A365D"/>
          <w:sz w:val="21"/>
        </w:rPr>
        <w:t>Closed-Vocabulary Limitations of Classical CNNs</w:t>
      </w:r>
      <w:r>
        <w:rPr>
          <w:rFonts w:ascii="Calibri" w:hAnsi="Calibri"/>
          <w:color w:val="334155"/>
          <w:sz w:val="21"/>
        </w:rPr>
        <w:t>: Supervised segmentation networks (e.g., U-Net, DeepLabV3+, Mask R-CNN) segment only the exact fixed categories they were trained on (e.g., 'building', 'road'). They cannot generalize to unstructured queries such as 'highlight the flooded sports complex behind the airport' or 'identify residential buildings with blue rooftop tarpaulins'.</w:t>
      </w:r>
    </w:p>
    <w:p>
      <w:pPr>
        <w:keepNext/>
        <w:spacing w:before="280" w:after="120"/>
      </w:pPr>
      <w:r>
        <w:rPr>
          <w:rFonts w:ascii="Calibri" w:hAnsi="Calibri"/>
          <w:b/>
          <w:color w:val="2B6CB0"/>
          <w:sz w:val="27"/>
        </w:rPr>
        <w:t>1.3 Project Motivation: SatQuery AI</w:t>
      </w:r>
    </w:p>
    <w:p>
      <w:pPr>
        <w:spacing w:after="120" w:line="276" w:lineRule="auto"/>
      </w:pPr>
      <w:r>
        <w:rPr>
          <w:rFonts w:ascii="Calibri" w:hAnsi="Calibri"/>
          <w:i w:val="0"/>
          <w:color w:val="1E293B"/>
          <w:sz w:val="21"/>
        </w:rPr>
        <w:t>The motivation behind SatQuery AI is to bridge this foundational divide. By engineering a hybrid architecture that pairs the advanced semantic and contextual reasoning of large Vision-Language Models with the zero-shot, prompt-guided pixel delineation capabilities of Meta's Segment Anything Model 2.1 (SAM 2.1), SatQuery AI enables true conversational geospatial intelligence. A user can upload an arbitrary satellite or aerial scene, pose complex domain-specific questions in natural language, and receive both deep environmental analysis and sub-pixel visual groundings rendered directly on an interactive GIS map canvas.</w:t>
      </w:r>
    </w:p>
    <w:p>
      <w:pPr>
        <w:keepNext/>
        <w:spacing w:before="280" w:after="120"/>
      </w:pPr>
      <w:r>
        <w:rPr>
          <w:rFonts w:ascii="Calibri" w:hAnsi="Calibri"/>
          <w:b/>
          <w:color w:val="2B6CB0"/>
          <w:sz w:val="27"/>
        </w:rPr>
        <w:t>1.4 Real-World Applications &amp; Impact</w:t>
      </w:r>
    </w:p>
    <w:p>
      <w:pPr>
        <w:pStyle w:val="ListBullet"/>
        <w:spacing w:after="80" w:line="276" w:lineRule="auto"/>
      </w:pPr>
      <w:r>
        <w:rPr>
          <w:rFonts w:ascii="Calibri" w:hAnsi="Calibri"/>
          <w:b/>
          <w:color w:val="1A365D"/>
          <w:sz w:val="21"/>
        </w:rPr>
        <w:t>Disaster Response &amp; Inundation Mapping</w:t>
      </w:r>
      <w:r>
        <w:rPr>
          <w:rFonts w:ascii="Calibri" w:hAnsi="Calibri"/>
          <w:color w:val="334155"/>
          <w:sz w:val="21"/>
        </w:rPr>
        <w:t>: Rapid delineation of flooded residential neighborhoods, blocked evacuation routes, and broken bridges following catastrophic hurricane or monsoonal flooding events.</w:t>
      </w:r>
    </w:p>
    <w:p>
      <w:pPr>
        <w:pStyle w:val="ListBullet"/>
        <w:spacing w:after="80" w:line="276" w:lineRule="auto"/>
      </w:pPr>
      <w:r>
        <w:rPr>
          <w:rFonts w:ascii="Calibri" w:hAnsi="Calibri"/>
          <w:b/>
          <w:color w:val="1A365D"/>
          <w:sz w:val="21"/>
        </w:rPr>
        <w:t>Urban Planning &amp; Infrastructure Auditing</w:t>
      </w:r>
      <w:r>
        <w:rPr>
          <w:rFonts w:ascii="Calibri" w:hAnsi="Calibri"/>
          <w:color w:val="334155"/>
          <w:sz w:val="21"/>
        </w:rPr>
        <w:t>: Automated extraction of unauthorized building footprints, informal settlements, green canopy loss, and transport network expansion.</w:t>
      </w:r>
    </w:p>
    <w:p>
      <w:pPr>
        <w:pStyle w:val="ListBullet"/>
        <w:spacing w:after="80" w:line="276" w:lineRule="auto"/>
      </w:pPr>
      <w:r>
        <w:rPr>
          <w:rFonts w:ascii="Calibri" w:hAnsi="Calibri"/>
          <w:b/>
          <w:color w:val="1A365D"/>
          <w:sz w:val="21"/>
        </w:rPr>
        <w:t>Agricultural Land-Use &amp; Water Security</w:t>
      </w:r>
      <w:r>
        <w:rPr>
          <w:rFonts w:ascii="Calibri" w:hAnsi="Calibri"/>
          <w:color w:val="334155"/>
          <w:sz w:val="21"/>
        </w:rPr>
        <w:t>: Zero-shot identification of agricultural crop borders, center-pivot irrigation systems, drying water reservoirs, and drought severity.</w:t>
      </w:r>
    </w:p>
    <w:p>
      <w:pPr>
        <w:pStyle w:val="ListBullet"/>
        <w:spacing w:after="80" w:line="276" w:lineRule="auto"/>
      </w:pPr>
      <w:r>
        <w:rPr>
          <w:rFonts w:ascii="Calibri" w:hAnsi="Calibri"/>
          <w:b/>
          <w:color w:val="1A365D"/>
          <w:sz w:val="21"/>
        </w:rPr>
        <w:t>Environmental &amp; Forest Conservation</w:t>
      </w:r>
      <w:r>
        <w:rPr>
          <w:rFonts w:ascii="Calibri" w:hAnsi="Calibri"/>
          <w:color w:val="334155"/>
          <w:sz w:val="21"/>
        </w:rPr>
        <w:t>: Monitoring illegal deforestation frontiers, mining encroachments, and coastal erosion along sensitive ecological corridors.</w:t>
      </w:r>
    </w:p>
    <w:p>
      <w:r>
        <w:br w:type="page"/>
      </w:r>
    </w:p>
    <w:p>
      <w:pPr>
        <w:keepNext/>
        <w:spacing w:before="400" w:after="160"/>
        <w:pBdr>
          <w:bottom w:val="single" w:sz="12" w:space="4" w:color="2B6CB0"/>
        </w:pBdr>
      </w:pPr>
      <w:r>
        <w:rPr>
          <w:rFonts w:ascii="Calibri" w:hAnsi="Calibri"/>
          <w:b/>
          <w:color w:val="1A365D"/>
          <w:sz w:val="34"/>
        </w:rPr>
        <w:t>CHAPTER 2: LITERATURE REVIEW &amp; STATE-OF-THE-ART ANALYSIS</w:t>
      </w:r>
    </w:p>
    <w:p>
      <w:pPr>
        <w:keepNext/>
        <w:spacing w:before="280" w:after="120"/>
      </w:pPr>
      <w:r>
        <w:rPr>
          <w:rFonts w:ascii="Calibri" w:hAnsi="Calibri"/>
          <w:b/>
          <w:color w:val="2B6CB0"/>
          <w:sz w:val="27"/>
        </w:rPr>
        <w:t>2.1 Evolution of Remote Sensing Image Analysis</w:t>
      </w:r>
    </w:p>
    <w:p>
      <w:pPr>
        <w:spacing w:after="120" w:line="276" w:lineRule="auto"/>
      </w:pPr>
      <w:r>
        <w:rPr>
          <w:rFonts w:ascii="Calibri" w:hAnsi="Calibri"/>
          <w:i w:val="0"/>
          <w:color w:val="1E293B"/>
          <w:sz w:val="21"/>
        </w:rPr>
        <w:t>The automated interpretation of satellite remote sensing imagery has evolved across four distinct eras over the last four decades: classical radiometric thresholding, supervised pixel classification, deep convolutional neural networks (CNNs), and foundation models.</w:t>
      </w:r>
    </w:p>
    <w:p>
      <w:pPr>
        <w:spacing w:after="120" w:line="276" w:lineRule="auto"/>
      </w:pPr>
      <w:r>
        <w:rPr>
          <w:rFonts w:ascii="Calibri" w:hAnsi="Calibri"/>
          <w:i w:val="0"/>
          <w:color w:val="1E293B"/>
          <w:sz w:val="21"/>
        </w:rPr>
        <w:t>During the classical era (1980s–2000s), spectral indices formed the primary methodology. By computing mathematical ratios between distinct electromagnetic bands (e.g., Red, Near-Infrared, Shortwave-Infrared), researchers formulated indices such as NDVI for vegetation and NDWI for surface water. While computationally efficient, these indices require explicit multi-spectral bands, are sensitive to atmospheric haze, and provide zero semantic understanding of geometric shape, texture, or spatial context.</w:t>
      </w:r>
    </w:p>
    <w:p>
      <w:pPr>
        <w:spacing w:after="120" w:line="276" w:lineRule="auto"/>
      </w:pPr>
      <w:r>
        <w:rPr>
          <w:rFonts w:ascii="Calibri" w:hAnsi="Calibri"/>
          <w:i w:val="0"/>
          <w:color w:val="1E293B"/>
          <w:sz w:val="21"/>
        </w:rPr>
        <w:t>The machine learning era (2000s–2014) introduced supervised classifiers such as Random Forests, Support Vector Machines (SVM), and Maximum Likelihood Classifiers applied to handcrafted texture features (e.g., Haralick texture, Gray-Level Co-occurrence Matrix - GLCM). These methods improved classification accuracy but exhibited poor cross-sensor generalization and high vulnerability to seasonal radiometric drift.</w:t>
      </w:r>
    </w:p>
    <w:p>
      <w:pPr>
        <w:spacing w:after="120" w:line="276" w:lineRule="auto"/>
      </w:pPr>
      <w:r>
        <w:rPr>
          <w:rFonts w:ascii="Calibri" w:hAnsi="Calibri"/>
          <w:i w:val="0"/>
          <w:color w:val="1E293B"/>
          <w:sz w:val="21"/>
        </w:rPr>
        <w:t>The deep learning revolution (2015–2022) established end-to-end convolutional architectures. Fully Convolutional Networks (FCNs), U-Net, and DeepLabV3+ with Atrous Spatial Pyramid Pooling (ASPP) became the gold standard for semantic segmentation, while Mask R-CNN established instance segmentation benchmarks. However, these models require millions of manually annotated polygon masks and operate strictly on a closed vocabulary: a network trained to detect buildings cannot segment sports fields, runways, or solar farms without complete retraining.</w:t>
      </w:r>
    </w:p>
    <w:p>
      <w:pPr>
        <w:keepNext/>
        <w:spacing w:before="280" w:after="120"/>
      </w:pPr>
      <w:r>
        <w:rPr>
          <w:rFonts w:ascii="Calibri" w:hAnsi="Calibri"/>
          <w:b/>
          <w:color w:val="2B6CB0"/>
          <w:sz w:val="27"/>
        </w:rPr>
        <w:t>2.2 Foundation Models and Vision-Language Architectures</w:t>
      </w:r>
    </w:p>
    <w:p>
      <w:pPr>
        <w:spacing w:after="120" w:line="276" w:lineRule="auto"/>
      </w:pPr>
      <w:r>
        <w:rPr>
          <w:rFonts w:ascii="Calibri" w:hAnsi="Calibri"/>
          <w:i w:val="0"/>
          <w:color w:val="1E293B"/>
          <w:sz w:val="21"/>
        </w:rPr>
        <w:t>The advent of Transformer-based foundation models has transformed computer vision. OpenAI's CLIP demonstrated that training image and text encoders on hundreds of millions of web image-text pairs produces an aligned multimodal latent space capable of open-vocabulary classification. Modern Vision-Language Models (e.g., LLaVA, Gemini, GPT-4V) extend this principle by coupling visual encoders (like Vision Transformers - ViT) directly into auto-regressive Large Language Model decoders via cross-attention or projection layers.</w:t>
      </w:r>
    </w:p>
    <w:p>
      <w:pPr>
        <w:spacing w:after="120" w:line="276" w:lineRule="auto"/>
      </w:pPr>
      <w:r>
        <w:rPr>
          <w:rFonts w:ascii="Calibri" w:hAnsi="Calibri"/>
          <w:i w:val="0"/>
          <w:color w:val="1E293B"/>
          <w:sz w:val="21"/>
        </w:rPr>
        <w:t>In 2023, Meta AI introduced the Segment Anything Model (SAM), establishing the first foundation model for promptable image segmentation. Trained on the massive SA-1B dataset (over 1 billion masks on 11 million images), SAM demonstrated unprecedented zero-shot transferability. In late 2024, Meta released SAM 2 and SAM 2.1, introducing a unified Hiera hierarchical vision transformer backbone, memory attention mechanisms, and drastically enhanced inference speed for both video streams and single images.</w:t>
      </w:r>
    </w:p>
    <w:p>
      <w:pPr>
        <w:keepNext/>
        <w:spacing w:before="280" w:after="120"/>
      </w:pPr>
      <w:r>
        <w:rPr>
          <w:rFonts w:ascii="Calibri" w:hAnsi="Calibri"/>
          <w:b/>
          <w:color w:val="2B6CB0"/>
          <w:sz w:val="27"/>
        </w:rPr>
        <w:t>2.3 Comparative Literature Matrix</w:t>
      </w:r>
    </w:p>
    <w:p>
      <w:pPr>
        <w:spacing w:after="120" w:line="276" w:lineRule="auto"/>
      </w:pPr>
      <w:r>
        <w:rPr>
          <w:rFonts w:ascii="Calibri" w:hAnsi="Calibri"/>
          <w:i w:val="0"/>
          <w:color w:val="1E293B"/>
          <w:sz w:val="21"/>
        </w:rPr>
        <w:t>Table 2.1 evaluates existing paradigms across critical dimensions for interactive geospatial intelligence.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0"/>
        <w:gridCol w:w="1440"/>
        <w:gridCol w:w="1584"/>
        <w:gridCol w:w="1440"/>
        <w:gridCol w:w="1584"/>
        <w:gridCol w:w="1152"/>
      </w:tblGrid>
      <w:tr>
        <w:tc>
          <w:tcPr>
            <w:tcW w:type="dxa" w:w="2160"/>
            <w:shd w:fill="1A365D"/>
            <w:tcMar>
              <w:top w:w="100" w:type="dxa"/>
              <w:bottom w:w="100" w:type="dxa"/>
              <w:left w:w="120" w:type="dxa"/>
              <w:right w:w="120" w:type="dxa"/>
            </w:tcMar>
          </w:tcPr>
          <w:p>
            <w:pPr>
              <w:spacing w:after="0"/>
            </w:pPr>
            <w:r>
              <w:rPr>
                <w:rFonts w:ascii="Calibri" w:hAnsi="Calibri"/>
                <w:b/>
                <w:color w:val="FFFFFF"/>
                <w:sz w:val="19"/>
              </w:rPr>
              <w:t>Paradigm / Architecture</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Primary Input Modality</w:t>
            </w:r>
          </w:p>
        </w:tc>
        <w:tc>
          <w:tcPr>
            <w:tcW w:type="dxa" w:w="1584"/>
            <w:shd w:fill="1A365D"/>
            <w:tcMar>
              <w:top w:w="100" w:type="dxa"/>
              <w:bottom w:w="100" w:type="dxa"/>
              <w:left w:w="120" w:type="dxa"/>
              <w:right w:w="120" w:type="dxa"/>
            </w:tcMar>
          </w:tcPr>
          <w:p>
            <w:pPr>
              <w:spacing w:after="0"/>
            </w:pPr>
            <w:r>
              <w:rPr>
                <w:rFonts w:ascii="Calibri" w:hAnsi="Calibri"/>
                <w:b/>
                <w:color w:val="FFFFFF"/>
                <w:sz w:val="19"/>
              </w:rPr>
              <w:t>Vocabulary</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Spatial Granularity</w:t>
            </w:r>
          </w:p>
        </w:tc>
        <w:tc>
          <w:tcPr>
            <w:tcW w:type="dxa" w:w="1584"/>
            <w:shd w:fill="1A365D"/>
            <w:tcMar>
              <w:top w:w="100" w:type="dxa"/>
              <w:bottom w:w="100" w:type="dxa"/>
              <w:left w:w="120" w:type="dxa"/>
              <w:right w:w="120" w:type="dxa"/>
            </w:tcMar>
          </w:tcPr>
          <w:p>
            <w:pPr>
              <w:spacing w:after="0"/>
            </w:pPr>
            <w:r>
              <w:rPr>
                <w:rFonts w:ascii="Calibri" w:hAnsi="Calibri"/>
                <w:b/>
                <w:color w:val="FFFFFF"/>
                <w:sz w:val="19"/>
              </w:rPr>
              <w:t>Conversational Reasoning</w:t>
            </w:r>
          </w:p>
        </w:tc>
        <w:tc>
          <w:tcPr>
            <w:tcW w:type="dxa" w:w="1152"/>
            <w:shd w:fill="1A365D"/>
            <w:tcMar>
              <w:top w:w="100" w:type="dxa"/>
              <w:bottom w:w="100" w:type="dxa"/>
              <w:left w:w="120" w:type="dxa"/>
              <w:right w:w="120" w:type="dxa"/>
            </w:tcMar>
          </w:tcPr>
          <w:p>
            <w:pPr>
              <w:spacing w:after="0"/>
            </w:pPr>
            <w:r>
              <w:rPr>
                <w:rFonts w:ascii="Calibri" w:hAnsi="Calibri"/>
                <w:b/>
                <w:color w:val="FFFFFF"/>
                <w:sz w:val="19"/>
              </w:rPr>
              <w:t>Inference Latency</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Spectral Indices (NDVI/MNDWI)</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Multispectral Bands</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Fixed Math Ratios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Pixel-level (Coarse)</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None (Rigid formulas)</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&lt; 50 ms (CPU)</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Supervised CNN (U-Net/DeepLab)</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RGB / Multispectral</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Closed (K Classes)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Sub-pixel Boundaries</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None (Static class IDs)</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100–300 ms (GPU)</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Standard VLM (GPT-4V/Gemini)</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RGB Image + Prompt</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Open Vocabulary</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Coarse Bounding Boxes</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High (Full reasoning)</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1.0–3.0 s (API)</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Raw SAM 2.1 (Zero-Shot)</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RGB Image + Visual Prompts</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Class Agnostic</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Exact Object Masks</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None (Needs box/point prompt)</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80–250 ms (GPU)</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SatQuery AI (Hybrid Engine)</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Satellite RGB + Natural Query</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Open-Vocabulary Natural Lang.</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Sub-pixel SAM 2.1 Masks</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High (Full Gemini 2.0 VLM)</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1.2–2.8 s (Full End-to-End)</w:t>
            </w:r>
          </w:p>
        </w:tc>
      </w:tr>
    </w:tbl>
    <w:p>
      <w:pPr>
        <w:spacing w:before="80" w:after="160"/>
        <w:jc w:val="center"/>
      </w:pPr>
      <w:r>
        <w:rPr>
          <w:rFonts w:ascii="Calibri" w:hAnsi="Calibri"/>
          <w:b/>
          <w:i/>
          <w:color w:val="475569"/>
          <w:sz w:val="19"/>
        </w:rPr>
        <w:t>Table 2.1: Comparative Analysis of Geospatial &amp; Remote Sensing AI Paradigms</w:t>
      </w:r>
    </w:p>
    <w:p>
      <w:pPr>
        <w:keepNext/>
        <w:spacing w:before="280" w:after="120"/>
      </w:pPr>
      <w:r>
        <w:rPr>
          <w:rFonts w:ascii="Calibri" w:hAnsi="Calibri"/>
          <w:b/>
          <w:color w:val="2B6CB0"/>
          <w:sz w:val="27"/>
        </w:rPr>
        <w:t>2.4 Identified Research Gap</w:t>
      </w:r>
    </w:p>
    <w:p>
      <w:pPr>
        <w:spacing w:after="120" w:line="276" w:lineRule="auto"/>
      </w:pPr>
      <w:r>
        <w:rPr>
          <w:rFonts w:ascii="Calibri" w:hAnsi="Calibri"/>
          <w:i w:val="0"/>
          <w:color w:val="1E293B"/>
          <w:sz w:val="21"/>
        </w:rPr>
        <w:t>While foundation models have advanced independently in vision-language reasoning (Gemini, GPT) and promptable segmentation (SAM 2.1), no unified system has effectively synthesized them for the unique domain constraints of satellite earth observation. Specifically: (1) VLMs cannot directly output clean binary or polygon mask representations; (2) SAM 2.1 possesses no native semantic language comprehension and requires external geometric prompts; and (3) when GPU resources or model weights fail in edge or low-compute operational centers, modern deep learning systems crash completely without a graceful algorithmic fallback. SatQuery AI directly addresses this gap.</w:t>
      </w:r>
    </w:p>
    <w:p>
      <w:r>
        <w:br w:type="page"/>
      </w:r>
    </w:p>
    <w:p>
      <w:pPr>
        <w:keepNext/>
        <w:spacing w:before="400" w:after="160"/>
        <w:pBdr>
          <w:bottom w:val="single" w:sz="12" w:space="4" w:color="2B6CB0"/>
        </w:pBdr>
      </w:pPr>
      <w:r>
        <w:rPr>
          <w:rFonts w:ascii="Calibri" w:hAnsi="Calibri"/>
          <w:b/>
          <w:color w:val="1A365D"/>
          <w:sz w:val="34"/>
        </w:rPr>
        <w:t>CHAPTER 3: PROBLEM STATEMENT &amp; ENGINEERING OBJECTIVES</w:t>
      </w:r>
    </w:p>
    <w:p>
      <w:pPr>
        <w:keepNext/>
        <w:spacing w:before="280" w:after="120"/>
      </w:pPr>
      <w:r>
        <w:rPr>
          <w:rFonts w:ascii="Calibri" w:hAnsi="Calibri"/>
          <w:b/>
          <w:color w:val="2B6CB0"/>
          <w:sz w:val="27"/>
        </w:rPr>
        <w:t>3.1 Formal Problem Statement</w:t>
      </w:r>
    </w:p>
    <w:p>
      <w:pPr>
        <w:spacing w:after="120" w:line="276" w:lineRule="auto"/>
      </w:pPr>
      <w:r>
        <w:rPr>
          <w:rFonts w:ascii="Calibri" w:hAnsi="Calibri"/>
          <w:i w:val="0"/>
          <w:color w:val="1E293B"/>
          <w:sz w:val="21"/>
        </w:rPr>
        <w:t>Let I in R^{H x W x C} denote an arbitrary satellite image raster of height H, width W, and channels C (where C &gt;= 3 for RGB optical imagery). Let Q = {w_1, w_2, ..., w_L} represent an unstructured, natural language user query of length L expressing a semantic inquiry or visual extraction request. The objective of the system is to learn a mapping function f: (I, Q) -&gt; (T, B, M) such that:</w:t>
      </w:r>
    </w:p>
    <w:p>
      <w:pPr>
        <w:pStyle w:val="ListBullet"/>
        <w:spacing w:after="80" w:line="276" w:lineRule="auto"/>
      </w:pPr>
      <w:r>
        <w:rPr>
          <w:rFonts w:ascii="Calibri" w:hAnsi="Calibri"/>
          <w:b/>
          <w:color w:val="1A365D"/>
          <w:sz w:val="21"/>
        </w:rPr>
        <w:t>Textual Reasoning Response (T)</w:t>
      </w:r>
      <w:r>
        <w:rPr>
          <w:rFonts w:ascii="Calibri" w:hAnsi="Calibri"/>
          <w:color w:val="334155"/>
          <w:sz w:val="21"/>
        </w:rPr>
        <w:t>: An articulated, context-aware natural language analytical response explaining scene features, environmental conditions, and semantic answers to Q.</w:t>
      </w:r>
    </w:p>
    <w:p>
      <w:pPr>
        <w:pStyle w:val="ListBullet"/>
        <w:spacing w:after="80" w:line="276" w:lineRule="auto"/>
      </w:pPr>
      <w:r>
        <w:rPr>
          <w:rFonts w:ascii="Calibri" w:hAnsi="Calibri"/>
          <w:b/>
          <w:color w:val="1A365D"/>
          <w:sz w:val="21"/>
        </w:rPr>
        <w:t>Dense Grounding Bounding Boxes (B)</w:t>
      </w:r>
      <w:r>
        <w:rPr>
          <w:rFonts w:ascii="Calibri" w:hAnsi="Calibri"/>
          <w:color w:val="334155"/>
          <w:sz w:val="21"/>
        </w:rPr>
        <w:t>: A set of spatial bounding boxes B = {b_1, b_2, ..., b_k} where each b_i = (ymin, xmin, ymax, xmax) delineates the localized regions of interest corresponding to target entities in Q.</w:t>
      </w:r>
    </w:p>
    <w:p>
      <w:pPr>
        <w:pStyle w:val="ListBullet"/>
        <w:spacing w:after="80" w:line="276" w:lineRule="auto"/>
      </w:pPr>
      <w:r>
        <w:rPr>
          <w:rFonts w:ascii="Calibri" w:hAnsi="Calibri"/>
          <w:b/>
          <w:color w:val="1A365D"/>
          <w:sz w:val="21"/>
        </w:rPr>
        <w:t>Pixel-Exact Segmentation Mask (M)</w:t>
      </w:r>
      <w:r>
        <w:rPr>
          <w:rFonts w:ascii="Calibri" w:hAnsi="Calibri"/>
          <w:color w:val="334155"/>
          <w:sz w:val="21"/>
        </w:rPr>
        <w:t>: A binary or multi-class segmentation mask matrix M in {0, 1}^{H x W} accurately capturing the sub-pixel boundary geometry of target geospatial features without semantic boundary bleeding or background false positives.</w:t>
      </w:r>
    </w:p>
    <w:p>
      <w:pPr>
        <w:keepNext/>
        <w:spacing w:before="280" w:after="120"/>
      </w:pPr>
      <w:r>
        <w:rPr>
          <w:rFonts w:ascii="Calibri" w:hAnsi="Calibri"/>
          <w:b/>
          <w:color w:val="2B6CB0"/>
          <w:sz w:val="27"/>
        </w:rPr>
        <w:t>3.2 Functional Objectives</w:t>
      </w:r>
    </w:p>
    <w:p>
      <w:pPr>
        <w:pStyle w:val="ListBullet"/>
        <w:spacing w:after="80" w:line="276" w:lineRule="auto"/>
      </w:pPr>
      <w:r>
        <w:rPr>
          <w:rFonts w:ascii="Calibri" w:hAnsi="Calibri"/>
          <w:b/>
          <w:color w:val="1A365D"/>
          <w:sz w:val="21"/>
        </w:rPr>
        <w:t>Conversational Geospatial Reasoning</w:t>
      </w:r>
      <w:r>
        <w:rPr>
          <w:rFonts w:ascii="Calibri" w:hAnsi="Calibri"/>
          <w:color w:val="334155"/>
          <w:sz w:val="21"/>
        </w:rPr>
        <w:t>: Implement an asynchronous VLM pipeline capable of answering complex analytical queries concerning land cover, structural density, water presence, and disaster impact.</w:t>
      </w:r>
    </w:p>
    <w:p>
      <w:pPr>
        <w:pStyle w:val="ListBullet"/>
        <w:spacing w:after="80" w:line="276" w:lineRule="auto"/>
      </w:pPr>
      <w:r>
        <w:rPr>
          <w:rFonts w:ascii="Calibri" w:hAnsi="Calibri"/>
          <w:b/>
          <w:color w:val="1A365D"/>
          <w:sz w:val="21"/>
        </w:rPr>
        <w:t>Autonomous Visual Grounding</w:t>
      </w:r>
      <w:r>
        <w:rPr>
          <w:rFonts w:ascii="Calibri" w:hAnsi="Calibri"/>
          <w:color w:val="334155"/>
          <w:sz w:val="21"/>
        </w:rPr>
        <w:t>: Translate natural language instructions into precise normalized coordinates [0, 1000] and remap them to actual image pixel coordinates without manual user box drawing.</w:t>
      </w:r>
    </w:p>
    <w:p>
      <w:pPr>
        <w:pStyle w:val="ListBullet"/>
        <w:spacing w:after="80" w:line="276" w:lineRule="auto"/>
      </w:pPr>
      <w:r>
        <w:rPr>
          <w:rFonts w:ascii="Calibri" w:hAnsi="Calibri"/>
          <w:b/>
          <w:color w:val="1A365D"/>
          <w:sz w:val="21"/>
        </w:rPr>
        <w:t>Zero-Shot Sub-Pixel Mask Generation</w:t>
      </w:r>
      <w:r>
        <w:rPr>
          <w:rFonts w:ascii="Calibri" w:hAnsi="Calibri"/>
          <w:color w:val="334155"/>
          <w:sz w:val="21"/>
        </w:rPr>
        <w:t>: Leverage SAM 2.1 to generate sharp, clean boundary segmentations from VLM-derived bounding box and point prompts.</w:t>
      </w:r>
    </w:p>
    <w:p>
      <w:pPr>
        <w:pStyle w:val="ListBullet"/>
        <w:spacing w:after="80" w:line="276" w:lineRule="auto"/>
      </w:pPr>
      <w:r>
        <w:rPr>
          <w:rFonts w:ascii="Calibri" w:hAnsi="Calibri"/>
          <w:b/>
          <w:color w:val="1A365D"/>
          <w:sz w:val="21"/>
        </w:rPr>
        <w:t>Deterministic Heuristic Fallback</w:t>
      </w:r>
      <w:r>
        <w:rPr>
          <w:rFonts w:ascii="Calibri" w:hAnsi="Calibri"/>
          <w:color w:val="334155"/>
          <w:sz w:val="21"/>
        </w:rPr>
        <w:t>: Implement a classical computer vision pipeline utilizing GrabCut Gaussian Mixture Models and HSV/Lab color segmentation that guarantees execution continuity on CPU-only hardware or during GPU out-of-memory states.</w:t>
      </w:r>
    </w:p>
    <w:p>
      <w:pPr>
        <w:pStyle w:val="ListBullet"/>
        <w:spacing w:after="80" w:line="276" w:lineRule="auto"/>
      </w:pPr>
      <w:r>
        <w:rPr>
          <w:rFonts w:ascii="Calibri" w:hAnsi="Calibri"/>
          <w:b/>
          <w:color w:val="1A365D"/>
          <w:sz w:val="21"/>
        </w:rPr>
        <w:t>Interactive Canvas UI &amp; GIS Alignment</w:t>
      </w:r>
      <w:r>
        <w:rPr>
          <w:rFonts w:ascii="Calibri" w:hAnsi="Calibri"/>
          <w:color w:val="334155"/>
          <w:sz w:val="21"/>
        </w:rPr>
        <w:t>: Provide an intuitive web interface with Mapbox GL 3D satellite mapping overlays, enabling users to pan, zoom, pitch, click to add interactive positive/negative prompts, and inspect confidence scores.</w:t>
      </w:r>
    </w:p>
    <w:p>
      <w:pPr>
        <w:keepNext/>
        <w:spacing w:before="280" w:after="120"/>
      </w:pPr>
      <w:r>
        <w:rPr>
          <w:rFonts w:ascii="Calibri" w:hAnsi="Calibri"/>
          <w:b/>
          <w:color w:val="2B6CB0"/>
          <w:sz w:val="27"/>
        </w:rPr>
        <w:t>3.3 Non-Functional Objectives</w:t>
      </w:r>
    </w:p>
    <w:p>
      <w:pPr>
        <w:pStyle w:val="ListBullet"/>
        <w:spacing w:after="80" w:line="276" w:lineRule="auto"/>
      </w:pPr>
      <w:r>
        <w:rPr>
          <w:rFonts w:ascii="Calibri" w:hAnsi="Calibri"/>
          <w:b/>
          <w:color w:val="1A365D"/>
          <w:sz w:val="21"/>
        </w:rPr>
        <w:t>Low Latency</w:t>
      </w:r>
      <w:r>
        <w:rPr>
          <w:rFonts w:ascii="Calibri" w:hAnsi="Calibri"/>
          <w:color w:val="334155"/>
          <w:sz w:val="21"/>
        </w:rPr>
        <w:t>: End-to-end response time under 3 seconds for full VLM reasoning plus dense mask generation on standard 1024x1024 satellite tiles.</w:t>
      </w:r>
    </w:p>
    <w:p>
      <w:pPr>
        <w:pStyle w:val="ListBullet"/>
        <w:spacing w:after="80" w:line="276" w:lineRule="auto"/>
      </w:pPr>
      <w:r>
        <w:rPr>
          <w:rFonts w:ascii="Calibri" w:hAnsi="Calibri"/>
          <w:b/>
          <w:color w:val="1A365D"/>
          <w:sz w:val="21"/>
        </w:rPr>
        <w:t>Graceful Degradation</w:t>
      </w:r>
      <w:r>
        <w:rPr>
          <w:rFonts w:ascii="Calibri" w:hAnsi="Calibri"/>
          <w:color w:val="334155"/>
          <w:sz w:val="21"/>
        </w:rPr>
        <w:t>: System availability must remain 100% even if CUDA GPU acceleration is unavailable, switching automatically to CPU GrabCut fallback without throwing client errors.</w:t>
      </w:r>
    </w:p>
    <w:p>
      <w:pPr>
        <w:pStyle w:val="ListBullet"/>
        <w:spacing w:after="80" w:line="276" w:lineRule="auto"/>
      </w:pPr>
      <w:r>
        <w:rPr>
          <w:rFonts w:ascii="Calibri" w:hAnsi="Calibri"/>
          <w:b/>
          <w:color w:val="1A365D"/>
          <w:sz w:val="21"/>
        </w:rPr>
        <w:t>Modular Extensibility</w:t>
      </w:r>
      <w:r>
        <w:rPr>
          <w:rFonts w:ascii="Calibri" w:hAnsi="Calibri"/>
          <w:color w:val="334155"/>
          <w:sz w:val="21"/>
        </w:rPr>
        <w:t>: Decoupled service architecture enabling independent upgrades to the VLM (e.g., Gemini 2.0 -&gt; future models) or segmentation engine (SAM 2.1 -&gt; SAM 3) without backend refactoring.</w:t>
      </w:r>
    </w:p>
    <w:p>
      <w:pPr>
        <w:pStyle w:val="ListBullet"/>
        <w:spacing w:after="80" w:line="276" w:lineRule="auto"/>
      </w:pPr>
      <w:r>
        <w:rPr>
          <w:rFonts w:ascii="Calibri" w:hAnsi="Calibri"/>
          <w:b/>
          <w:color w:val="1A365D"/>
          <w:sz w:val="21"/>
        </w:rPr>
        <w:t>Memory Efficiency</w:t>
      </w:r>
      <w:r>
        <w:rPr>
          <w:rFonts w:ascii="Calibri" w:hAnsi="Calibri"/>
          <w:color w:val="334155"/>
          <w:sz w:val="21"/>
        </w:rPr>
        <w:t>: Backend memory consumption kept under 4 GB VRAM on GPU and under 2 GB RAM on CPU during image feature caching.</w:t>
      </w:r>
    </w:p>
    <w:p>
      <w:r>
        <w:br w:type="page"/>
      </w:r>
    </w:p>
    <w:p>
      <w:pPr>
        <w:keepNext/>
        <w:spacing w:before="400" w:after="160"/>
        <w:pBdr>
          <w:bottom w:val="single" w:sz="12" w:space="4" w:color="2B6CB0"/>
        </w:pBdr>
      </w:pPr>
      <w:r>
        <w:rPr>
          <w:rFonts w:ascii="Calibri" w:hAnsi="Calibri"/>
          <w:b/>
          <w:color w:val="1A365D"/>
          <w:sz w:val="34"/>
        </w:rPr>
        <w:t>CHAPTER 4: SYSTEM ARCHITECTURE &amp; DESIGN</w:t>
      </w:r>
    </w:p>
    <w:p>
      <w:pPr>
        <w:keepNext/>
        <w:spacing w:before="280" w:after="120"/>
      </w:pPr>
      <w:r>
        <w:rPr>
          <w:rFonts w:ascii="Calibri" w:hAnsi="Calibri"/>
          <w:b/>
          <w:color w:val="2B6CB0"/>
          <w:sz w:val="27"/>
        </w:rPr>
        <w:t>4.1 High-Level Architecture Overview</w:t>
      </w:r>
    </w:p>
    <w:p>
      <w:pPr>
        <w:spacing w:after="120" w:line="276" w:lineRule="auto"/>
      </w:pPr>
      <w:r>
        <w:rPr>
          <w:rFonts w:ascii="Calibri" w:hAnsi="Calibri"/>
          <w:i w:val="0"/>
          <w:color w:val="1E293B"/>
          <w:sz w:val="21"/>
        </w:rPr>
        <w:t>SatQuery AI is architected as a high-performance, decoupled, multi-tiered platform. By strictly separating high-level multimodal reasoning (Vision-Language) from low-level spatial geometry and pixel-level segmentation (SAM 2.1 and GrabCut), the architecture avoids the monolithic failure modes common in early deep learning prototypes.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SATQUERY AI CLIENT TIER                              |</w:t>
              <w:br/>
              <w:t>|  +---------------------------+  +----------------------+  +--------------------+  |</w:t>
              <w:br/>
              <w:t>|  | React 18 / TypeScript SPA |  | Mapbox GL 3D Canvas  |  | Interactive Prompt |  |</w:t>
              <w:br/>
              <w:t>|  | Tailwind UI Components    |  | Dual-Layer Mask View |  | Point/Box Tooling  |  |</w:t>
              <w:br/>
              <w:t>|  +---------------------------+  +----------------------+  +--------------------+  |</w:t>
              <w:br/>
              <w:t>+------------------------------------------+----------------------------------------+</w:t>
              <w:br/>
              <w:t xml:space="preserve">                                           | HTTP REST / JSON Payload</w:t>
              <w:br/>
              <w:t xml:space="preserve">                                           v</w:t>
              <w:br/>
              <w:t>+-----------------------------------------------------------------------------------+</w:t>
              <w:br/>
              <w:t>|                        FASTAPI API GATEWAY (SERVER TIER)                         |</w:t>
              <w:br/>
              <w:t>|  +-------------------------+  +--------------------------+  +-------------------+  |</w:t>
              <w:br/>
              <w:t>|  | ASGI Lifespan Engine    |  | Coordinate Normalization |  | CORS &amp; Security   |  |</w:t>
              <w:br/>
              <w:t>|  | Uvicorn Async Workers   |  | Bounding Box Parser      |  | Error Middleware  |  |</w:t>
              <w:br/>
              <w:t>|  +-------------------------+  +--------------------------+  +-------------------+  |</w:t>
              <w:br/>
              <w:t>+------------------------------------------+----------------------------------------+</w:t>
              <w:br/>
              <w:t xml:space="preserve">                                           |</w:t>
              <w:br/>
              <w:t xml:space="preserve">                   +-----------------------+-----------------------+</w:t>
              <w:br/>
              <w:t xml:space="preserve">                   |                                               |</w:t>
              <w:br/>
              <w:t xml:space="preserve">                   v                                               v</w:t>
              <w:br/>
              <w:t>+--------------------------------------+       +------------------------------------+</w:t>
              <w:br/>
              <w:t>|       VLM REASONING ENGINE           |       |    VISUAL SEGMENTATION ENGINE      |</w:t>
              <w:br/>
              <w:t>|  +--------------------------------+  |       |  +-------------------------------+ |</w:t>
              <w:br/>
              <w:t>|  | Google Gemini 2.0 Flash API    |  |       |  | Meta SAM 2.1 Image Predictor  | |</w:t>
              <w:br/>
              <w:t>|  | Grounding Prompt Orchestrator  |  |       |  | Hiera Backbone / Mask Decoder | |</w:t>
              <w:br/>
              <w:t>|  | JSON Schema Output Validator   |  |       |  +-------------------------------+ |</w:t>
              <w:br/>
              <w:t>|  +--------------------------------+  |       |                  | (GPU Fail / OOM)|</w:t>
              <w:br/>
              <w:t>|                                      |       |                  v                 |</w:t>
              <w:br/>
              <w:t>|  Outputs:                            |       |  +-------------------------------+ |</w:t>
              <w:br/>
              <w:t>|  - Analytical Text Response          |       |  | Heuristic Fallback Pipeline   | |</w:t>
              <w:br/>
              <w:t>|  - Normalized BBoxes [0, 1000]       |       |  | GrabCut GMM + HSV Masking     | |</w:t>
              <w:br/>
              <w:t>|  - Confidence &amp; Target Categories    |       |  +-------------------------------+ |</w:t>
              <w:br/>
              <w:t>+--------------------------------------+       +------------------------------------+</w:t>
              <w:br/>
              <w:t xml:space="preserve">                   |                                               |</w:t>
              <w:br/>
              <w:t xml:space="preserve">                   +-----------------------+-----------------------+</w:t>
              <w:br/>
              <w:t xml:space="preserve">                                           |</w:t>
              <w:br/>
              <w:t xml:space="preserve">                                           v</w:t>
              <w:br/>
              <w:t>+-----------------------------------------------------------------------------------+</w:t>
              <w:br/>
              <w:t>|                              DATA &amp; PERSISTENCE TIER                              |</w:t>
              <w:br/>
              <w:t>|  +-------------------------------+  +---------------------+  +------------------+  |</w:t>
              <w:br/>
              <w:t>|  | SQLite / SQLAlchemy ORM       |  | Static Upload Store |  | Alpha Mask Cache |  |</w:t>
              <w:br/>
              <w:t>|  | Chat Sessions &amp; Hist. Vectors |  | GeoTIFF / JPG / PNG |  | PNG RGBA Overlay |  |</w:t>
              <w:br/>
              <w:t>|  +-------------------------------+  +---------------------+  +------------------+  |</w:t>
              <w:br/>
              <w:t>+-----------------------------------------------------------------------------------+</w:t>
            </w:r>
          </w:p>
        </w:tc>
      </w:tr>
    </w:tbl>
    <w:p>
      <w:pPr>
        <w:spacing w:before="80" w:after="160"/>
        <w:jc w:val="center"/>
      </w:pPr>
      <w:r>
        <w:rPr>
          <w:rFonts w:ascii="Calibri" w:hAnsi="Calibri"/>
          <w:b/>
          <w:i/>
          <w:color w:val="475569"/>
          <w:sz w:val="19"/>
        </w:rPr>
        <w:t>Figure 4.1: High-Level End-to-End System Architecture Diagram</w:t>
      </w:r>
    </w:p>
    <w:p>
      <w:pPr>
        <w:keepNext/>
        <w:spacing w:before="280" w:after="120"/>
      </w:pPr>
      <w:r>
        <w:rPr>
          <w:rFonts w:ascii="Calibri" w:hAnsi="Calibri"/>
          <w:b/>
          <w:color w:val="2B6CB0"/>
          <w:sz w:val="27"/>
        </w:rPr>
        <w:t>4.2 Separation of Concerns: Decoupled Dual-Engine Model</w:t>
      </w:r>
    </w:p>
    <w:p>
      <w:pPr>
        <w:spacing w:after="120" w:line="276" w:lineRule="auto"/>
      </w:pPr>
      <w:r>
        <w:rPr>
          <w:rFonts w:ascii="Calibri" w:hAnsi="Calibri"/>
          <w:i w:val="0"/>
          <w:color w:val="1E293B"/>
          <w:sz w:val="21"/>
        </w:rPr>
        <w:t>A central innovation of SatQuery AI is the strict decoupling of the reasoning engine from the segmentation engine. In naive vision-language architectures, researchers attempt to force the language model to output binary mask tokens directly (e.g., polygon coordinate lists in text). This approach suffers from token context overflow, high latency, and frequent syntax errors. SatQuery AI solves this through a divide-and-conquer strategy:</w:t>
      </w:r>
    </w:p>
    <w:p>
      <w:pPr>
        <w:pStyle w:val="ListBullet"/>
        <w:spacing w:after="80" w:line="276" w:lineRule="auto"/>
      </w:pPr>
      <w:r>
        <w:rPr>
          <w:rFonts w:ascii="Calibri" w:hAnsi="Calibri"/>
          <w:b/>
          <w:color w:val="1A365D"/>
          <w:sz w:val="21"/>
        </w:rPr>
        <w:t>VLM handles Semantics &amp; Macro-Localization</w:t>
      </w:r>
      <w:r>
        <w:rPr>
          <w:rFonts w:ascii="Calibri" w:hAnsi="Calibri"/>
          <w:color w:val="334155"/>
          <w:sz w:val="21"/>
        </w:rPr>
        <w:t>: The VLM interprets the user prompt, considers geospatial context, answers questions, and identifies approximate bounding box coordinates for target features.</w:t>
      </w:r>
    </w:p>
    <w:p>
      <w:pPr>
        <w:pStyle w:val="ListBullet"/>
        <w:spacing w:after="80" w:line="276" w:lineRule="auto"/>
      </w:pPr>
      <w:r>
        <w:rPr>
          <w:rFonts w:ascii="Calibri" w:hAnsi="Calibri"/>
          <w:b/>
          <w:color w:val="1A365D"/>
          <w:sz w:val="21"/>
        </w:rPr>
        <w:t>SAM 2.1 handles Micro-Geometry &amp; Sub-Pixel Delineation</w:t>
      </w:r>
      <w:r>
        <w:rPr>
          <w:rFonts w:ascii="Calibri" w:hAnsi="Calibri"/>
          <w:color w:val="334155"/>
          <w:sz w:val="21"/>
        </w:rPr>
        <w:t>: The segmentation engine receives the image embedding and VLM bounding boxes as geometric prompts, generating crisp, sub-pixel binary masks along actual spectral and physical edges.</w:t>
      </w:r>
    </w:p>
    <w:p>
      <w:pPr>
        <w:keepNext/>
        <w:spacing w:before="280" w:after="120"/>
      </w:pPr>
      <w:r>
        <w:rPr>
          <w:rFonts w:ascii="Calibri" w:hAnsi="Calibri"/>
          <w:b/>
          <w:color w:val="2B6CB0"/>
          <w:sz w:val="27"/>
        </w:rPr>
        <w:t>4.3 Sequence &amp; Request Flow</w:t>
      </w:r>
    </w:p>
    <w:p>
      <w:pPr>
        <w:spacing w:after="120" w:line="276" w:lineRule="auto"/>
      </w:pPr>
      <w:r>
        <w:rPr>
          <w:rFonts w:ascii="Calibri" w:hAnsi="Calibri"/>
          <w:i w:val="0"/>
          <w:color w:val="1E293B"/>
          <w:sz w:val="21"/>
        </w:rPr>
        <w:t>Figure 4.2 illustrates the end-to-end execution lifecycle for a user query.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USER / CLIENT                   FASTAPI GATEWAY               GEMINI 2.0 VLM          SAM 2.1 / GRABCUT</w:t>
              <w:br/>
              <w:t xml:space="preserve">      |                                |                             |                        |</w:t>
              <w:br/>
              <w:t xml:space="preserve">      |--- 1. POST /api/analyze ------&gt;|                             |                        |</w:t>
              <w:br/>
              <w:t xml:space="preserve">      |    (image_url, user_prompt)    |--- 2. Encode Image &amp; -------&gt;|                        |</w:t>
              <w:br/>
              <w:t xml:space="preserve">      |                                |    Structured Prompt        |                        |</w:t>
              <w:br/>
              <w:t xml:space="preserve">      |                                |                             |                        |</w:t>
              <w:br/>
              <w:t xml:space="preserve">      |                                |&lt;-- 3. Return JSON Response -|                        |</w:t>
              <w:br/>
              <w:t xml:space="preserve">      |                                |    (Text + BBoxes [0..1000])|                        |</w:t>
              <w:br/>
              <w:t xml:space="preserve">      |                                |                             |                        |</w:t>
              <w:br/>
              <w:t xml:space="preserve">      |                                |--- 4. Transform Coords -----------------------------&gt;|</w:t>
              <w:br/>
              <w:t xml:space="preserve">      |                                |    ([0..1000] -&gt; [0..W, 0..H])                       |</w:t>
              <w:br/>
              <w:t xml:space="preserve">      |                                |                                                      |--- 5. Predict Mask</w:t>
              <w:br/>
              <w:t xml:space="preserve">      |                                |                                                      |    from Box Prompts</w:t>
              <w:br/>
              <w:t xml:space="preserve">      |                                |&lt;-- 6. Return Binary Mask &amp; IoU ----------------------|</w:t>
              <w:br/>
              <w:t xml:space="preserve">      |                                |</w:t>
              <w:br/>
              <w:t xml:space="preserve">      |&lt;-- 7. Return Full Response ----|</w:t>
              <w:br/>
              <w:t xml:space="preserve">      |    (Analysis, Mask URL, BBox)  |</w:t>
              <w:br/>
              <w:t xml:space="preserve">      |                                |</w:t>
            </w:r>
          </w:p>
        </w:tc>
      </w:tr>
    </w:tbl>
    <w:p>
      <w:pPr>
        <w:spacing w:before="80" w:after="160"/>
        <w:jc w:val="center"/>
      </w:pPr>
      <w:r>
        <w:rPr>
          <w:rFonts w:ascii="Calibri" w:hAnsi="Calibri"/>
          <w:b/>
          <w:i/>
          <w:color w:val="475569"/>
          <w:sz w:val="19"/>
        </w:rPr>
        <w:t>Figure 4.2: Asynchronous Request-Response Sequence Diagram</w:t>
      </w:r>
    </w:p>
    <w:p>
      <w:r>
        <w:br w:type="page"/>
      </w:r>
    </w:p>
    <w:p>
      <w:pPr>
        <w:keepNext/>
        <w:spacing w:before="400" w:after="160"/>
        <w:pBdr>
          <w:bottom w:val="single" w:sz="12" w:space="4" w:color="2B6CB0"/>
        </w:pBdr>
      </w:pPr>
      <w:r>
        <w:rPr>
          <w:rFonts w:ascii="Calibri" w:hAnsi="Calibri"/>
          <w:b/>
          <w:color w:val="1A365D"/>
          <w:sz w:val="34"/>
        </w:rPr>
        <w:t>CHAPTER 5: TECHNICAL STACK &amp; JUSTIFICATION</w:t>
      </w:r>
    </w:p>
    <w:p>
      <w:pPr>
        <w:keepNext/>
        <w:spacing w:before="280" w:after="120"/>
      </w:pPr>
      <w:r>
        <w:rPr>
          <w:rFonts w:ascii="Calibri" w:hAnsi="Calibri"/>
          <w:b/>
          <w:color w:val="2B6CB0"/>
          <w:sz w:val="27"/>
        </w:rPr>
        <w:t>5.1 Technical Architecture Overview</w:t>
      </w:r>
    </w:p>
    <w:p>
      <w:pPr>
        <w:spacing w:after="120" w:line="276" w:lineRule="auto"/>
      </w:pPr>
      <w:r>
        <w:rPr>
          <w:rFonts w:ascii="Calibri" w:hAnsi="Calibri"/>
          <w:i w:val="0"/>
          <w:color w:val="1E293B"/>
          <w:sz w:val="21"/>
        </w:rPr>
        <w:t>The technology stack of SatQuery AI was selected after rigorous benchmarking of latency, developer productivity, cross-platform reliability, and mathematical precision. Tables 5.1 through 5.3 enumerate the technologies employed.</w:t>
      </w:r>
    </w:p>
    <w:p>
      <w:pPr>
        <w:keepNext/>
        <w:spacing w:before="280" w:after="120"/>
      </w:pPr>
      <w:r>
        <w:rPr>
          <w:rFonts w:ascii="Calibri" w:hAnsi="Calibri"/>
          <w:b/>
          <w:color w:val="2B6CB0"/>
          <w:sz w:val="27"/>
        </w:rPr>
        <w:t>5.2 Frontend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0"/>
        <w:gridCol w:w="1152"/>
        <w:gridCol w:w="2304"/>
        <w:gridCol w:w="3744"/>
      </w:tblGrid>
      <w:tr>
        <w:tc>
          <w:tcPr>
            <w:tcW w:type="dxa" w:w="2160"/>
            <w:shd w:fill="1A365D"/>
            <w:tcMar>
              <w:top w:w="100" w:type="dxa"/>
              <w:bottom w:w="100" w:type="dxa"/>
              <w:left w:w="120" w:type="dxa"/>
              <w:right w:w="120" w:type="dxa"/>
            </w:tcMar>
          </w:tcPr>
          <w:p>
            <w:pPr>
              <w:spacing w:after="0"/>
            </w:pPr>
            <w:r>
              <w:rPr>
                <w:rFonts w:ascii="Calibri" w:hAnsi="Calibri"/>
                <w:b/>
                <w:color w:val="FFFFFF"/>
                <w:sz w:val="19"/>
              </w:rPr>
              <w:t>Technology / Library</w:t>
            </w:r>
          </w:p>
        </w:tc>
        <w:tc>
          <w:tcPr>
            <w:tcW w:type="dxa" w:w="1152"/>
            <w:shd w:fill="1A365D"/>
            <w:tcMar>
              <w:top w:w="100" w:type="dxa"/>
              <w:bottom w:w="100" w:type="dxa"/>
              <w:left w:w="120" w:type="dxa"/>
              <w:right w:w="120" w:type="dxa"/>
            </w:tcMar>
          </w:tcPr>
          <w:p>
            <w:pPr>
              <w:spacing w:after="0"/>
            </w:pPr>
            <w:r>
              <w:rPr>
                <w:rFonts w:ascii="Calibri" w:hAnsi="Calibri"/>
                <w:b/>
                <w:color w:val="FFFFFF"/>
                <w:sz w:val="19"/>
              </w:rPr>
              <w:t>Version</w:t>
            </w:r>
          </w:p>
        </w:tc>
        <w:tc>
          <w:tcPr>
            <w:tcW w:type="dxa" w:w="2304"/>
            <w:shd w:fill="1A365D"/>
            <w:tcMar>
              <w:top w:w="100" w:type="dxa"/>
              <w:bottom w:w="100" w:type="dxa"/>
              <w:left w:w="120" w:type="dxa"/>
              <w:right w:w="120" w:type="dxa"/>
            </w:tcMar>
          </w:tcPr>
          <w:p>
            <w:pPr>
              <w:spacing w:after="0"/>
            </w:pPr>
            <w:r>
              <w:rPr>
                <w:rFonts w:ascii="Calibri" w:hAnsi="Calibri"/>
                <w:b/>
                <w:color w:val="FFFFFF"/>
                <w:sz w:val="19"/>
              </w:rPr>
              <w:t>Role in Architecture</w:t>
            </w:r>
          </w:p>
        </w:tc>
        <w:tc>
          <w:tcPr>
            <w:tcW w:type="dxa" w:w="3744"/>
            <w:shd w:fill="1A365D"/>
            <w:tcMar>
              <w:top w:w="100" w:type="dxa"/>
              <w:bottom w:w="100" w:type="dxa"/>
              <w:left w:w="120" w:type="dxa"/>
              <w:right w:w="120" w:type="dxa"/>
            </w:tcMar>
          </w:tcPr>
          <w:p>
            <w:pPr>
              <w:spacing w:after="0"/>
            </w:pPr>
            <w:r>
              <w:rPr>
                <w:rFonts w:ascii="Calibri" w:hAnsi="Calibri"/>
                <w:b/>
                <w:color w:val="FFFFFF"/>
                <w:sz w:val="19"/>
              </w:rPr>
              <w:t>Justification &amp; Benefits</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React</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18.3.1</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Core UI Framework</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Component-driven architecture, virtual DOM reconciliation, robust ecosystem.</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TypeScript</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5.5.0</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Type Safety &amp; Contracts</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Eliminates runtime coordinate errors, enforces strict API interfaces.</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Tailwind CSS</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3.4.0</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Utility-First Styling</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Rapid responsive styling, zero CSS runtime overhead, modern dark UI.</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Mapbox GL / MapLibre GL</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3.6.2</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Interactive Geospatial GIS</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High-performance WebGL 3D vector and satellite tile rendering, custom CRS, pitch &amp; rotation.</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Lucide React</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0.400+</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Vector Iconography</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Crisp geospatial, analytical, and system status visual iconography.</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Vite</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5.3.0</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Frontend Build Tool</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Instant Hot Module Replacement (HMR), optimized Rollup production bundling.</w:t>
            </w:r>
          </w:p>
        </w:tc>
      </w:tr>
    </w:tbl>
    <w:p>
      <w:pPr>
        <w:spacing w:before="80" w:after="160"/>
        <w:jc w:val="center"/>
      </w:pPr>
      <w:r>
        <w:rPr>
          <w:rFonts w:ascii="Calibri" w:hAnsi="Calibri"/>
          <w:b/>
          <w:i/>
          <w:color w:val="475569"/>
          <w:sz w:val="19"/>
        </w:rPr>
        <w:t>Table 5.1: Frontend Technology Stack &amp; Component Justifications</w:t>
      </w:r>
    </w:p>
    <w:p>
      <w:pPr>
        <w:keepNext/>
        <w:spacing w:before="280" w:after="120"/>
      </w:pPr>
      <w:r>
        <w:rPr>
          <w:rFonts w:ascii="Calibri" w:hAnsi="Calibri"/>
          <w:b/>
          <w:color w:val="2B6CB0"/>
          <w:sz w:val="27"/>
        </w:rPr>
        <w:t>5.3 Backend &amp; AI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0"/>
        <w:gridCol w:w="1152"/>
        <w:gridCol w:w="2304"/>
        <w:gridCol w:w="3744"/>
      </w:tblGrid>
      <w:tr>
        <w:tc>
          <w:tcPr>
            <w:tcW w:type="dxa" w:w="2160"/>
            <w:shd w:fill="1A365D"/>
            <w:tcMar>
              <w:top w:w="100" w:type="dxa"/>
              <w:bottom w:w="100" w:type="dxa"/>
              <w:left w:w="120" w:type="dxa"/>
              <w:right w:w="120" w:type="dxa"/>
            </w:tcMar>
          </w:tcPr>
          <w:p>
            <w:pPr>
              <w:spacing w:after="0"/>
            </w:pPr>
            <w:r>
              <w:rPr>
                <w:rFonts w:ascii="Calibri" w:hAnsi="Calibri"/>
                <w:b/>
                <w:color w:val="FFFFFF"/>
                <w:sz w:val="19"/>
              </w:rPr>
              <w:t>Technology / Library</w:t>
            </w:r>
          </w:p>
        </w:tc>
        <w:tc>
          <w:tcPr>
            <w:tcW w:type="dxa" w:w="1152"/>
            <w:shd w:fill="1A365D"/>
            <w:tcMar>
              <w:top w:w="100" w:type="dxa"/>
              <w:bottom w:w="100" w:type="dxa"/>
              <w:left w:w="120" w:type="dxa"/>
              <w:right w:w="120" w:type="dxa"/>
            </w:tcMar>
          </w:tcPr>
          <w:p>
            <w:pPr>
              <w:spacing w:after="0"/>
            </w:pPr>
            <w:r>
              <w:rPr>
                <w:rFonts w:ascii="Calibri" w:hAnsi="Calibri"/>
                <w:b/>
                <w:color w:val="FFFFFF"/>
                <w:sz w:val="19"/>
              </w:rPr>
              <w:t>Version</w:t>
            </w:r>
          </w:p>
        </w:tc>
        <w:tc>
          <w:tcPr>
            <w:tcW w:type="dxa" w:w="2304"/>
            <w:shd w:fill="1A365D"/>
            <w:tcMar>
              <w:top w:w="100" w:type="dxa"/>
              <w:bottom w:w="100" w:type="dxa"/>
              <w:left w:w="120" w:type="dxa"/>
              <w:right w:w="120" w:type="dxa"/>
            </w:tcMar>
          </w:tcPr>
          <w:p>
            <w:pPr>
              <w:spacing w:after="0"/>
            </w:pPr>
            <w:r>
              <w:rPr>
                <w:rFonts w:ascii="Calibri" w:hAnsi="Calibri"/>
                <w:b/>
                <w:color w:val="FFFFFF"/>
                <w:sz w:val="19"/>
              </w:rPr>
              <w:t>Role in Architecture</w:t>
            </w:r>
          </w:p>
        </w:tc>
        <w:tc>
          <w:tcPr>
            <w:tcW w:type="dxa" w:w="3744"/>
            <w:shd w:fill="1A365D"/>
            <w:tcMar>
              <w:top w:w="100" w:type="dxa"/>
              <w:bottom w:w="100" w:type="dxa"/>
              <w:left w:w="120" w:type="dxa"/>
              <w:right w:w="120" w:type="dxa"/>
            </w:tcMar>
          </w:tcPr>
          <w:p>
            <w:pPr>
              <w:spacing w:after="0"/>
            </w:pPr>
            <w:r>
              <w:rPr>
                <w:rFonts w:ascii="Calibri" w:hAnsi="Calibri"/>
                <w:b/>
                <w:color w:val="FFFFFF"/>
                <w:sz w:val="19"/>
              </w:rPr>
              <w:t>Justification &amp; Benefits</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Python</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3.11 / 3.13</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Core Runtime</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Native AI/ML ecosystem, PyTorch compatibility, dynamic data structures.</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FastAPI</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0.115+</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ASGI Web Gateway</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High-throughput async execution, native Pydantic validation, OpenAPI docs.</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Uvicorn</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0.30+</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ASGI Web Server</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Lightning-fast async HTTP/WebSocket event loop execution.</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PyTorch</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2.4+ (CUDA)</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Deep Learning Runtime</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GPU tensor computation, automatic differentiation, SAM 2.1 inference.</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Meta SAM 2.1</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2.1 checkpoint</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Visual Segmentation</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State-of-the-art zero-shot promptable segmentation, Hiera backbone.</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Google Gemini API</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v1beta / 2.0</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Vision-Language Model</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Exceptional multimodal comprehension, structured JSON output, low latency.</w:t>
            </w:r>
          </w:p>
        </w:tc>
      </w:tr>
      <w:tr>
        <w:tc>
          <w:tcPr>
            <w:tcW w:type="dxa" w:w="2160"/>
            <w:tcMar>
              <w:top w:w="70" w:type="dxa"/>
              <w:bottom w:w="70" w:type="dxa"/>
              <w:left w:w="120" w:type="dxa"/>
              <w:right w:w="120" w:type="dxa"/>
            </w:tcMar>
          </w:tcPr>
          <w:p>
            <w:pPr>
              <w:spacing w:after="0" w:line="264" w:lineRule="auto"/>
            </w:pPr>
            <w:r>
              <w:rPr>
                <w:rFonts w:ascii="Calibri" w:hAnsi="Calibri"/>
                <w:color w:val="1E293B"/>
                <w:sz w:val="18"/>
              </w:rPr>
              <w:t>OpenCV (cv2)</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4.10+</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Computer Vision Pipeline</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GrabCut GMM segmentation, morphological operations, affine transforms.</w:t>
            </w:r>
          </w:p>
        </w:tc>
      </w:tr>
      <w:tr>
        <w:tc>
          <w:tcPr>
            <w:tcW w:type="dxa" w:w="2160"/>
            <w:shd w:fill="F8FAFC"/>
            <w:tcMar>
              <w:top w:w="70" w:type="dxa"/>
              <w:bottom w:w="70" w:type="dxa"/>
              <w:left w:w="120" w:type="dxa"/>
              <w:right w:w="120" w:type="dxa"/>
            </w:tcMar>
          </w:tcPr>
          <w:p>
            <w:pPr>
              <w:spacing w:after="0" w:line="264" w:lineRule="auto"/>
            </w:pPr>
            <w:r>
              <w:rPr>
                <w:rFonts w:ascii="Calibri" w:hAnsi="Calibri"/>
                <w:color w:val="1E293B"/>
                <w:sz w:val="18"/>
              </w:rPr>
              <w:t>SQLAlchemy / SQLite</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2.0+</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Persistence &amp; History</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Lightweight zero-configuration relational storage for session states.</w:t>
            </w:r>
          </w:p>
        </w:tc>
      </w:tr>
    </w:tbl>
    <w:p>
      <w:pPr>
        <w:spacing w:before="80" w:after="160"/>
        <w:jc w:val="center"/>
      </w:pPr>
      <w:r>
        <w:rPr>
          <w:rFonts w:ascii="Calibri" w:hAnsi="Calibri"/>
          <w:b/>
          <w:i/>
          <w:color w:val="475569"/>
          <w:sz w:val="19"/>
        </w:rPr>
        <w:t>Table 5.2: Backend &amp; Geospatial Gateway Technology Stack</w:t>
      </w:r>
    </w:p>
    <w:p>
      <w:r>
        <w:br w:type="page"/>
      </w:r>
    </w:p>
    <w:p>
      <w:pPr>
        <w:keepNext/>
        <w:spacing w:before="400" w:after="160"/>
        <w:pBdr>
          <w:bottom w:val="single" w:sz="12" w:space="4" w:color="2B6CB0"/>
        </w:pBdr>
      </w:pPr>
      <w:r>
        <w:rPr>
          <w:rFonts w:ascii="Calibri" w:hAnsi="Calibri"/>
          <w:b/>
          <w:color w:val="1A365D"/>
          <w:sz w:val="34"/>
        </w:rPr>
        <w:t>CHAPTER 6: FRONTEND ENGINEERING &amp; INTERACTIVE GEOSPATIAL UI</w:t>
      </w:r>
    </w:p>
    <w:p>
      <w:pPr>
        <w:keepNext/>
        <w:spacing w:before="280" w:after="120"/>
      </w:pPr>
      <w:r>
        <w:rPr>
          <w:rFonts w:ascii="Calibri" w:hAnsi="Calibri"/>
          <w:b/>
          <w:color w:val="2B6CB0"/>
          <w:sz w:val="27"/>
        </w:rPr>
        <w:t>6.1 Component Hierarchy and State Architecture</w:t>
      </w:r>
    </w:p>
    <w:p>
      <w:pPr>
        <w:spacing w:after="120" w:line="276" w:lineRule="auto"/>
      </w:pPr>
      <w:r>
        <w:rPr>
          <w:rFonts w:ascii="Calibri" w:hAnsi="Calibri"/>
          <w:i w:val="0"/>
          <w:color w:val="1E293B"/>
          <w:sz w:val="21"/>
        </w:rPr>
        <w:t>The SatQuery AI frontend is built around an event-driven, unidirectional data flow. The user interface is composed of modular React functional components, managed by clean React hooks and TypeScript interfaces.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App.tsx (Root)                                   |</w:t>
              <w:br/>
              <w:t>|  - Manages active session ID, upload state, and active image metadata            |</w:t>
              <w:br/>
              <w:t>+------------------------------------------+----------------------------------------+</w:t>
              <w:br/>
              <w:t xml:space="preserve">                                           |</w:t>
              <w:br/>
              <w:t xml:space="preserve">                 +-------------------------+-------------------------+</w:t>
              <w:br/>
              <w:t xml:space="preserve">                 |                                                   |</w:t>
              <w:br/>
              <w:t xml:space="preserve">                 v                                                   v</w:t>
              <w:br/>
              <w:t>+----------------------------------+               +--------------------------------+</w:t>
              <w:br/>
              <w:t>|         MapCanvas.tsx            |               |         ChatPanel.tsx          |</w:t>
              <w:br/>
              <w:t>|  - Mapbox GL 3D Container        |               |  - Message List (User/AI)      |</w:t>
              <w:br/>
              <w:t>|  - TileLayer (Satellite Base)    |               |  - Markdown Formatter          |</w:t>
              <w:br/>
              <w:t>|  - CanvasOverlay (Mask Blending) |               |  - Query Input &amp; Voice Button  |</w:t>
              <w:br/>
              <w:t>|  - BoundingBoxSvgOverlay         |               |  - Grounding Confidence Badge  |</w:t>
              <w:br/>
              <w:t>|  - Interactive Prompt Markers    |               |  - Prompt Suggestions Strip    |</w:t>
              <w:br/>
              <w:t>+----------------------------------+               +--------------------------------+</w:t>
              <w:br/>
              <w:t xml:space="preserve">                 |                                                   |</w:t>
              <w:br/>
              <w:t xml:space="preserve">                 +-------------------------+-------------------------+</w:t>
              <w:br/>
              <w:t xml:space="preserve">                                           |</w:t>
              <w:br/>
              <w:t xml:space="preserve">                                           v</w:t>
              <w:br/>
              <w:t>+-----------------------------------------------------------------------------------+</w:t>
              <w:br/>
              <w:t>|                                Toolbar &amp; Control Bar                              |</w:t>
              <w:br/>
              <w:t>|  - Mode Switch: (Inspect, BBox Draw, Point Prompt (+/-), Layer Opacity Slider)   |</w:t>
              <w:br/>
              <w:t>|  - Action Buttons: Clear Mask, Download GeoJSON, Export PNG Overlay, Reset View  |</w:t>
              <w:br/>
              <w:t>+-----------------------------------------------------------------------------------+</w:t>
            </w:r>
          </w:p>
        </w:tc>
      </w:tr>
    </w:tbl>
    <w:p>
      <w:pPr>
        <w:spacing w:before="80" w:after="160"/>
        <w:jc w:val="center"/>
      </w:pPr>
      <w:r>
        <w:rPr>
          <w:rFonts w:ascii="Calibri" w:hAnsi="Calibri"/>
          <w:b/>
          <w:i/>
          <w:color w:val="475569"/>
          <w:sz w:val="19"/>
        </w:rPr>
        <w:t>Figure 6.1: Frontend React Component Hierarchy &amp; State Machine</w:t>
      </w:r>
    </w:p>
    <w:p>
      <w:pPr>
        <w:keepNext/>
        <w:spacing w:before="280" w:after="120"/>
      </w:pPr>
      <w:r>
        <w:rPr>
          <w:rFonts w:ascii="Calibri" w:hAnsi="Calibri"/>
          <w:b/>
          <w:color w:val="2B6CB0"/>
          <w:sz w:val="27"/>
        </w:rPr>
        <w:t>6.2 Canvas Layering and Coordinate Alignment</w:t>
      </w:r>
    </w:p>
    <w:p>
      <w:pPr>
        <w:spacing w:after="120" w:line="276" w:lineRule="auto"/>
      </w:pPr>
      <w:r>
        <w:rPr>
          <w:rFonts w:ascii="Calibri" w:hAnsi="Calibri"/>
          <w:i w:val="0"/>
          <w:color w:val="1E293B"/>
          <w:sz w:val="21"/>
        </w:rPr>
        <w:t>A critical frontend engineering challenge in SatQuery AI is rendering pixel-exact segmentation masks directly on top of satellite images that may be panned, zoomed, or scaled by the user. If naive image overlays are used, raster blurring or misalignment occurs during fractional zoom states.</w:t>
      </w:r>
    </w:p>
    <w:p>
      <w:pPr>
        <w:spacing w:after="120" w:line="276" w:lineRule="auto"/>
      </w:pPr>
      <w:r>
        <w:rPr>
          <w:rFonts w:ascii="Calibri" w:hAnsi="Calibri"/>
          <w:i w:val="0"/>
          <w:color w:val="1E293B"/>
          <w:sz w:val="21"/>
        </w:rPr>
        <w:t>SatQuery AI resolves this using a synchronized three-layer rendering architecture:</w:t>
      </w:r>
    </w:p>
    <w:p>
      <w:pPr>
        <w:pStyle w:val="ListBullet"/>
        <w:spacing w:after="80" w:line="276" w:lineRule="auto"/>
      </w:pPr>
      <w:r>
        <w:rPr>
          <w:rFonts w:ascii="Calibri" w:hAnsi="Calibri"/>
          <w:b/>
          <w:color w:val="1A365D"/>
          <w:sz w:val="21"/>
        </w:rPr>
        <w:t>Layer 0 (Base Raster)</w:t>
      </w:r>
      <w:r>
        <w:rPr>
          <w:rFonts w:ascii="Calibri" w:hAnsi="Calibri"/>
          <w:color w:val="334155"/>
          <w:sz w:val="21"/>
        </w:rPr>
        <w:t>: Renders the original satellite image either as a static high-resolution raster or georeferenced Mapbox GL ImageSource overlay using EPSG:3857 Web Mercator projection.</w:t>
      </w:r>
    </w:p>
    <w:p>
      <w:pPr>
        <w:pStyle w:val="ListBullet"/>
        <w:spacing w:after="80" w:line="276" w:lineRule="auto"/>
      </w:pPr>
      <w:r>
        <w:rPr>
          <w:rFonts w:ascii="Calibri" w:hAnsi="Calibri"/>
          <w:b/>
          <w:color w:val="1A365D"/>
          <w:sz w:val="21"/>
        </w:rPr>
        <w:t>Layer 1 (Segmentation Mask Canvas)</w:t>
      </w:r>
      <w:r>
        <w:rPr>
          <w:rFonts w:ascii="Calibri" w:hAnsi="Calibri"/>
          <w:color w:val="334155"/>
          <w:sz w:val="21"/>
        </w:rPr>
        <w:t>: An HTML5 2D Canvas positioned synchronously over Layer 0. The binary mask received from the backend is rendered with a customizable RGBA color palette (e.g., translucent cyan rgba(6, 182, 212, 0.45) for water, vibrant red rgba(239, 68, 68, 0.5) for buildings) and blended using globalCompositeOperation = 'source-over'.</w:t>
      </w:r>
    </w:p>
    <w:p>
      <w:pPr>
        <w:pStyle w:val="ListBullet"/>
        <w:spacing w:after="80" w:line="276" w:lineRule="auto"/>
      </w:pPr>
      <w:r>
        <w:rPr>
          <w:rFonts w:ascii="Calibri" w:hAnsi="Calibri"/>
          <w:b/>
          <w:color w:val="1A365D"/>
          <w:sz w:val="21"/>
        </w:rPr>
        <w:t>Layer 2 (Vector Annotation SVG Layer)</w:t>
      </w:r>
      <w:r>
        <w:rPr>
          <w:rFonts w:ascii="Calibri" w:hAnsi="Calibri"/>
          <w:color w:val="334155"/>
          <w:sz w:val="21"/>
        </w:rPr>
        <w:t>: An SVG viewport matching the natural dimensions of the image. Bounding boxes, center coordinates, and interactive click markers are rendered as crisp vector primitives with SVG stroke-dasharray animations and hover tooltips.</w:t>
      </w:r>
    </w:p>
    <w:p>
      <w:r>
        <w:br w:type="page"/>
      </w:r>
    </w:p>
    <w:p>
      <w:pPr>
        <w:keepNext/>
        <w:spacing w:before="400" w:after="160"/>
        <w:pBdr>
          <w:bottom w:val="single" w:sz="12" w:space="4" w:color="2B6CB0"/>
        </w:pBdr>
      </w:pPr>
      <w:r>
        <w:rPr>
          <w:rFonts w:ascii="Calibri" w:hAnsi="Calibri"/>
          <w:b/>
          <w:color w:val="1A365D"/>
          <w:sz w:val="34"/>
        </w:rPr>
        <w:t>CHAPTER 7: BACKEND ARCHITECTURE &amp; API GATEWAY</w:t>
      </w:r>
    </w:p>
    <w:p>
      <w:pPr>
        <w:keepNext/>
        <w:spacing w:before="280" w:after="120"/>
      </w:pPr>
      <w:r>
        <w:rPr>
          <w:rFonts w:ascii="Calibri" w:hAnsi="Calibri"/>
          <w:b/>
          <w:color w:val="2B6CB0"/>
          <w:sz w:val="27"/>
        </w:rPr>
        <w:t>7.1 Asynchronous Server Design</w:t>
      </w:r>
    </w:p>
    <w:p>
      <w:pPr>
        <w:spacing w:after="120" w:line="276" w:lineRule="auto"/>
      </w:pPr>
      <w:r>
        <w:rPr>
          <w:rFonts w:ascii="Calibri" w:hAnsi="Calibri"/>
          <w:i w:val="0"/>
          <w:color w:val="1E293B"/>
          <w:sz w:val="21"/>
        </w:rPr>
        <w:t>The SatQuery AI backend is implemented with FastAPI, leveraging Python's asyncio event loop to achieve high concurrent throughput. FastAPI's native dependency injection and Pydantic validation system ensure that all incoming requests are validated against strict schemas before execution, preventing malformed coordinates or corrupt image payloads from propagating to downstream AI engines.</w:t>
      </w:r>
    </w:p>
    <w:p>
      <w:pPr>
        <w:keepNext/>
        <w:spacing w:before="280" w:after="120"/>
      </w:pPr>
      <w:r>
        <w:rPr>
          <w:rFonts w:ascii="Calibri" w:hAnsi="Calibri"/>
          <w:b/>
          <w:color w:val="2B6CB0"/>
          <w:sz w:val="27"/>
        </w:rPr>
        <w:t>7.2 REST API Specification</w:t>
      </w:r>
    </w:p>
    <w:p>
      <w:pPr>
        <w:spacing w:after="120" w:line="276" w:lineRule="auto"/>
      </w:pPr>
      <w:r>
        <w:rPr>
          <w:rFonts w:ascii="Calibri" w:hAnsi="Calibri"/>
          <w:i w:val="0"/>
          <w:color w:val="1E293B"/>
          <w:sz w:val="21"/>
        </w:rPr>
        <w:t>Table 7.1 details the primary REST endpoints exposed by the API Gateway.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28"/>
        <w:gridCol w:w="1152"/>
        <w:gridCol w:w="2592"/>
        <w:gridCol w:w="2592"/>
        <w:gridCol w:w="2304"/>
      </w:tblGrid>
      <w:tr>
        <w:tc>
          <w:tcPr>
            <w:tcW w:type="dxa" w:w="1728"/>
            <w:shd w:fill="1A365D"/>
            <w:tcMar>
              <w:top w:w="100" w:type="dxa"/>
              <w:bottom w:w="100" w:type="dxa"/>
              <w:left w:w="120" w:type="dxa"/>
              <w:right w:w="120" w:type="dxa"/>
            </w:tcMar>
          </w:tcPr>
          <w:p>
            <w:pPr>
              <w:spacing w:after="0"/>
            </w:pPr>
            <w:r>
              <w:rPr>
                <w:rFonts w:ascii="Calibri" w:hAnsi="Calibri"/>
                <w:b/>
                <w:color w:val="FFFFFF"/>
                <w:sz w:val="19"/>
              </w:rPr>
              <w:t>Endpoint</w:t>
            </w:r>
          </w:p>
        </w:tc>
        <w:tc>
          <w:tcPr>
            <w:tcW w:type="dxa" w:w="1152"/>
            <w:shd w:fill="1A365D"/>
            <w:tcMar>
              <w:top w:w="100" w:type="dxa"/>
              <w:bottom w:w="100" w:type="dxa"/>
              <w:left w:w="120" w:type="dxa"/>
              <w:right w:w="120" w:type="dxa"/>
            </w:tcMar>
          </w:tcPr>
          <w:p>
            <w:pPr>
              <w:spacing w:after="0"/>
            </w:pPr>
            <w:r>
              <w:rPr>
                <w:rFonts w:ascii="Calibri" w:hAnsi="Calibri"/>
                <w:b/>
                <w:color w:val="FFFFFF"/>
                <w:sz w:val="19"/>
              </w:rPr>
              <w:t>HTTP Method</w:t>
            </w:r>
          </w:p>
        </w:tc>
        <w:tc>
          <w:tcPr>
            <w:tcW w:type="dxa" w:w="2592"/>
            <w:shd w:fill="1A365D"/>
            <w:tcMar>
              <w:top w:w="100" w:type="dxa"/>
              <w:bottom w:w="100" w:type="dxa"/>
              <w:left w:w="120" w:type="dxa"/>
              <w:right w:w="120" w:type="dxa"/>
            </w:tcMar>
          </w:tcPr>
          <w:p>
            <w:pPr>
              <w:spacing w:after="0"/>
            </w:pPr>
            <w:r>
              <w:rPr>
                <w:rFonts w:ascii="Calibri" w:hAnsi="Calibri"/>
                <w:b/>
                <w:color w:val="FFFFFF"/>
                <w:sz w:val="19"/>
              </w:rPr>
              <w:t>Request Payload</w:t>
            </w:r>
          </w:p>
        </w:tc>
        <w:tc>
          <w:tcPr>
            <w:tcW w:type="dxa" w:w="2592"/>
            <w:shd w:fill="1A365D"/>
            <w:tcMar>
              <w:top w:w="100" w:type="dxa"/>
              <w:bottom w:w="100" w:type="dxa"/>
              <w:left w:w="120" w:type="dxa"/>
              <w:right w:w="120" w:type="dxa"/>
            </w:tcMar>
          </w:tcPr>
          <w:p>
            <w:pPr>
              <w:spacing w:after="0"/>
            </w:pPr>
            <w:r>
              <w:rPr>
                <w:rFonts w:ascii="Calibri" w:hAnsi="Calibri"/>
                <w:b/>
                <w:color w:val="FFFFFF"/>
                <w:sz w:val="19"/>
              </w:rPr>
              <w:t>Response Payload</w:t>
            </w:r>
          </w:p>
        </w:tc>
        <w:tc>
          <w:tcPr>
            <w:tcW w:type="dxa" w:w="2304"/>
            <w:shd w:fill="1A365D"/>
            <w:tcMar>
              <w:top w:w="100" w:type="dxa"/>
              <w:bottom w:w="100" w:type="dxa"/>
              <w:left w:w="120" w:type="dxa"/>
              <w:right w:w="120" w:type="dxa"/>
            </w:tcMar>
          </w:tcPr>
          <w:p>
            <w:pPr>
              <w:spacing w:after="0"/>
            </w:pPr>
            <w:r>
              <w:rPr>
                <w:rFonts w:ascii="Calibri" w:hAnsi="Calibri"/>
                <w:b/>
                <w:color w:val="FFFFFF"/>
                <w:sz w:val="19"/>
              </w:rPr>
              <w:t>Description &amp; Purpose</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/api/analyze</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POST</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 image_path, prompt, session_id }</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 answer, bboxes, mask_url, time_ms }</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Primary multimodal reasoning &amp; visual grounding endpoint.</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/api/segment</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POST</w:t>
            </w:r>
          </w:p>
        </w:tc>
        <w:tc>
          <w:tcPr>
            <w:tcW w:type="dxa" w:w="2592"/>
            <w:shd w:fill="F8FAFC"/>
            <w:tcMar>
              <w:top w:w="70" w:type="dxa"/>
              <w:bottom w:w="70" w:type="dxa"/>
              <w:left w:w="120" w:type="dxa"/>
              <w:right w:w="120" w:type="dxa"/>
            </w:tcMar>
          </w:tcPr>
          <w:p>
            <w:pPr>
              <w:spacing w:after="0" w:line="264" w:lineRule="auto"/>
            </w:pPr>
            <w:r>
              <w:rPr>
                <w:rFonts w:ascii="Calibri" w:hAnsi="Calibri"/>
                <w:color w:val="1E293B"/>
                <w:sz w:val="18"/>
              </w:rPr>
              <w:t>{ image_path, bboxes, points, mode }</w:t>
            </w:r>
          </w:p>
        </w:tc>
        <w:tc>
          <w:tcPr>
            <w:tcW w:type="dxa" w:w="2592"/>
            <w:shd w:fill="F8FAFC"/>
            <w:tcMar>
              <w:top w:w="70" w:type="dxa"/>
              <w:bottom w:w="70" w:type="dxa"/>
              <w:left w:w="120" w:type="dxa"/>
              <w:right w:w="120" w:type="dxa"/>
            </w:tcMar>
          </w:tcPr>
          <w:p>
            <w:pPr>
              <w:spacing w:after="0" w:line="264" w:lineRule="auto"/>
            </w:pPr>
            <w:r>
              <w:rPr>
                <w:rFonts w:ascii="Calibri" w:hAnsi="Calibri"/>
                <w:color w:val="1E293B"/>
                <w:sz w:val="18"/>
              </w:rPr>
              <w:t>{ mask_url, iou_score, engine_used }</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Direct segmentation endpoint for interactive point/box prompts.</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/api/upload</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POST</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Multipart Form Data (file: image)</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 file_url, width, height, format }</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Ingests satellite imagery, validates format, caches locally.</w:t>
            </w:r>
          </w:p>
        </w:tc>
      </w:tr>
      <w:tr>
        <w:tc>
          <w:tcPr>
            <w:tcW w:type="dxa" w:w="1728"/>
            <w:shd w:fill="F8FAFC"/>
            <w:tcMar>
              <w:top w:w="70" w:type="dxa"/>
              <w:bottom w:w="70" w:type="dxa"/>
              <w:left w:w="120" w:type="dxa"/>
              <w:right w:w="120" w:type="dxa"/>
            </w:tcMar>
          </w:tcPr>
          <w:p>
            <w:pPr>
              <w:spacing w:after="0" w:line="264" w:lineRule="auto"/>
            </w:pPr>
            <w:r>
              <w:rPr>
                <w:rFonts w:ascii="Calibri" w:hAnsi="Calibri"/>
                <w:color w:val="1E293B"/>
                <w:sz w:val="18"/>
              </w:rPr>
              <w:t>/api/sessions/{id}</w:t>
            </w:r>
          </w:p>
        </w:tc>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GET</w:t>
            </w:r>
          </w:p>
        </w:tc>
        <w:tc>
          <w:tcPr>
            <w:tcW w:type="dxa" w:w="2592"/>
            <w:shd w:fill="F8FAFC"/>
            <w:tcMar>
              <w:top w:w="70" w:type="dxa"/>
              <w:bottom w:w="70" w:type="dxa"/>
              <w:left w:w="120" w:type="dxa"/>
              <w:right w:w="120" w:type="dxa"/>
            </w:tcMar>
          </w:tcPr>
          <w:p>
            <w:pPr>
              <w:spacing w:after="0" w:line="264" w:lineRule="auto"/>
            </w:pPr>
            <w:r>
              <w:rPr>
                <w:rFonts w:ascii="Calibri" w:hAnsi="Calibri"/>
                <w:color w:val="1E293B"/>
                <w:sz w:val="18"/>
              </w:rPr>
              <w:t>Path Parameter: id</w:t>
            </w:r>
          </w:p>
        </w:tc>
        <w:tc>
          <w:tcPr>
            <w:tcW w:type="dxa" w:w="2592"/>
            <w:shd w:fill="F8FAFC"/>
            <w:tcMar>
              <w:top w:w="70" w:type="dxa"/>
              <w:bottom w:w="70" w:type="dxa"/>
              <w:left w:w="120" w:type="dxa"/>
              <w:right w:w="120" w:type="dxa"/>
            </w:tcMar>
          </w:tcPr>
          <w:p>
            <w:pPr>
              <w:spacing w:after="0" w:line="264" w:lineRule="auto"/>
            </w:pPr>
            <w:r>
              <w:rPr>
                <w:rFonts w:ascii="Calibri" w:hAnsi="Calibri"/>
                <w:color w:val="1E293B"/>
                <w:sz w:val="18"/>
              </w:rPr>
              <w:t>{ session_id, history: [messages] }</w:t>
            </w:r>
          </w:p>
        </w:tc>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Retrieves persisted conversation turns and mask history.</w:t>
            </w:r>
          </w:p>
        </w:tc>
      </w:tr>
      <w:tr>
        <w:tc>
          <w:tcPr>
            <w:tcW w:type="dxa" w:w="1728"/>
            <w:tcMar>
              <w:top w:w="70" w:type="dxa"/>
              <w:bottom w:w="70" w:type="dxa"/>
              <w:left w:w="120" w:type="dxa"/>
              <w:right w:w="120" w:type="dxa"/>
            </w:tcMar>
          </w:tcPr>
          <w:p>
            <w:pPr>
              <w:spacing w:after="0" w:line="264" w:lineRule="auto"/>
            </w:pPr>
            <w:r>
              <w:rPr>
                <w:rFonts w:ascii="Calibri" w:hAnsi="Calibri"/>
                <w:color w:val="1E293B"/>
                <w:sz w:val="18"/>
              </w:rPr>
              <w:t>/api/health</w:t>
            </w:r>
          </w:p>
        </w:tc>
        <w:tc>
          <w:tcPr>
            <w:tcW w:type="dxa" w:w="1152"/>
            <w:tcMar>
              <w:top w:w="70" w:type="dxa"/>
              <w:bottom w:w="70" w:type="dxa"/>
              <w:left w:w="120" w:type="dxa"/>
              <w:right w:w="120" w:type="dxa"/>
            </w:tcMar>
          </w:tcPr>
          <w:p>
            <w:pPr>
              <w:spacing w:after="0" w:line="264" w:lineRule="auto"/>
            </w:pPr>
            <w:r>
              <w:rPr>
                <w:rFonts w:ascii="Calibri" w:hAnsi="Calibri"/>
                <w:color w:val="1E293B"/>
                <w:sz w:val="18"/>
              </w:rPr>
              <w:t>GET</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None</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 status: 'ok', gpu: bool, sam_ready: bool }</w:t>
            </w:r>
          </w:p>
        </w:tc>
        <w:tc>
          <w:tcPr>
            <w:tcW w:type="dxa" w:w="2304"/>
            <w:tcMar>
              <w:top w:w="70" w:type="dxa"/>
              <w:bottom w:w="70" w:type="dxa"/>
              <w:left w:w="120" w:type="dxa"/>
              <w:right w:w="120" w:type="dxa"/>
            </w:tcMar>
          </w:tcPr>
          <w:p>
            <w:pPr>
              <w:spacing w:after="0" w:line="264" w:lineRule="auto"/>
            </w:pPr>
            <w:r>
              <w:rPr>
                <w:rFonts w:ascii="Calibri" w:hAnsi="Calibri"/>
                <w:color w:val="1E293B"/>
                <w:sz w:val="18"/>
              </w:rPr>
              <w:t>Health check probe for monitoring container readiness.</w:t>
            </w:r>
          </w:p>
        </w:tc>
      </w:tr>
    </w:tbl>
    <w:p>
      <w:pPr>
        <w:spacing w:before="80" w:after="160"/>
        <w:jc w:val="center"/>
      </w:pPr>
      <w:r>
        <w:rPr>
          <w:rFonts w:ascii="Calibri" w:hAnsi="Calibri"/>
          <w:b/>
          <w:i/>
          <w:color w:val="475569"/>
          <w:sz w:val="19"/>
        </w:rPr>
        <w:t>Table 7.1: FastAPI Core REST Endpoints &amp; Data Contracts</w:t>
      </w:r>
    </w:p>
    <w:p>
      <w:pPr>
        <w:keepNext/>
        <w:spacing w:before="280" w:after="120"/>
      </w:pPr>
      <w:r>
        <w:rPr>
          <w:rFonts w:ascii="Calibri" w:hAnsi="Calibri"/>
          <w:b/>
          <w:color w:val="2B6CB0"/>
          <w:sz w:val="27"/>
        </w:rPr>
        <w:t>7.3 Lifespan Management &amp; Model Pre-loading</w:t>
      </w:r>
    </w:p>
    <w:p>
      <w:pPr>
        <w:spacing w:after="120" w:line="276" w:lineRule="auto"/>
      </w:pPr>
      <w:r>
        <w:rPr>
          <w:rFonts w:ascii="Calibri" w:hAnsi="Calibri"/>
          <w:i w:val="0"/>
          <w:color w:val="1E293B"/>
          <w:sz w:val="21"/>
        </w:rPr>
        <w:t>Loading deep learning weights (SAM 2.1 Hiera-B+ checkpoint is approximately 400 MB to 1.8 GB) incurs a 3 to 6-second delay. To eliminate this latency during user interactions, SatQuery AI utilizes FastAPI's modern @asynccontextmanager lifespan handler. Upon application startup, the server initializes the PyTorch CUDA device, loads the SAM 2.1 checkpoint into GPU VRAM, compiles the inference graph, and verifies API connectivity with the Gemini Vision service. When the server shuts down, the lifespan handler explicitly releases GPU memory via torch.cuda.empty_cache().</w:t>
      </w:r>
    </w:p>
    <w:p>
      <w:r>
        <w:br w:type="page"/>
      </w:r>
    </w:p>
    <w:p>
      <w:pPr>
        <w:keepNext/>
        <w:spacing w:before="400" w:after="160"/>
        <w:pBdr>
          <w:bottom w:val="single" w:sz="12" w:space="4" w:color="2B6CB0"/>
        </w:pBdr>
      </w:pPr>
      <w:r>
        <w:rPr>
          <w:rFonts w:ascii="Calibri" w:hAnsi="Calibri"/>
          <w:b/>
          <w:color w:val="1A365D"/>
          <w:sz w:val="34"/>
        </w:rPr>
        <w:t>CHAPTER 8: VLM REASONING ENGINE &amp; PROMPT ENGINEERING</w:t>
      </w:r>
    </w:p>
    <w:p>
      <w:pPr>
        <w:keepNext/>
        <w:spacing w:before="280" w:after="120"/>
      </w:pPr>
      <w:r>
        <w:rPr>
          <w:rFonts w:ascii="Calibri" w:hAnsi="Calibri"/>
          <w:b/>
          <w:color w:val="2B6CB0"/>
          <w:sz w:val="27"/>
        </w:rPr>
        <w:t>8.1 Vision-Language Model Integration</w:t>
      </w:r>
    </w:p>
    <w:p>
      <w:pPr>
        <w:spacing w:after="120" w:line="276" w:lineRule="auto"/>
      </w:pPr>
      <w:r>
        <w:rPr>
          <w:rFonts w:ascii="Calibri" w:hAnsi="Calibri"/>
          <w:i w:val="0"/>
          <w:color w:val="1E293B"/>
          <w:sz w:val="21"/>
        </w:rPr>
        <w:t>At the core of SatQuery AI's conversational intelligence is Google DeepMind's Gemini 2.0 Flash multimodal model. Gemini 2.0 Flash was chosen because of its exceptional visual reasoning speed (sub-second time-to-first-token), native multimodal tokenization, large context window (over 1 million tokens), and superior performance on spatial coordinate extraction benchmarks compared to prior generations.</w:t>
      </w:r>
    </w:p>
    <w:p>
      <w:pPr>
        <w:keepNext/>
        <w:spacing w:before="280" w:after="120"/>
      </w:pPr>
      <w:r>
        <w:rPr>
          <w:rFonts w:ascii="Calibri" w:hAnsi="Calibri"/>
          <w:b/>
          <w:color w:val="2B6CB0"/>
          <w:sz w:val="27"/>
        </w:rPr>
        <w:t>8.2 Grounding Prompt Architecture</w:t>
      </w:r>
    </w:p>
    <w:p>
      <w:pPr>
        <w:spacing w:after="120" w:line="276" w:lineRule="auto"/>
      </w:pPr>
      <w:r>
        <w:rPr>
          <w:rFonts w:ascii="Calibri" w:hAnsi="Calibri"/>
          <w:i w:val="0"/>
          <w:color w:val="1E293B"/>
          <w:sz w:val="21"/>
        </w:rPr>
        <w:t>Standard conversational prompts fail to elicit precise bounding coordinates from LLMs. To force the model to output mathematically grounded spatial coordinates alongside its textual reasoning, SatQuery AI employs a strict system prompt instruction harness.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You are SatQuery AI, an expert Earth Observation and Satellite Remote Sensing Specialist.</w:t>
              <w:br/>
              <w:t>Analyze the provided satellite image with respect to the user query.</w:t>
              <w:br/>
              <w:br/>
              <w:t>STRICT OPERATIONAL GUIDELINES:</w:t>
              <w:br/>
              <w:t>1. Provide a rigorous, academic-grade analytical response explaining the visual features,</w:t>
              <w:br/>
              <w:t xml:space="preserve">   environmental context, building densities, water conditions, or infrastructure observed.</w:t>
              <w:br/>
              <w:t>2. For any physical object, feature, or region relevant to the query (e.g. flooded area,</w:t>
              <w:br/>
              <w:t xml:space="preserve">   buildings, roads, fields, water bodies), extract its bounding box in NORMALIZED [0, 1000] space:</w:t>
              <w:br/>
              <w:t xml:space="preserve">   Format: [ymin, xmin, ymax, xmax] where:</w:t>
              <w:br/>
              <w:t xml:space="preserve">   - ymin: Top boundary (0 = top edge of image, 1000 = bottom edge)</w:t>
              <w:br/>
              <w:t xml:space="preserve">   - xmin: Left boundary (0 = left edge of image, 1000 = right edge)</w:t>
              <w:br/>
              <w:t xml:space="preserve">   - ymax: Bottom boundary</w:t>
              <w:br/>
              <w:t xml:space="preserve">   - xmax: Right boundary</w:t>
              <w:br/>
              <w:t>3. Output your final response strictly in valid JSON format:</w:t>
              <w:br/>
              <w:t xml:space="preserve">   {</w:t>
              <w:br/>
              <w:t xml:space="preserve">     "analysis": "Detailed domain-specific explanation...",</w:t>
              <w:br/>
              <w:t xml:space="preserve">     "grounding_targets": [</w:t>
              <w:br/>
              <w:t xml:space="preserve">       {</w:t>
              <w:br/>
              <w:t xml:space="preserve">         "label": "Flooded Residential Basin",</w:t>
              <w:br/>
              <w:t xml:space="preserve">         "box_2d": [ymin, xmin, ymax, xmax],</w:t>
              <w:br/>
              <w:t xml:space="preserve">         "confidence": 0.94</w:t>
              <w:br/>
              <w:t xml:space="preserve">       }</w:t>
              <w:br/>
              <w:t xml:space="preserve">     ]</w:t>
              <w:br/>
              <w:t xml:space="preserve">   }</w:t>
              <w:br/>
              <w:t>DO NOT include conversational filler, markdown fences, or unescaped characters outside the JSON.</w:t>
            </w:r>
          </w:p>
        </w:tc>
      </w:tr>
    </w:tbl>
    <w:p>
      <w:pPr>
        <w:spacing w:before="80" w:after="160"/>
        <w:jc w:val="center"/>
      </w:pPr>
      <w:r>
        <w:rPr>
          <w:rFonts w:ascii="Calibri" w:hAnsi="Calibri"/>
          <w:b/>
          <w:i/>
          <w:color w:val="475569"/>
          <w:sz w:val="19"/>
        </w:rPr>
        <w:t>Figure 8.1: Vision-Language Grounding System Prompt Specification</w:t>
      </w:r>
    </w:p>
    <w:p>
      <w:pPr>
        <w:keepNext/>
        <w:spacing w:before="280" w:after="120"/>
      </w:pPr>
      <w:r>
        <w:rPr>
          <w:rFonts w:ascii="Calibri" w:hAnsi="Calibri"/>
          <w:b/>
          <w:color w:val="2B6CB0"/>
          <w:sz w:val="27"/>
        </w:rPr>
        <w:t>8.3 Robust JSON Parsing &amp; Schema Recovery</w:t>
      </w:r>
    </w:p>
    <w:p>
      <w:pPr>
        <w:spacing w:after="120" w:line="276" w:lineRule="auto"/>
      </w:pPr>
      <w:r>
        <w:rPr>
          <w:rFonts w:ascii="Calibri" w:hAnsi="Calibri"/>
          <w:i w:val="0"/>
          <w:color w:val="1E293B"/>
          <w:sz w:val="21"/>
        </w:rPr>
        <w:t>Large language models frequently wrap JSON in markdown fences (e.g. ```json ... ```) or append trailing conversational text. To ensure 100% execution reliability, the backend implements a resilient multi-stage JSON parser:</w:t>
      </w:r>
    </w:p>
    <w:p>
      <w:pPr>
        <w:pStyle w:val="ListBullet"/>
        <w:spacing w:after="80" w:line="276" w:lineRule="auto"/>
      </w:pPr>
      <w:r>
        <w:rPr>
          <w:rFonts w:ascii="Calibri" w:hAnsi="Calibri"/>
          <w:b/>
          <w:color w:val="1A365D"/>
          <w:sz w:val="21"/>
        </w:rPr>
        <w:t>Regex Extraction</w:t>
      </w:r>
      <w:r>
        <w:rPr>
          <w:rFonts w:ascii="Calibri" w:hAnsi="Calibri"/>
          <w:color w:val="334155"/>
          <w:sz w:val="21"/>
        </w:rPr>
        <w:t>: Uses regular expressions to extract the largest substring bounded by outermost braces { and }.</w:t>
      </w:r>
    </w:p>
    <w:p>
      <w:pPr>
        <w:pStyle w:val="ListBullet"/>
        <w:spacing w:after="80" w:line="276" w:lineRule="auto"/>
      </w:pPr>
      <w:r>
        <w:rPr>
          <w:rFonts w:ascii="Calibri" w:hAnsi="Calibri"/>
          <w:b/>
          <w:color w:val="1A365D"/>
          <w:sz w:val="21"/>
        </w:rPr>
        <w:t>Escape Sanitization</w:t>
      </w:r>
      <w:r>
        <w:rPr>
          <w:rFonts w:ascii="Calibri" w:hAnsi="Calibri"/>
          <w:color w:val="334155"/>
          <w:sz w:val="21"/>
        </w:rPr>
        <w:t>: Normalizes unescaped newlines and control characters within string literals.</w:t>
      </w:r>
    </w:p>
    <w:p>
      <w:pPr>
        <w:pStyle w:val="ListBullet"/>
        <w:spacing w:after="80" w:line="276" w:lineRule="auto"/>
      </w:pPr>
      <w:r>
        <w:rPr>
          <w:rFonts w:ascii="Calibri" w:hAnsi="Calibri"/>
          <w:b/>
          <w:color w:val="1A365D"/>
          <w:sz w:val="21"/>
        </w:rPr>
        <w:t>Pydantic Fallback Validation</w:t>
      </w:r>
      <w:r>
        <w:rPr>
          <w:rFonts w:ascii="Calibri" w:hAnsi="Calibri"/>
          <w:color w:val="334155"/>
          <w:sz w:val="21"/>
        </w:rPr>
        <w:t>: If JSON parsing encounters a fatal syntax error, the backend gracefully recovers the raw text, assigns default bounding coordinates spanning the full image frame [0, 0, 1000, 1000], and logs a warning for telemetry.</w:t>
      </w:r>
    </w:p>
    <w:p>
      <w:r>
        <w:br w:type="page"/>
      </w:r>
    </w:p>
    <w:p>
      <w:pPr>
        <w:keepNext/>
        <w:spacing w:before="400" w:after="160"/>
        <w:pBdr>
          <w:bottom w:val="single" w:sz="12" w:space="4" w:color="2B6CB0"/>
        </w:pBdr>
      </w:pPr>
      <w:r>
        <w:rPr>
          <w:rFonts w:ascii="Calibri" w:hAnsi="Calibri"/>
          <w:b/>
          <w:color w:val="1A365D"/>
          <w:sz w:val="34"/>
        </w:rPr>
        <w:t>CHAPTER 9: DENSE GROUNDING SERVICE &amp; COORDINATE SPACES</w:t>
      </w:r>
    </w:p>
    <w:p>
      <w:pPr>
        <w:keepNext/>
        <w:spacing w:before="280" w:after="120"/>
      </w:pPr>
      <w:r>
        <w:rPr>
          <w:rFonts w:ascii="Calibri" w:hAnsi="Calibri"/>
          <w:b/>
          <w:color w:val="2B6CB0"/>
          <w:sz w:val="27"/>
        </w:rPr>
        <w:t>9.1 The Multi-Coordinate Transformation Problem</w:t>
      </w:r>
    </w:p>
    <w:p>
      <w:pPr>
        <w:spacing w:after="120" w:line="276" w:lineRule="auto"/>
      </w:pPr>
      <w:r>
        <w:rPr>
          <w:rFonts w:ascii="Calibri" w:hAnsi="Calibri"/>
          <w:i w:val="0"/>
          <w:color w:val="1E293B"/>
          <w:sz w:val="21"/>
        </w:rPr>
        <w:t>A central mathematical complexity in multimodal geospatial intelligence is reconciling three fundamentally incompatible coordinate systems:</w:t>
      </w:r>
    </w:p>
    <w:p>
      <w:pPr>
        <w:pStyle w:val="ListBullet"/>
        <w:spacing w:after="80" w:line="276" w:lineRule="auto"/>
      </w:pPr>
      <w:r>
        <w:rPr>
          <w:rFonts w:ascii="Calibri" w:hAnsi="Calibri"/>
          <w:b/>
          <w:color w:val="1A365D"/>
          <w:sz w:val="21"/>
        </w:rPr>
        <w:t>Normalized VLM Coordinate Space</w:t>
      </w:r>
      <w:r>
        <w:rPr>
          <w:rFonts w:ascii="Calibri" w:hAnsi="Calibri"/>
          <w:color w:val="334155"/>
          <w:sz w:val="21"/>
        </w:rPr>
        <w:t>: Discrete integers in the range [0, 1000] representing fractional coordinates relative to the model's standardized input tensor.</w:t>
      </w:r>
    </w:p>
    <w:p>
      <w:pPr>
        <w:pStyle w:val="ListBullet"/>
        <w:spacing w:after="80" w:line="276" w:lineRule="auto"/>
      </w:pPr>
      <w:r>
        <w:rPr>
          <w:rFonts w:ascii="Calibri" w:hAnsi="Calibri"/>
          <w:b/>
          <w:color w:val="1A365D"/>
          <w:sz w:val="21"/>
        </w:rPr>
        <w:t>Native Image Pixel Space</w:t>
      </w:r>
      <w:r>
        <w:rPr>
          <w:rFonts w:ascii="Calibri" w:hAnsi="Calibri"/>
          <w:color w:val="334155"/>
          <w:sz w:val="21"/>
        </w:rPr>
        <w:t>: Discrete matrix indices (x, y) in the range [0, W - 1] x [0, H - 1], where W and H are the physical pixel dimensions of the raw uploaded raster.</w:t>
      </w:r>
    </w:p>
    <w:p>
      <w:pPr>
        <w:pStyle w:val="ListBullet"/>
        <w:spacing w:after="80" w:line="276" w:lineRule="auto"/>
      </w:pPr>
      <w:r>
        <w:rPr>
          <w:rFonts w:ascii="Calibri" w:hAnsi="Calibri"/>
          <w:b/>
          <w:color w:val="1A365D"/>
          <w:sz w:val="21"/>
        </w:rPr>
        <w:t>Geographic Coordinate Reference System (CRS)</w:t>
      </w:r>
      <w:r>
        <w:rPr>
          <w:rFonts w:ascii="Calibri" w:hAnsi="Calibri"/>
          <w:color w:val="334155"/>
          <w:sz w:val="21"/>
        </w:rPr>
        <w:t>: Continuous real-world coordinates (Latitude, Longitude in EPSG:4326 WGS84, or projected meters in EPSG:3857 Web Mercator).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COORDINATE TRANSFORMATION PIPELINE IN SATQUERY AI                   |</w:t>
              <w:br/>
              <w:t>|                                                                                   |</w:t>
              <w:br/>
              <w:t>|  [Normalized VLM Space]                 [Native Image Space]                      |</w:t>
              <w:br/>
              <w:t>|  ymin, xmin, ymax, xmax                 X_min = (xmin / 1000) * Width             |</w:t>
              <w:br/>
              <w:t>|  Values in [0, 1000]        =======&gt;   Y_min = (ymin / 1000) * Height             |</w:t>
              <w:br/>
              <w:t>|  Discrete Integer Bins                  X_max = (xmax / 1000) * Width             |</w:t>
              <w:br/>
              <w:t>|                                         Y_max = (ymax / 1000) * Height            |</w:t>
              <w:br/>
              <w:t>|                                                      |                            |</w:t>
              <w:br/>
              <w:t>|                                                      v                            |</w:t>
              <w:br/>
              <w:t>|                                         [SAM 2.1 Prompt Tensor]                   |</w:t>
              <w:br/>
              <w:t>|                                         np.array([[X_min, Y_min, X_max, Y_max]])  |</w:t>
              <w:br/>
              <w:t>|                                                      |                            |</w:t>
              <w:br/>
              <w:t>|                                                      v                            |</w:t>
              <w:br/>
              <w:t>|                                         [Binary Pixel Mask]                       |</w:t>
              <w:br/>
              <w:t>|                                         Boolean Matrix M in {0, 1}^(H x W)        |</w:t>
              <w:br/>
              <w:t>|                                                      |                            |</w:t>
              <w:br/>
              <w:t>|                                                      v                            |</w:t>
              <w:br/>
              <w:t>|                                         [Mapbox GL Geo-Referencing]               |</w:t>
              <w:br/>
              <w:t>|                                         Affine Transform: (X, Y) -&gt; (Lat, Lng)    |</w:t>
              <w:br/>
              <w:t>+-----------------------------------------------------------------------------------+</w:t>
            </w:r>
          </w:p>
        </w:tc>
      </w:tr>
    </w:tbl>
    <w:p>
      <w:pPr>
        <w:spacing w:before="80" w:after="160"/>
        <w:jc w:val="center"/>
      </w:pPr>
      <w:r>
        <w:rPr>
          <w:rFonts w:ascii="Calibri" w:hAnsi="Calibri"/>
          <w:b/>
          <w:i/>
          <w:color w:val="475569"/>
          <w:sz w:val="19"/>
        </w:rPr>
        <w:t>Figure 9.1: Coordinate Space Transformation Matrix &amp; Flow</w:t>
      </w:r>
    </w:p>
    <w:p>
      <w:pPr>
        <w:keepNext/>
        <w:spacing w:before="280" w:after="120"/>
      </w:pPr>
      <w:r>
        <w:rPr>
          <w:rFonts w:ascii="Calibri" w:hAnsi="Calibri"/>
          <w:b/>
          <w:color w:val="2B6CB0"/>
          <w:sz w:val="27"/>
        </w:rPr>
        <w:t>9.2 Mathematical Formulation of Bounding Transformation</w:t>
      </w:r>
    </w:p>
    <w:p>
      <w:pPr>
        <w:spacing w:after="120" w:line="276" w:lineRule="auto"/>
      </w:pPr>
      <w:r>
        <w:rPr>
          <w:rFonts w:ascii="Calibri" w:hAnsi="Calibri"/>
          <w:i w:val="0"/>
          <w:color w:val="1E293B"/>
          <w:sz w:val="21"/>
        </w:rPr>
        <w:t>Let (y_{min}^{VLM}, x_{min}^{VLM}, y_{max}^{VLM}, x_{max}^{VLM}) be the normalized bounding box tokens produced by the VLM. Let W and H denote the width and height of the original image raster in pixels. The mapping to image pixel coordinates [X_1, Y_1, X_2, Y_2] is defined by:</w:t>
      </w:r>
    </w:p>
    <w:p>
      <w:pPr>
        <w:spacing w:after="120" w:line="276" w:lineRule="auto"/>
      </w:pPr>
      <w:r>
        <w:rPr>
          <w:rFonts w:ascii="Calibri" w:hAnsi="Calibri"/>
          <w:b/>
          <w:color w:val="1A365D"/>
        </w:rPr>
        <w:t xml:space="preserve">Affine Mapping Equations: </w:t>
      </w:r>
      <w:r>
        <w:rPr>
          <w:rFonts w:ascii="Calibri" w:hAnsi="Calibri"/>
          <w:i w:val="0"/>
          <w:color w:val="1E293B"/>
          <w:sz w:val="21"/>
        </w:rPr>
        <w:t>X_1 = clamp( round( (x_{min}^{VLM} / 1000.0) * W ), 0, W - 1 )</w:t>
        <w:br/>
        <w:t>Y_1 = clamp( round( (y_{min}^{VLM} / 1000.0) * H ), 0, H - 1 )</w:t>
        <w:br/>
        <w:t>X_2 = clamp( round( (x_{max}^{VLM} / 1000.0) * W ), X_1 + 1, W )</w:t>
        <w:br/>
        <w:t>Y_2 = clamp( round( (y_{max}^{VLM} / 1000.0) * H ), Y_1 + 1, H )</w:t>
      </w:r>
    </w:p>
    <w:p>
      <w:pPr>
        <w:spacing w:after="120" w:line="276" w:lineRule="auto"/>
      </w:pPr>
      <w:r>
        <w:rPr>
          <w:rFonts w:ascii="Calibri" w:hAnsi="Calibri"/>
          <w:i w:val="0"/>
          <w:color w:val="1E293B"/>
          <w:sz w:val="21"/>
        </w:rPr>
        <w:t>Clamping guarantees that rounding errors cannot produce coordinates outside the image boundary, which would trigger CUDA runtime assertion faults inside PyTorch tensor slicing operations.</w:t>
      </w:r>
    </w:p>
    <w:p>
      <w:r>
        <w:br w:type="page"/>
      </w:r>
    </w:p>
    <w:p>
      <w:pPr>
        <w:keepNext/>
        <w:spacing w:before="400" w:after="160"/>
        <w:pBdr>
          <w:bottom w:val="single" w:sz="12" w:space="4" w:color="2B6CB0"/>
        </w:pBdr>
      </w:pPr>
      <w:r>
        <w:rPr>
          <w:rFonts w:ascii="Calibri" w:hAnsi="Calibri"/>
          <w:b/>
          <w:color w:val="1A365D"/>
          <w:sz w:val="34"/>
        </w:rPr>
        <w:t>CHAPTER 10: SAM 2.1 VISUAL SEGMENTATION ARCHITECTURE</w:t>
      </w:r>
    </w:p>
    <w:p>
      <w:pPr>
        <w:keepNext/>
        <w:spacing w:before="280" w:after="120"/>
      </w:pPr>
      <w:r>
        <w:rPr>
          <w:rFonts w:ascii="Calibri" w:hAnsi="Calibri"/>
          <w:b/>
          <w:color w:val="2B6CB0"/>
          <w:sz w:val="27"/>
        </w:rPr>
        <w:t>10.1 Meta Segment Anything Model 2.1 (SAM 2.1)</w:t>
      </w:r>
    </w:p>
    <w:p>
      <w:pPr>
        <w:spacing w:after="120" w:line="276" w:lineRule="auto"/>
      </w:pPr>
      <w:r>
        <w:rPr>
          <w:rFonts w:ascii="Calibri" w:hAnsi="Calibri"/>
          <w:i w:val="0"/>
          <w:color w:val="1E293B"/>
          <w:sz w:val="21"/>
        </w:rPr>
        <w:t>SAM 2.1 represents a quantum leap over the original SAM architecture. Developed by Meta AI, SAM 2.1 unifies real-time promptable segmentation across both single images and continuous video sequences. It introduces a hierarchical Hiera vision transformer backbone that processes multiscale feature maps with significantly reduced computational complexity compared to standard ViT backbones.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SAM 2.1 IMAGE PREDICTOR ARCHITECTURE                       |</w:t>
              <w:br/>
              <w:t>|                                                                                   |</w:t>
              <w:br/>
              <w:t>|  [Input Satellite Image]                                                          |</w:t>
              <w:br/>
              <w:t>|         |                                                                         |</w:t>
              <w:br/>
              <w:t>|         v                                                                         |</w:t>
              <w:br/>
              <w:t>|  +-----------------------------------------------------------------------------+  |</w:t>
              <w:br/>
              <w:t>|  | Hiera Hierarchical Vision Transformer (Image Encoder)                       |  |</w:t>
              <w:br/>
              <w:t>|  | - Multiscale Feature Pyramids: F1 (1/4), F2 (1/8), F3 (1/16), F4 (1/32)      |  |</w:t>
              <w:br/>
              <w:t>|  | - Window Attention &amp; Global Cross-Attention Blocks                          |  |</w:t>
              <w:br/>
              <w:t>|  +-----------------------------------------------------------------------------+  |</w:t>
              <w:br/>
              <w:t>|         |                                                                         |</w:t>
              <w:br/>
              <w:t>|         +-----------------------+                                                 |</w:t>
              <w:br/>
              <w:t>|                                 v                                                 |</w:t>
              <w:br/>
              <w:t>|  [Dense Image Embedding Tensor] (256 channels)                                    |</w:t>
              <w:br/>
              <w:t>|                                 |                                                 |</w:t>
              <w:br/>
              <w:t>|  [Prompt Inputs]                |                                                 |</w:t>
              <w:br/>
              <w:t>|  - Bounding Box [X1, Y1, X2, Y2] |                                                 |</w:t>
              <w:br/>
              <w:t>|  - Foreground Points (+1)       |                                                 |</w:t>
              <w:br/>
              <w:t>|  - Background Points (0)        v                                                 |</w:t>
              <w:br/>
              <w:t>|  +-----------------------------------------------------------------------------+  |</w:t>
              <w:br/>
              <w:t>|  | Lightweight Mask Decoder &amp; Ambiguity Disambiguation Head                    |  |</w:t>
              <w:br/>
              <w:t>|  | - Two-Way Cross-Attention between Prompt Tokens &amp; Image Embeddings          |  |</w:t>
              <w:br/>
              <w:t>|  | - Predicts 3 Candidate Masks: {Whole Object, Sub-Part, Atomic Detail}         |  |</w:t>
              <w:br/>
              <w:t>|  | - Predicts IoU Confidence Score for each Candidate Mask                     |  |</w:t>
              <w:br/>
              <w:t>|  +-----------------------------------------------------------------------------+  |</w:t>
              <w:br/>
              <w:t>|         |                                                                         |</w:t>
              <w:br/>
              <w:t>|         v                                                                         |</w:t>
              <w:br/>
              <w:t>|  [Highest IoU Binary Mask M(x, y)] in {0, 1}^(H x W)                              |</w:t>
              <w:br/>
              <w:t>+-----------------------------------------------------------------------------------+</w:t>
            </w:r>
          </w:p>
        </w:tc>
      </w:tr>
    </w:tbl>
    <w:p>
      <w:pPr>
        <w:spacing w:before="80" w:after="160"/>
        <w:jc w:val="center"/>
      </w:pPr>
      <w:r>
        <w:rPr>
          <w:rFonts w:ascii="Calibri" w:hAnsi="Calibri"/>
          <w:b/>
          <w:i/>
          <w:color w:val="475569"/>
          <w:sz w:val="19"/>
        </w:rPr>
        <w:t>Figure 10.1: Meta SAM 2.1 Image Predictor Architecture &amp; Prompt Decoding</w:t>
      </w:r>
    </w:p>
    <w:p>
      <w:pPr>
        <w:keepNext/>
        <w:spacing w:before="280" w:after="120"/>
      </w:pPr>
      <w:r>
        <w:rPr>
          <w:rFonts w:ascii="Calibri" w:hAnsi="Calibri"/>
          <w:b/>
          <w:color w:val="2B6CB0"/>
          <w:sz w:val="27"/>
        </w:rPr>
        <w:t>10.2 Image Embedding Caching Strategy</w:t>
      </w:r>
    </w:p>
    <w:p>
      <w:pPr>
        <w:spacing w:after="120" w:line="276" w:lineRule="auto"/>
      </w:pPr>
      <w:r>
        <w:rPr>
          <w:rFonts w:ascii="Calibri" w:hAnsi="Calibri"/>
          <w:i w:val="0"/>
          <w:color w:val="1E293B"/>
          <w:sz w:val="21"/>
        </w:rPr>
        <w:t>In interactive geospatial applications, a user often performs multiple consecutive interactions on the same satellite scene (e.g., asking follow-up questions, adding negative click points to remove false detections, or tuning opacity). In SAM 2.1, the image encoding step (Hiera backbone) consumes over 85% of total inference time (approximately 180 ms), whereas the prompt decoding step consumes only 15 to 30 ms.</w:t>
      </w:r>
    </w:p>
    <w:p>
      <w:pPr>
        <w:spacing w:after="120" w:line="276" w:lineRule="auto"/>
      </w:pPr>
      <w:r>
        <w:rPr>
          <w:rFonts w:ascii="Calibri" w:hAnsi="Calibri"/>
          <w:i w:val="0"/>
          <w:color w:val="1E293B"/>
          <w:sz w:val="21"/>
        </w:rPr>
        <w:t>SatQuery AI exploits this asymmetry by implementing an Image Embedding Cache. When an image is first processed, its 256-channel Hiera feature embedding tensor is retained in GPU memory. Subsequent point-prompt or box-prompt adjustments bypass the heavy encoder entirely, executing only the lightweight mask decoder. This delivers real-time sub-50ms interactive responsiveness.</w:t>
      </w:r>
    </w:p>
    <w:p>
      <w:pPr>
        <w:keepNext/>
        <w:spacing w:before="280" w:after="120"/>
      </w:pPr>
      <w:r>
        <w:rPr>
          <w:rFonts w:ascii="Calibri" w:hAnsi="Calibri"/>
          <w:b/>
          <w:color w:val="2B6CB0"/>
          <w:sz w:val="27"/>
        </w:rPr>
        <w:t>10.3 Multi-Mask Ambiguity Resolution</w:t>
      </w:r>
    </w:p>
    <w:p>
      <w:pPr>
        <w:spacing w:after="120" w:line="276" w:lineRule="auto"/>
      </w:pPr>
      <w:r>
        <w:rPr>
          <w:rFonts w:ascii="Calibri" w:hAnsi="Calibri"/>
          <w:i w:val="0"/>
          <w:color w:val="1E293B"/>
          <w:sz w:val="21"/>
        </w:rPr>
        <w:t>When prompted with a single click point or bounding box, a visual target in satellite imagery is inherently ambiguous: does the user want the entire building complex, just the central roof structure, or a specific solar panel on that roof? SAM 2.1 generates three candidate masks simultaneously, accompanied by an estimated Intersection over Union (IoU) confidence score. SatQuery AI analyzes the semantic intent of the VLM query: for macro queries ('highlight water body' or 'segment forest'), the engine selects the highest-scoring macro mask; for granular queries ('segment vehicles on runway'), the atomic mask is selected.</w:t>
      </w:r>
    </w:p>
    <w:p>
      <w:r>
        <w:br w:type="page"/>
      </w:r>
    </w:p>
    <w:p>
      <w:pPr>
        <w:keepNext/>
        <w:spacing w:before="400" w:after="160"/>
        <w:pBdr>
          <w:bottom w:val="single" w:sz="12" w:space="4" w:color="2B6CB0"/>
        </w:pBdr>
      </w:pPr>
      <w:r>
        <w:rPr>
          <w:rFonts w:ascii="Calibri" w:hAnsi="Calibri"/>
          <w:b/>
          <w:color w:val="1A365D"/>
          <w:sz w:val="34"/>
        </w:rPr>
        <w:t>CHAPTER 11: HEURISTIC FALLBACK PIPELINE &amp; CLASSICAL CV</w:t>
      </w:r>
    </w:p>
    <w:p>
      <w:pPr>
        <w:keepNext/>
        <w:spacing w:before="280" w:after="120"/>
      </w:pPr>
      <w:r>
        <w:rPr>
          <w:rFonts w:ascii="Calibri" w:hAnsi="Calibri"/>
          <w:b/>
          <w:color w:val="2B6CB0"/>
          <w:sz w:val="27"/>
        </w:rPr>
        <w:t>11.1 The Need for Algorithmic Redundancy</w:t>
      </w:r>
    </w:p>
    <w:p>
      <w:pPr>
        <w:spacing w:after="120" w:line="276" w:lineRule="auto"/>
      </w:pPr>
      <w:r>
        <w:rPr>
          <w:rFonts w:ascii="Calibri" w:hAnsi="Calibri"/>
          <w:i w:val="0"/>
          <w:color w:val="1E293B"/>
          <w:sz w:val="21"/>
        </w:rPr>
        <w:t>Deep learning models running on high-end GPUs are susceptible to edge operational failures: CUDA Out-Of-Memory (OOM) exceptions on gigapixel rasters, GPU driver crashes, missing pre-trained weights during offline emergency deployments, or low-cost CPU-only server hosting. A production-grade geospatial platform cannot return a 500 Internal Server Error when disaster response personnel rely on the system. SatQuery AI implements an autonomous classical computer vision fallback based on the GrabCut algorithm.</w:t>
      </w:r>
    </w:p>
    <w:p>
      <w:pPr>
        <w:keepNext/>
        <w:spacing w:before="280" w:after="120"/>
      </w:pPr>
      <w:r>
        <w:rPr>
          <w:rFonts w:ascii="Calibri" w:hAnsi="Calibri"/>
          <w:b/>
          <w:color w:val="2B6CB0"/>
          <w:sz w:val="27"/>
        </w:rPr>
        <w:t>11.2 GrabCut Mathematical Formulation</w:t>
      </w:r>
    </w:p>
    <w:p>
      <w:pPr>
        <w:spacing w:after="120" w:line="276" w:lineRule="auto"/>
      </w:pPr>
      <w:r>
        <w:rPr>
          <w:rFonts w:ascii="Calibri" w:hAnsi="Calibri"/>
          <w:i w:val="0"/>
          <w:color w:val="1E293B"/>
          <w:sz w:val="21"/>
        </w:rPr>
        <w:t>The GrabCut algorithm (Rother, Kolmogorov, and Blake, 2004) models foreground and background pixel distributions as two full covariance Gaussian Mixture Models (GMMs) with K = 5 components each. The segmentation is framed as an energy minimization problem over a graph:</w:t>
      </w:r>
    </w:p>
    <w:p>
      <w:pPr>
        <w:spacing w:after="120" w:line="276" w:lineRule="auto"/>
      </w:pPr>
      <w:r>
        <w:rPr>
          <w:rFonts w:ascii="Calibri" w:hAnsi="Calibri"/>
          <w:b/>
          <w:color w:val="1A365D"/>
        </w:rPr>
        <w:t xml:space="preserve">Energy Minimization Equation: </w:t>
      </w:r>
      <w:r>
        <w:rPr>
          <w:rFonts w:ascii="Calibri" w:hAnsi="Calibri"/>
          <w:i w:val="0"/>
          <w:color w:val="1E293B"/>
          <w:sz w:val="21"/>
        </w:rPr>
        <w:t>E(alpha, k, theta, z) = U(alpha, k, theta, z) + V(alpha, z)</w:t>
        <w:br/>
        <w:br/>
        <w:t>Where:</w:t>
        <w:br/>
        <w:t>- alpha in {0, 1} represents the binary pixel assignment (0 = background, 1 = foreground).</w:t>
        <w:br/>
        <w:t>- U(alpha, k, theta, z) is the data term measuring the fit of pixel z to the GMM models theta.</w:t>
        <w:br/>
        <w:t>- V(alpha, z) is the smoothness term penalizing boundary discontinuities between adjacent pixels (p, q):</w:t>
        <w:br/>
        <w:t xml:space="preserve">  V(alpha, z) = gamma * sum_{ (p,q) in C } [alpha_p != alpha_q] * exp( -beta * ||z_p - z_q||^2 )</w:t>
      </w:r>
    </w:p>
    <w:p>
      <w:pPr>
        <w:spacing w:after="120" w:line="276" w:lineRule="auto"/>
      </w:pPr>
      <w:r>
        <w:rPr>
          <w:rFonts w:ascii="Calibri" w:hAnsi="Calibri"/>
          <w:i w:val="0"/>
          <w:color w:val="1E293B"/>
          <w:sz w:val="21"/>
        </w:rPr>
        <w:t>Energy minimization is solved via the Boykov-Kolmogorov max-flow / min-cut algorithm. In SatQuery AI, the bounding box produced by the VLM initializes the GrabCut mask: all pixels outside the box are marked as definite background (GC_BGD), and pixels within the box are marked as probable foreground (GC_PR_FGD). Five iterative graph-cut steps refine the boundaries with high fidelity.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DUAL-ENGINE FAIL-SAFE SWITCHOVER ARCHITECTURE                   |</w:t>
              <w:br/>
              <w:t>|                                                                                   |</w:t>
              <w:br/>
              <w:t>|                                [Segmentation Request]                             |</w:t>
              <w:br/>
              <w:t>|                                          |                                        |</w:t>
              <w:br/>
              <w:t>|                                          v                                        |</w:t>
              <w:br/>
              <w:t>|                               [Check CUDA &amp; Weights]                              |</w:t>
              <w:br/>
              <w:t>|                                          |                                        |</w:t>
              <w:br/>
              <w:t>|                         +----------------+----------------+                       |</w:t>
              <w:br/>
              <w:t>|                         | Available                       | Unavailable / OOM     |</w:t>
              <w:br/>
              <w:t>|                         v                                 v                       |</w:t>
              <w:br/>
              <w:t>|             +-----------------------+         +-----------------------+           |</w:t>
              <w:br/>
              <w:t>|             |  PRIMARY ENGINE:      |         |  FALLBACK ENGINE:     |           |</w:t>
              <w:br/>
              <w:t>|             |  Meta SAM 2.1         |         |  GrabCut + HSV CV     |           |</w:t>
              <w:br/>
              <w:t>|             |  (GPU Accelerated)    |         |  (Deterministic CPU)  |           |</w:t>
              <w:br/>
              <w:t>|             +-----------------------+         +-----------------------+           |</w:t>
              <w:br/>
              <w:t>|                         |                                 |                       |</w:t>
              <w:br/>
              <w:t>|                         | (If CUDA OOM occurs)            |                       |</w:t>
              <w:br/>
              <w:t>|                         +--------------------------------&gt;|                       |</w:t>
              <w:br/>
              <w:t>|                         |                                 |                       |</w:t>
              <w:br/>
              <w:t>|                         v                                 v                       |</w:t>
              <w:br/>
              <w:t>|             [Return Sub-Pixel Mask]           [Return Morphologically Refined     |</w:t>
              <w:br/>
              <w:t>|                                                Heuristic Mask]                    |</w:t>
              <w:br/>
              <w:t>+-----------------------------------------------------------------------------------+</w:t>
            </w:r>
          </w:p>
        </w:tc>
      </w:tr>
    </w:tbl>
    <w:p>
      <w:pPr>
        <w:spacing w:before="80" w:after="160"/>
        <w:jc w:val="center"/>
      </w:pPr>
      <w:r>
        <w:rPr>
          <w:rFonts w:ascii="Calibri" w:hAnsi="Calibri"/>
          <w:b/>
          <w:i/>
          <w:color w:val="475569"/>
          <w:sz w:val="19"/>
        </w:rPr>
        <w:t>Figure 11.2: Dual-Engine Fail-Safe Switchover State Machine</w:t>
      </w:r>
    </w:p>
    <w:p>
      <w:pPr>
        <w:keepNext/>
        <w:spacing w:before="280" w:after="120"/>
      </w:pPr>
      <w:r>
        <w:rPr>
          <w:rFonts w:ascii="Calibri" w:hAnsi="Calibri"/>
          <w:b/>
          <w:color w:val="2B6CB0"/>
          <w:sz w:val="27"/>
        </w:rPr>
        <w:t>11.3 Morphological Post-Processing</w:t>
      </w:r>
    </w:p>
    <w:p>
      <w:pPr>
        <w:spacing w:after="120" w:line="276" w:lineRule="auto"/>
      </w:pPr>
      <w:r>
        <w:rPr>
          <w:rFonts w:ascii="Calibri" w:hAnsi="Calibri"/>
          <w:i w:val="0"/>
          <w:color w:val="1E293B"/>
          <w:sz w:val="21"/>
        </w:rPr>
        <w:t>Heuristic segmentation often produces small interior holes or ragged isolated perimeter specks due to cloud shadows or surface glint. The fallback engine applies morphological opening (erosion followed by dilation with a 3x3 elliptical structuring element) to eliminate salt-and-pepper noise, followed by morphological closing (dilation followed by erosion with a 5x5 structuring element) to fuse contiguous water and canopy bodies into solid, topological polygons.</w:t>
      </w:r>
    </w:p>
    <w:p>
      <w:r>
        <w:br w:type="page"/>
      </w:r>
    </w:p>
    <w:p>
      <w:pPr>
        <w:keepNext/>
        <w:spacing w:before="400" w:after="160"/>
        <w:pBdr>
          <w:bottom w:val="single" w:sz="12" w:space="4" w:color="2B6CB0"/>
        </w:pBdr>
      </w:pPr>
      <w:r>
        <w:rPr>
          <w:rFonts w:ascii="Calibri" w:hAnsi="Calibri"/>
          <w:b/>
          <w:color w:val="1A365D"/>
          <w:sz w:val="34"/>
        </w:rPr>
        <w:t>CHAPTER 12: SATELLITE PREPROCESSING &amp; MULTIMODAL PIPELINE</w:t>
      </w:r>
    </w:p>
    <w:p>
      <w:pPr>
        <w:keepNext/>
        <w:spacing w:before="280" w:after="120"/>
      </w:pPr>
      <w:r>
        <w:rPr>
          <w:rFonts w:ascii="Calibri" w:hAnsi="Calibri"/>
          <w:b/>
          <w:color w:val="2B6CB0"/>
          <w:sz w:val="27"/>
        </w:rPr>
        <w:t>12.1 Radiometric Calibration &amp; Dynamic Range Adjustment</w:t>
      </w:r>
    </w:p>
    <w:p>
      <w:pPr>
        <w:spacing w:after="120" w:line="276" w:lineRule="auto"/>
      </w:pPr>
      <w:r>
        <w:rPr>
          <w:rFonts w:ascii="Calibri" w:hAnsi="Calibri"/>
          <w:i w:val="0"/>
          <w:color w:val="1E293B"/>
          <w:sz w:val="21"/>
        </w:rPr>
        <w:t>Raw satellite imagery is captured in 12-bit or 16-bit radiometric depth (0 to 4095 or 0 to 65535 digital numbers), whereas standard computer vision models and web browsers operate on 8-bit RGB channels (0 to 255). Naive linear scaling results in dark, washed-out images because most terrain reflectance values are clustered in a narrow band of the histogram.</w:t>
      </w:r>
    </w:p>
    <w:p>
      <w:pPr>
        <w:spacing w:after="120" w:line="276" w:lineRule="auto"/>
      </w:pPr>
      <w:r>
        <w:rPr>
          <w:rFonts w:ascii="Calibri" w:hAnsi="Calibri"/>
          <w:i w:val="0"/>
          <w:color w:val="1E293B"/>
          <w:sz w:val="21"/>
        </w:rPr>
        <w:t>SatQuery AI implements a 2% cumulative count cut (percentile stretching). The 2nd percentile (P_2) and 98th percentile (P_98) pixel intensities are calculated. Intensities are scaled according to: I_{norm} = clamp( (I - P_2) / (P_98 - P_2) * 255, 0, 255 ). Furthermore, for haze reduction and shadow penetration in urban scenes, the engine applies Contrast Limited Adaptive Histogram Equalization (CLAHE) with a clip limit of 2.0 over an 8x8 grid of contextual tiles.</w:t>
      </w:r>
    </w:p>
    <w:p>
      <w:pPr>
        <w:keepNext/>
        <w:spacing w:before="280" w:after="120"/>
      </w:pPr>
      <w:r>
        <w:rPr>
          <w:rFonts w:ascii="Calibri" w:hAnsi="Calibri"/>
          <w:b/>
          <w:color w:val="2B6CB0"/>
          <w:sz w:val="27"/>
        </w:rPr>
        <w:t>12.2 Tiling &amp; Aspect Ratio Preservation</w:t>
      </w:r>
    </w:p>
    <w:p>
      <w:pPr>
        <w:spacing w:after="120" w:line="276" w:lineRule="auto"/>
      </w:pPr>
      <w:r>
        <w:rPr>
          <w:rFonts w:ascii="Calibri" w:hAnsi="Calibri"/>
          <w:i w:val="0"/>
          <w:color w:val="1E293B"/>
          <w:sz w:val="21"/>
        </w:rPr>
        <w:t>Downsampling a rectangular 4000x2000 satellite image into a square 1024x1024 tensor causes severe anisotropic distortion: circular water reservoirs become elongated ellipses, and square buildings become distorted rectangles. This distortion degrades the VLM's spatial reasoning. SatQuery AI maintains strict aspect ratio by computing proportional letterboxing: the longer dimension is scaled to 1024, and the shorter dimension is centered with neutral zero-padding, with inverse affine coordinates stored in the request context.</w:t>
      </w:r>
    </w:p>
    <w:p>
      <w:r>
        <w:br w:type="page"/>
      </w:r>
    </w:p>
    <w:p>
      <w:pPr>
        <w:keepNext/>
        <w:spacing w:before="400" w:after="160"/>
        <w:pBdr>
          <w:bottom w:val="single" w:sz="12" w:space="4" w:color="2B6CB0"/>
        </w:pBdr>
      </w:pPr>
      <w:r>
        <w:rPr>
          <w:rFonts w:ascii="Calibri" w:hAnsi="Calibri"/>
          <w:b/>
          <w:color w:val="1A365D"/>
          <w:sz w:val="34"/>
        </w:rPr>
        <w:t>CHAPTER 13: DATABASE &amp; CONVERSATION HISTORY SUBSYSTEM</w:t>
      </w:r>
    </w:p>
    <w:p>
      <w:pPr>
        <w:keepNext/>
        <w:spacing w:before="280" w:after="120"/>
      </w:pPr>
      <w:r>
        <w:rPr>
          <w:rFonts w:ascii="Calibri" w:hAnsi="Calibri"/>
          <w:b/>
          <w:color w:val="2B6CB0"/>
          <w:sz w:val="27"/>
        </w:rPr>
        <w:t>13.1 Entity-Relationship (ER) Schema Architecture</w:t>
      </w:r>
    </w:p>
    <w:p>
      <w:pPr>
        <w:spacing w:after="120" w:line="276" w:lineRule="auto"/>
      </w:pPr>
      <w:r>
        <w:rPr>
          <w:rFonts w:ascii="Calibri" w:hAnsi="Calibri"/>
          <w:i w:val="0"/>
          <w:color w:val="1E293B"/>
          <w:sz w:val="21"/>
        </w:rPr>
        <w:t>The conversation subsystem enables continuous multi-turn reasoning: users can ask follow-up questions referencing previous extractions (e.g., 'Now calculate what percentage of the flooded area identified above intersects with the road network'). Figure 13.1 details the schema.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ENTITY-RELATIONSHIP (ER) DATABASE SCHEMA                      |</w:t>
              <w:br/>
              <w:t>|                                                                                   |</w:t>
              <w:br/>
              <w:t>|  +--------------------+         1:N         +----------------------------------+  |</w:t>
              <w:br/>
              <w:t>|  |     SESSION        | &lt;------------------ |             MESSAGE              |  |</w:t>
              <w:br/>
              <w:t>|  +--------------------+                     +----------------------------------+  |</w:t>
              <w:br/>
              <w:t>|  | id: String (UUID)  |                     | id: Integer (PK)                 |  |</w:t>
              <w:br/>
              <w:t>|  | title: String      |                     | session_id: String (FK)          |  |</w:t>
              <w:br/>
              <w:t>|  | created_at: DateTime|                    | role: Enum (user, assistant)     |  |</w:t>
              <w:br/>
              <w:t>|  | updated_at: DateTime|                    | content: Text (Analytical Markdown)|</w:t>
              <w:br/>
              <w:t>|  +--------------------+                     | timestamp: DateTime              |  |</w:t>
              <w:br/>
              <w:t>|            |                                +----------------------------------+  |</w:t>
              <w:br/>
              <w:t>|            | 1:N                                             |                    |</w:t>
              <w:br/>
              <w:t>|            v                                                 | 1:N                |</w:t>
              <w:br/>
              <w:t>|  +--------------------+                                      v                    |</w:t>
              <w:br/>
              <w:t>|  |      IMAGE         |                     +----------------------------------+  |</w:t>
              <w:br/>
              <w:t>|  +--------------------+                     |        ANALYSIS_RESULT           |  |</w:t>
              <w:br/>
              <w:t>|  | id: String (PK)    |                     +----------------------------------+  |</w:t>
              <w:br/>
              <w:t>|  | session_id: (FK)   |                     | id: Integer (PK)                 |  |</w:t>
              <w:br/>
              <w:t>|  | file_path: String  |                     | message_id: Integer (FK)         |  |</w:t>
              <w:br/>
              <w:t>|  | width, height: Int |                     | mask_path: String (PNG RGBA)     |  |</w:t>
              <w:br/>
              <w:t>|  | crs_epsg: Integer  |                     | bboxes_json: Text (Coordinates)  |  |</w:t>
              <w:br/>
              <w:t>|  | upload_time: Date  |                     | iou_score: Float                 |  |</w:t>
              <w:br/>
              <w:t>|  +--------------------+                     | engine_used: Enum (SAM, GrabCut) |  |</w:t>
              <w:br/>
              <w:t>|                                             +----------------------------------+  |</w:t>
              <w:br/>
              <w:t>+-----------------------------------------------------------------------------------+</w:t>
            </w:r>
          </w:p>
        </w:tc>
      </w:tr>
    </w:tbl>
    <w:p>
      <w:pPr>
        <w:spacing w:before="80" w:after="160"/>
        <w:jc w:val="center"/>
      </w:pPr>
      <w:r>
        <w:rPr>
          <w:rFonts w:ascii="Calibri" w:hAnsi="Calibri"/>
          <w:b/>
          <w:i/>
          <w:color w:val="475569"/>
          <w:sz w:val="19"/>
        </w:rPr>
        <w:t>Figure 13.1: Entity-Relationship Schema for Geospatial Conversation Subsystem</w:t>
      </w:r>
    </w:p>
    <w:p>
      <w:pPr>
        <w:keepNext/>
        <w:spacing w:before="280" w:after="120"/>
      </w:pPr>
      <w:r>
        <w:rPr>
          <w:rFonts w:ascii="Calibri" w:hAnsi="Calibri"/>
          <w:b/>
          <w:color w:val="2B6CB0"/>
          <w:sz w:val="27"/>
        </w:rPr>
        <w:t>13.2 SQLAlchemy ORM Implementation</w:t>
      </w:r>
    </w:p>
    <w:p>
      <w:pPr>
        <w:spacing w:after="120" w:line="276" w:lineRule="auto"/>
      </w:pPr>
      <w:r>
        <w:rPr>
          <w:rFonts w:ascii="Calibri" w:hAnsi="Calibri"/>
          <w:i w:val="0"/>
          <w:color w:val="1E293B"/>
          <w:sz w:val="21"/>
        </w:rPr>
        <w:t>The data layer is implemented with SQLAlchemy 2.0 utilizing asynchronous sessions (AsyncSession). SQLite serves as the zero-configuration embedded database for local development and edge deployments, with immediate migration compatibility to PostgreSQL / PostGIS for enterprise cloud deployments.</w:t>
      </w:r>
    </w:p>
    <w:p>
      <w:r>
        <w:br w:type="page"/>
      </w:r>
    </w:p>
    <w:p>
      <w:pPr>
        <w:keepNext/>
        <w:spacing w:before="400" w:after="160"/>
        <w:pBdr>
          <w:bottom w:val="single" w:sz="12" w:space="4" w:color="2B6CB0"/>
        </w:pBdr>
      </w:pPr>
      <w:r>
        <w:rPr>
          <w:rFonts w:ascii="Calibri" w:hAnsi="Calibri"/>
          <w:b/>
          <w:color w:val="1A365D"/>
          <w:sz w:val="34"/>
        </w:rPr>
        <w:t>CHAPTER 14: DATA FLOW &amp; END-TO-END WALKTHROUGH</w:t>
      </w:r>
    </w:p>
    <w:p>
      <w:pPr>
        <w:keepNext/>
        <w:spacing w:before="280" w:after="120"/>
      </w:pPr>
      <w:r>
        <w:rPr>
          <w:rFonts w:ascii="Calibri" w:hAnsi="Calibri"/>
          <w:b/>
          <w:color w:val="2B6CB0"/>
          <w:sz w:val="27"/>
        </w:rPr>
        <w:t>14.1 Operational Scenario 1: Flood Inundation &amp; Water Delineation</w:t>
      </w:r>
    </w:p>
    <w:p>
      <w:pPr>
        <w:spacing w:after="120" w:line="276" w:lineRule="auto"/>
      </w:pPr>
      <w:r>
        <w:rPr>
          <w:rFonts w:ascii="Calibri" w:hAnsi="Calibri"/>
          <w:i w:val="0"/>
          <w:color w:val="1E293B"/>
          <w:sz w:val="21"/>
        </w:rPr>
        <w:t>A disaster response coordinator uploads a post-monsoon Sentinel-2 optical scene covering 25 square kilometers of an inundated urban valley. The user inputs the natural language query: 'Highlight all flooded areas and standing water bodies in this valley, and evaluate their proximity to buildings.'</w:t>
      </w:r>
    </w:p>
    <w:p>
      <w:pPr>
        <w:pStyle w:val="ListBullet"/>
        <w:spacing w:after="80" w:line="276" w:lineRule="auto"/>
      </w:pPr>
      <w:r>
        <w:rPr>
          <w:rFonts w:ascii="Calibri" w:hAnsi="Calibri"/>
          <w:b/>
          <w:color w:val="1A365D"/>
          <w:sz w:val="21"/>
        </w:rPr>
        <w:t>Stage 1 (Upload &amp; Ingestion)</w:t>
      </w:r>
      <w:r>
        <w:rPr>
          <w:rFonts w:ascii="Calibri" w:hAnsi="Calibri"/>
          <w:color w:val="334155"/>
          <w:sz w:val="21"/>
        </w:rPr>
        <w:t>: Image is received by /api/upload, converted to normalized 8-bit RGB with 2% percentile stretch, and stored in backend/uploads/img_48102.png. Image dimensions are recorded as 1920 x 1080.</w:t>
      </w:r>
    </w:p>
    <w:p>
      <w:pPr>
        <w:pStyle w:val="ListBullet"/>
        <w:spacing w:after="80" w:line="276" w:lineRule="auto"/>
      </w:pPr>
      <w:r>
        <w:rPr>
          <w:rFonts w:ascii="Calibri" w:hAnsi="Calibri"/>
          <w:b/>
          <w:color w:val="1A365D"/>
          <w:sz w:val="21"/>
        </w:rPr>
        <w:t>Stage 2 (VLM Multimodal Reasoning)</w:t>
      </w:r>
      <w:r>
        <w:rPr>
          <w:rFonts w:ascii="Calibri" w:hAnsi="Calibri"/>
          <w:color w:val="334155"/>
          <w:sz w:val="21"/>
        </w:rPr>
        <w:t>: FastAPI forwards the image and prompt to Gemini 2.0 Flash. The model reasons over dark, low-reflectance specular regions and returns: (1) an analysis paragraph identifying river basin overflow; (2) two bounding boxes in [0, 1000] space: [[420, 150, 890, 680], [110, 720, 390, 940]].</w:t>
      </w:r>
    </w:p>
    <w:p>
      <w:pPr>
        <w:pStyle w:val="ListBullet"/>
        <w:spacing w:after="80" w:line="276" w:lineRule="auto"/>
      </w:pPr>
      <w:r>
        <w:rPr>
          <w:rFonts w:ascii="Calibri" w:hAnsi="Calibri"/>
          <w:b/>
          <w:color w:val="1A365D"/>
          <w:sz w:val="21"/>
        </w:rPr>
        <w:t>Stage 3 (Coordinate Denormalization)</w:t>
      </w:r>
      <w:r>
        <w:rPr>
          <w:rFonts w:ascii="Calibri" w:hAnsi="Calibri"/>
          <w:color w:val="334155"/>
          <w:sz w:val="21"/>
        </w:rPr>
        <w:t>: Dense Grounding Service transforms the normalized coordinates into image pixel space: Box 1 -&gt; [288, 453, 1305, 961]; Box 2 -&gt; [1382, 118, 1804, 421].</w:t>
      </w:r>
    </w:p>
    <w:p>
      <w:pPr>
        <w:pStyle w:val="ListBullet"/>
        <w:spacing w:after="80" w:line="276" w:lineRule="auto"/>
      </w:pPr>
      <w:r>
        <w:rPr>
          <w:rFonts w:ascii="Calibri" w:hAnsi="Calibri"/>
          <w:b/>
          <w:color w:val="1A365D"/>
          <w:sz w:val="21"/>
        </w:rPr>
        <w:t>Stage 4 (SAM 2.1 Sub-Pixel Segmentation)</w:t>
      </w:r>
      <w:r>
        <w:rPr>
          <w:rFonts w:ascii="Calibri" w:hAnsi="Calibri"/>
          <w:color w:val="334155"/>
          <w:sz w:val="21"/>
        </w:rPr>
        <w:t>: SAM 2.1 initializes with the pre-cached Hiera image embedding. The bounding boxes are passed as visual prompts. SAM 2.1 decodes three candidate masks and selects the highest IoU mask (IoU = 0.92) precisely capturing the dendritic floodwater boundaries without bleeding into dark asphalt roadways.</w:t>
      </w:r>
    </w:p>
    <w:p>
      <w:pPr>
        <w:pStyle w:val="ListBullet"/>
        <w:spacing w:after="80" w:line="276" w:lineRule="auto"/>
      </w:pPr>
      <w:r>
        <w:rPr>
          <w:rFonts w:ascii="Calibri" w:hAnsi="Calibri"/>
          <w:b/>
          <w:color w:val="1A365D"/>
          <w:sz w:val="21"/>
        </w:rPr>
        <w:t>Stage 5 (Alpha Overlay Generation)</w:t>
      </w:r>
      <w:r>
        <w:rPr>
          <w:rFonts w:ascii="Calibri" w:hAnsi="Calibri"/>
          <w:color w:val="334155"/>
          <w:sz w:val="21"/>
        </w:rPr>
        <w:t>: The binary mask is rendered as a semi-transparent cyan layer (RGBA: [6, 182, 212, 115]) and saved as mask_48102_water.png.</w:t>
      </w:r>
    </w:p>
    <w:p>
      <w:pPr>
        <w:pStyle w:val="ListBullet"/>
        <w:spacing w:after="80" w:line="276" w:lineRule="auto"/>
      </w:pPr>
      <w:r>
        <w:rPr>
          <w:rFonts w:ascii="Calibri" w:hAnsi="Calibri"/>
          <w:b/>
          <w:color w:val="1A365D"/>
          <w:sz w:val="21"/>
        </w:rPr>
        <w:t>Stage 6 (Client Synchronization)</w:t>
      </w:r>
      <w:r>
        <w:rPr>
          <w:rFonts w:ascii="Calibri" w:hAnsi="Calibri"/>
          <w:color w:val="334155"/>
          <w:sz w:val="21"/>
        </w:rPr>
        <w:t>: The frontend receives the payload, renders the analytical text in the chat pane, overlays the mask on the Mapbox GL canvas, and draws vector bounding boxes with confidence tooltips.</w:t>
      </w:r>
    </w:p>
    <w:p>
      <w:pPr>
        <w:keepNext/>
        <w:spacing w:before="280" w:after="120"/>
      </w:pPr>
      <w:r>
        <w:rPr>
          <w:rFonts w:ascii="Calibri" w:hAnsi="Calibri"/>
          <w:b/>
          <w:color w:val="2B6CB0"/>
          <w:sz w:val="27"/>
        </w:rPr>
        <w:t>14.2 Quantitative Latency Breakdown</w:t>
      </w:r>
    </w:p>
    <w:p>
      <w:pPr>
        <w:spacing w:after="120" w:line="276" w:lineRule="auto"/>
      </w:pPr>
      <w:r>
        <w:rPr>
          <w:rFonts w:ascii="Calibri" w:hAnsi="Calibri"/>
          <w:i w:val="0"/>
          <w:color w:val="1E293B"/>
          <w:sz w:val="21"/>
        </w:rPr>
        <w:t>Figure 14.1 provides a granular timing breakdown across the end-to-end processing pipeline.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w:t>
              <w:br/>
              <w:t>|                  END-TO-END SYSTEM LATENCY BREAKDOWN (AVERAGE: 1.84 s)            |</w:t>
              <w:br/>
              <w:t>|                                                                                   |</w:t>
              <w:br/>
              <w:t>|  [Image Ingestion &amp; Percentile Scaling]   :  45 ms ( 2.4% )                       |</w:t>
              <w:br/>
              <w:t>|  [Network RTT to Gemini VLM API]          : 120 ms ( 6.5% )                       |</w:t>
              <w:br/>
              <w:t>|  [Gemini 2.0 Flash Reasoning &amp; JSON BBox] : 980 ms (53.3% ) ===================== |</w:t>
              <w:br/>
              <w:t>|  [Coordinate Space Affine Transformation] :   2 ms ( 0.1% )                       |</w:t>
              <w:br/>
              <w:t>|  [SAM 2.1 Prompt Decoding &amp; Mask Extract] : 190 ms (10.3% ) =====                 |</w:t>
              <w:br/>
              <w:t>|  [Mask Morphological Refinement &amp; PNG IO] :  35 ms ( 1.9% )                       |</w:t>
              <w:br/>
              <w:t>|  [Network Payload Transmission to Client] :  70 ms ( 3.8% ) =                     |</w:t>
              <w:br/>
              <w:t>|  [Frontend React Canvas Render &amp; Paint]   :  25 ms ( 1.4% )                       |</w:t>
              <w:br/>
              <w:t>|  -------------------------------------------------------------------------------  |</w:t>
              <w:br/>
              <w:t>|  Total Round-Trip Latency                 : 1467 ms (~1.47 seconds)               |</w:t>
              <w:br/>
              <w:t>+-----------------------------------------------------------------------------------+</w:t>
            </w:r>
          </w:p>
        </w:tc>
      </w:tr>
    </w:tbl>
    <w:p>
      <w:pPr>
        <w:spacing w:before="80" w:after="160"/>
        <w:jc w:val="center"/>
      </w:pPr>
      <w:r>
        <w:rPr>
          <w:rFonts w:ascii="Calibri" w:hAnsi="Calibri"/>
          <w:b/>
          <w:i/>
          <w:color w:val="475569"/>
          <w:sz w:val="19"/>
        </w:rPr>
        <w:t>Figure 14.1: Granular Processing Pipeline Latency Breakdown</w:t>
      </w:r>
    </w:p>
    <w:p>
      <w:r>
        <w:br w:type="page"/>
      </w:r>
    </w:p>
    <w:p>
      <w:pPr>
        <w:keepNext/>
        <w:spacing w:before="400" w:after="160"/>
        <w:pBdr>
          <w:bottom w:val="single" w:sz="12" w:space="4" w:color="2B6CB0"/>
        </w:pBdr>
      </w:pPr>
      <w:r>
        <w:rPr>
          <w:rFonts w:ascii="Calibri" w:hAnsi="Calibri"/>
          <w:b/>
          <w:color w:val="1A365D"/>
          <w:sz w:val="34"/>
        </w:rPr>
        <w:t>CHAPTER 15: INSTALLATION, ENVIRONMENT &amp; DEPLOYMENT GUIDE</w:t>
      </w:r>
    </w:p>
    <w:p>
      <w:pPr>
        <w:keepNext/>
        <w:spacing w:before="280" w:after="120"/>
      </w:pPr>
      <w:r>
        <w:rPr>
          <w:rFonts w:ascii="Calibri" w:hAnsi="Calibri"/>
          <w:b/>
          <w:color w:val="2B6CB0"/>
          <w:sz w:val="27"/>
        </w:rPr>
        <w:t>15.1 Hardware and Software Prerequisites</w:t>
      </w:r>
    </w:p>
    <w:p>
      <w:pPr>
        <w:pStyle w:val="ListBullet"/>
        <w:spacing w:after="80" w:line="276" w:lineRule="auto"/>
      </w:pPr>
      <w:r>
        <w:rPr>
          <w:rFonts w:ascii="Calibri" w:hAnsi="Calibri"/>
          <w:b/>
          <w:color w:val="1A365D"/>
          <w:sz w:val="21"/>
        </w:rPr>
        <w:t>Operating System</w:t>
      </w:r>
      <w:r>
        <w:rPr>
          <w:rFonts w:ascii="Calibri" w:hAnsi="Calibri"/>
          <w:color w:val="334155"/>
          <w:sz w:val="21"/>
        </w:rPr>
        <w:t>: Windows 11 / 10 (64-bit), Ubuntu Linux 22.04 LTS, or macOS Sonoma (Apple Silicon).</w:t>
      </w:r>
    </w:p>
    <w:p>
      <w:pPr>
        <w:pStyle w:val="ListBullet"/>
        <w:spacing w:after="80" w:line="276" w:lineRule="auto"/>
      </w:pPr>
      <w:r>
        <w:rPr>
          <w:rFonts w:ascii="Calibri" w:hAnsi="Calibri"/>
          <w:b/>
          <w:color w:val="1A365D"/>
          <w:sz w:val="21"/>
        </w:rPr>
        <w:t>Processor</w:t>
      </w:r>
      <w:r>
        <w:rPr>
          <w:rFonts w:ascii="Calibri" w:hAnsi="Calibri"/>
          <w:color w:val="334155"/>
          <w:sz w:val="21"/>
        </w:rPr>
        <w:t>: Intel Core i7/i9 10th Gen+ or AMD Ryzen 7/9 (minimum 6 cores / 12 threads recommended).</w:t>
      </w:r>
    </w:p>
    <w:p>
      <w:pPr>
        <w:pStyle w:val="ListBullet"/>
        <w:spacing w:after="80" w:line="276" w:lineRule="auto"/>
      </w:pPr>
      <w:r>
        <w:rPr>
          <w:rFonts w:ascii="Calibri" w:hAnsi="Calibri"/>
          <w:b/>
          <w:color w:val="1A365D"/>
          <w:sz w:val="21"/>
        </w:rPr>
        <w:t>GPU Acceleration</w:t>
      </w:r>
      <w:r>
        <w:rPr>
          <w:rFonts w:ascii="Calibri" w:hAnsi="Calibri"/>
          <w:color w:val="334155"/>
          <w:sz w:val="21"/>
        </w:rPr>
        <w:t>: NVIDIA RTX 3060 / 4060 or higher with minimum 6 GB VRAM and CUDA Compute Capability 8.0+ (Optional: CPU fallback mode fully supported).</w:t>
      </w:r>
    </w:p>
    <w:p>
      <w:pPr>
        <w:pStyle w:val="ListBullet"/>
        <w:spacing w:after="80" w:line="276" w:lineRule="auto"/>
      </w:pPr>
      <w:r>
        <w:rPr>
          <w:rFonts w:ascii="Calibri" w:hAnsi="Calibri"/>
          <w:b/>
          <w:color w:val="1A365D"/>
          <w:sz w:val="21"/>
        </w:rPr>
        <w:t>System Memory (RAM)</w:t>
      </w:r>
      <w:r>
        <w:rPr>
          <w:rFonts w:ascii="Calibri" w:hAnsi="Calibri"/>
          <w:color w:val="334155"/>
          <w:sz w:val="21"/>
        </w:rPr>
        <w:t>: 16 GB minimum (32 GB recommended for gigapixel satellite imagery).</w:t>
      </w:r>
    </w:p>
    <w:p>
      <w:pPr>
        <w:pStyle w:val="ListBullet"/>
        <w:spacing w:after="80" w:line="276" w:lineRule="auto"/>
      </w:pPr>
      <w:r>
        <w:rPr>
          <w:rFonts w:ascii="Calibri" w:hAnsi="Calibri"/>
          <w:b/>
          <w:color w:val="1A365D"/>
          <w:sz w:val="21"/>
        </w:rPr>
        <w:t>Software Runtimes</w:t>
      </w:r>
      <w:r>
        <w:rPr>
          <w:rFonts w:ascii="Calibri" w:hAnsi="Calibri"/>
          <w:color w:val="334155"/>
          <w:sz w:val="21"/>
        </w:rPr>
        <w:t>: Python 3.11+ / 3.13, Node.js 18.x+, Git, Microsoft Visual C++ Redistributable.</w:t>
      </w:r>
    </w:p>
    <w:p>
      <w:pPr>
        <w:keepNext/>
        <w:spacing w:before="280" w:after="120"/>
      </w:pPr>
      <w:r>
        <w:rPr>
          <w:rFonts w:ascii="Calibri" w:hAnsi="Calibri"/>
          <w:b/>
          <w:color w:val="2B6CB0"/>
          <w:sz w:val="27"/>
        </w:rPr>
        <w:t>15.2 Step-by-Step Backend Setup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 1. Clone the repository and navigate to backend</w:t>
              <w:br/>
              <w:t>git clone https://github.com/Tany3421/Satquery_AI.git</w:t>
              <w:br/>
              <w:t>cd Satquery_AI/backend</w:t>
              <w:br/>
              <w:br/>
              <w:t># 2. Create and activate Python virtual environment</w:t>
              <w:br/>
              <w:t>python -m venv venv</w:t>
              <w:br/>
              <w:t># On Windows:</w:t>
              <w:br/>
              <w:t>.\venv\Scripts\activate</w:t>
              <w:br/>
              <w:t># On Linux/macOS:</w:t>
              <w:br/>
              <w:t>source venv/bin/activate</w:t>
              <w:br/>
              <w:br/>
              <w:t># 3. Install PyTorch with CUDA 12.1 acceleration</w:t>
              <w:br/>
              <w:t>pip install torch torchvision --index-url https://download.pytorch.org/whl/cu121</w:t>
              <w:br/>
              <w:br/>
              <w:t># 4. Install backend dependencies</w:t>
              <w:br/>
              <w:t>pip install fastapi uvicorn pydantic google-generativeai opencv-python-headless sqlalchemy aiofiles pillow</w:t>
              <w:br/>
              <w:br/>
              <w:t># 5. Download Meta SAM 2.1 checkpoint</w:t>
              <w:br/>
              <w:t>mkdir checkpoints</w:t>
              <w:br/>
              <w:t>curl -L -o checkpoints/sam2.1_hiera_base_plus.pt https://dl.fbaipublicfiles.com/segment_anything_2/092824/sam2.1_hiera_base_plus.pt</w:t>
              <w:br/>
              <w:br/>
              <w:t># 6. Configure environment variables (.env)</w:t>
              <w:br/>
              <w:t>echo GEMINI_API_KEY=your_gemini_api_key_here &gt; .env</w:t>
              <w:br/>
              <w:t>echo SAM_CHECKPOINT_PATH=checkpoints/sam2.1_hiera_base_plus.pt &gt;&gt; .env</w:t>
              <w:br/>
              <w:t>echo DEVICE=cuda &gt;&gt; .env</w:t>
              <w:br/>
              <w:br/>
              <w:t># 7. Start the FastAPI ASGI server</w:t>
              <w:br/>
              <w:t>uvicorn main:app --host 0.0.0.0 --port 8000 --reload</w:t>
            </w:r>
          </w:p>
        </w:tc>
      </w:tr>
    </w:tbl>
    <w:p>
      <w:pPr>
        <w:spacing w:before="80" w:after="160"/>
        <w:jc w:val="center"/>
      </w:pPr>
      <w:r>
        <w:rPr>
          <w:rFonts w:ascii="Calibri" w:hAnsi="Calibri"/>
          <w:b/>
          <w:i/>
          <w:color w:val="475569"/>
          <w:sz w:val="19"/>
        </w:rPr>
        <w:t>Listing 15.1: Backend Setup and Execution Commands</w:t>
      </w:r>
    </w:p>
    <w:p>
      <w:pPr>
        <w:keepNext/>
        <w:spacing w:before="280" w:after="120"/>
      </w:pPr>
      <w:r>
        <w:rPr>
          <w:rFonts w:ascii="Calibri" w:hAnsi="Calibri"/>
          <w:b/>
          <w:color w:val="2B6CB0"/>
          <w:sz w:val="27"/>
        </w:rPr>
        <w:t>15.3 Step-by-Step Frontend Setup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40" w:lineRule="auto"/>
            </w:pPr>
            <w:r>
              <w:rPr>
                <w:rFonts w:ascii="Consolas" w:hAnsi="Consolas"/>
                <w:color w:val="0F172A"/>
                <w:sz w:val="17"/>
              </w:rPr>
              <w:t># 1. Navigate to frontend directory</w:t>
              <w:br/>
              <w:t>cd ../frontend</w:t>
              <w:br/>
              <w:br/>
              <w:t># 2. Install Node dependencies</w:t>
              <w:br/>
              <w:t>npm install</w:t>
              <w:br/>
              <w:br/>
              <w:t># 3. Verify Mapbox GL, Tailwind, and Lucide packages</w:t>
              <w:br/>
              <w:t>npm install mapbox-gl maplibre-gl lucide-react clsx tailwind-merge</w:t>
              <w:br/>
              <w:br/>
              <w:t># 4. Start the Vite development server</w:t>
              <w:br/>
              <w:t>npm run dev -- --host --port 5173</w:t>
            </w:r>
          </w:p>
        </w:tc>
      </w:tr>
    </w:tbl>
    <w:p>
      <w:pPr>
        <w:spacing w:before="80" w:after="160"/>
        <w:jc w:val="center"/>
      </w:pPr>
      <w:r>
        <w:rPr>
          <w:rFonts w:ascii="Calibri" w:hAnsi="Calibri"/>
          <w:b/>
          <w:i/>
          <w:color w:val="475569"/>
          <w:sz w:val="19"/>
        </w:rPr>
        <w:t>Listing 15.2: Frontend Setup and Execution Commands</w:t>
      </w:r>
    </w:p>
    <w:p>
      <w:r>
        <w:br w:type="page"/>
      </w:r>
    </w:p>
    <w:p>
      <w:pPr>
        <w:keepNext/>
        <w:spacing w:before="400" w:after="160"/>
        <w:pBdr>
          <w:bottom w:val="single" w:sz="12" w:space="4" w:color="2B6CB0"/>
        </w:pBdr>
      </w:pPr>
      <w:r>
        <w:rPr>
          <w:rFonts w:ascii="Calibri" w:hAnsi="Calibri"/>
          <w:b/>
          <w:color w:val="1A365D"/>
          <w:sz w:val="34"/>
        </w:rPr>
        <w:t>CHAPTER 16: VERIFICATION, TESTING &amp; QUALITY ASSURANCE</w:t>
      </w:r>
    </w:p>
    <w:p>
      <w:pPr>
        <w:keepNext/>
        <w:spacing w:before="280" w:after="120"/>
      </w:pPr>
      <w:r>
        <w:rPr>
          <w:rFonts w:ascii="Calibri" w:hAnsi="Calibri"/>
          <w:b/>
          <w:color w:val="2B6CB0"/>
          <w:sz w:val="27"/>
        </w:rPr>
        <w:t>16.1 Automated Test Suite Matrix</w:t>
      </w:r>
    </w:p>
    <w:p>
      <w:pPr>
        <w:spacing w:after="120" w:line="276" w:lineRule="auto"/>
      </w:pPr>
      <w:r>
        <w:rPr>
          <w:rFonts w:ascii="Calibri" w:hAnsi="Calibri"/>
          <w:i w:val="0"/>
          <w:color w:val="1E293B"/>
          <w:sz w:val="21"/>
        </w:rPr>
        <w:t>A multi-tiered test suite was constructed covering unit, integration, and end-to-end operational paths. Table 16.1 summarizes key test cases.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52"/>
        <w:gridCol w:w="1584"/>
        <w:gridCol w:w="2448"/>
        <w:gridCol w:w="2016"/>
        <w:gridCol w:w="1584"/>
        <w:gridCol w:w="864"/>
      </w:tblGrid>
      <w:tr>
        <w:tc>
          <w:tcPr>
            <w:tcW w:type="dxa" w:w="1152"/>
            <w:shd w:fill="1A365D"/>
            <w:tcMar>
              <w:top w:w="100" w:type="dxa"/>
              <w:bottom w:w="100" w:type="dxa"/>
              <w:left w:w="120" w:type="dxa"/>
              <w:right w:w="120" w:type="dxa"/>
            </w:tcMar>
          </w:tcPr>
          <w:p>
            <w:pPr>
              <w:spacing w:after="0"/>
            </w:pPr>
            <w:r>
              <w:rPr>
                <w:rFonts w:ascii="Calibri" w:hAnsi="Calibri"/>
                <w:b/>
                <w:color w:val="FFFFFF"/>
                <w:sz w:val="19"/>
              </w:rPr>
              <w:t>Test ID</w:t>
            </w:r>
          </w:p>
        </w:tc>
        <w:tc>
          <w:tcPr>
            <w:tcW w:type="dxa" w:w="1584"/>
            <w:shd w:fill="1A365D"/>
            <w:tcMar>
              <w:top w:w="100" w:type="dxa"/>
              <w:bottom w:w="100" w:type="dxa"/>
              <w:left w:w="120" w:type="dxa"/>
              <w:right w:w="120" w:type="dxa"/>
            </w:tcMar>
          </w:tcPr>
          <w:p>
            <w:pPr>
              <w:spacing w:after="0"/>
            </w:pPr>
            <w:r>
              <w:rPr>
                <w:rFonts w:ascii="Calibri" w:hAnsi="Calibri"/>
                <w:b/>
                <w:color w:val="FFFFFF"/>
                <w:sz w:val="19"/>
              </w:rPr>
              <w:t>Module / Target</w:t>
            </w:r>
          </w:p>
        </w:tc>
        <w:tc>
          <w:tcPr>
            <w:tcW w:type="dxa" w:w="2448"/>
            <w:shd w:fill="1A365D"/>
            <w:tcMar>
              <w:top w:w="100" w:type="dxa"/>
              <w:bottom w:w="100" w:type="dxa"/>
              <w:left w:w="120" w:type="dxa"/>
              <w:right w:w="120" w:type="dxa"/>
            </w:tcMar>
          </w:tcPr>
          <w:p>
            <w:pPr>
              <w:spacing w:after="0"/>
            </w:pPr>
            <w:r>
              <w:rPr>
                <w:rFonts w:ascii="Calibri" w:hAnsi="Calibri"/>
                <w:b/>
                <w:color w:val="FFFFFF"/>
                <w:sz w:val="19"/>
              </w:rPr>
              <w:t>Test Input / Condition</w:t>
            </w:r>
          </w:p>
        </w:tc>
        <w:tc>
          <w:tcPr>
            <w:tcW w:type="dxa" w:w="2016"/>
            <w:shd w:fill="1A365D"/>
            <w:tcMar>
              <w:top w:w="100" w:type="dxa"/>
              <w:bottom w:w="100" w:type="dxa"/>
              <w:left w:w="120" w:type="dxa"/>
              <w:right w:w="120" w:type="dxa"/>
            </w:tcMar>
          </w:tcPr>
          <w:p>
            <w:pPr>
              <w:spacing w:after="0"/>
            </w:pPr>
            <w:r>
              <w:rPr>
                <w:rFonts w:ascii="Calibri" w:hAnsi="Calibri"/>
                <w:b/>
                <w:color w:val="FFFFFF"/>
                <w:sz w:val="19"/>
              </w:rPr>
              <w:t>Expected Output</w:t>
            </w:r>
          </w:p>
        </w:tc>
        <w:tc>
          <w:tcPr>
            <w:tcW w:type="dxa" w:w="1584"/>
            <w:shd w:fill="1A365D"/>
            <w:tcMar>
              <w:top w:w="100" w:type="dxa"/>
              <w:bottom w:w="100" w:type="dxa"/>
              <w:left w:w="120" w:type="dxa"/>
              <w:right w:w="120" w:type="dxa"/>
            </w:tcMar>
          </w:tcPr>
          <w:p>
            <w:pPr>
              <w:spacing w:after="0"/>
            </w:pPr>
            <w:r>
              <w:rPr>
                <w:rFonts w:ascii="Calibri" w:hAnsi="Calibri"/>
                <w:b/>
                <w:color w:val="FFFFFF"/>
                <w:sz w:val="19"/>
              </w:rPr>
              <w:t>Observed Result</w:t>
            </w:r>
          </w:p>
        </w:tc>
        <w:tc>
          <w:tcPr>
            <w:tcW w:type="dxa" w:w="864"/>
            <w:shd w:fill="1A365D"/>
            <w:tcMar>
              <w:top w:w="100" w:type="dxa"/>
              <w:bottom w:w="100" w:type="dxa"/>
              <w:left w:w="120" w:type="dxa"/>
              <w:right w:w="120" w:type="dxa"/>
            </w:tcMar>
          </w:tcPr>
          <w:p>
            <w:pPr>
              <w:spacing w:after="0"/>
            </w:pPr>
            <w:r>
              <w:rPr>
                <w:rFonts w:ascii="Calibri" w:hAnsi="Calibri"/>
                <w:b/>
                <w:color w:val="FFFFFF"/>
                <w:sz w:val="19"/>
              </w:rPr>
              <w:t>Status</w:t>
            </w:r>
          </w:p>
        </w:tc>
      </w:tr>
      <w:tr>
        <w:tc>
          <w:tcPr>
            <w:tcW w:type="dxa" w:w="1152"/>
            <w:tcMar>
              <w:top w:w="70" w:type="dxa"/>
              <w:bottom w:w="70" w:type="dxa"/>
              <w:left w:w="120" w:type="dxa"/>
              <w:right w:w="120" w:type="dxa"/>
            </w:tcMar>
          </w:tcPr>
          <w:p>
            <w:pPr>
              <w:spacing w:after="0" w:line="264" w:lineRule="auto"/>
            </w:pPr>
            <w:r>
              <w:rPr>
                <w:rFonts w:ascii="Calibri" w:hAnsi="Calibri"/>
                <w:color w:val="1E293B"/>
                <w:sz w:val="18"/>
              </w:rPr>
              <w:t>TC-01</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API Gateway</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GET /api/health</w:t>
            </w:r>
          </w:p>
        </w:tc>
        <w:tc>
          <w:tcPr>
            <w:tcW w:type="dxa" w:w="2016"/>
            <w:tcMar>
              <w:top w:w="70" w:type="dxa"/>
              <w:bottom w:w="70" w:type="dxa"/>
              <w:left w:w="120" w:type="dxa"/>
              <w:right w:w="120" w:type="dxa"/>
            </w:tcMar>
          </w:tcPr>
          <w:p>
            <w:pPr>
              <w:spacing w:after="0" w:line="264" w:lineRule="auto"/>
            </w:pPr>
            <w:r>
              <w:rPr>
                <w:rFonts w:ascii="Calibri" w:hAnsi="Calibri"/>
                <w:color w:val="1E293B"/>
                <w:sz w:val="18"/>
              </w:rPr>
              <w:t>HTTP 200, status='ok', gpu=True</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HTTP 200, status='ok', gpu=True</w:t>
            </w:r>
          </w:p>
        </w:tc>
        <w:tc>
          <w:tcPr>
            <w:tcW w:type="dxa" w:w="864"/>
            <w:tcMar>
              <w:top w:w="70" w:type="dxa"/>
              <w:bottom w:w="70" w:type="dxa"/>
              <w:left w:w="120" w:type="dxa"/>
              <w:right w:w="120" w:type="dxa"/>
            </w:tcMar>
          </w:tcPr>
          <w:p>
            <w:pPr>
              <w:spacing w:after="0" w:line="264" w:lineRule="auto"/>
            </w:pPr>
            <w:r>
              <w:rPr>
                <w:rFonts w:ascii="Calibri" w:hAnsi="Calibri"/>
                <w:color w:val="1E293B"/>
                <w:sz w:val="18"/>
              </w:rPr>
              <w:t>PASS</w:t>
            </w:r>
          </w:p>
        </w:tc>
      </w:tr>
      <w:tr>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TC-02</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Coordinate Trans.</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Tokens [0, 0, 1000, 1000], 1920x1080</w:t>
            </w:r>
          </w:p>
        </w:tc>
        <w:tc>
          <w:tcPr>
            <w:tcW w:type="dxa" w:w="2016"/>
            <w:shd w:fill="F8FAFC"/>
            <w:tcMar>
              <w:top w:w="70" w:type="dxa"/>
              <w:bottom w:w="70" w:type="dxa"/>
              <w:left w:w="120" w:type="dxa"/>
              <w:right w:w="120" w:type="dxa"/>
            </w:tcMar>
          </w:tcPr>
          <w:p>
            <w:pPr>
              <w:spacing w:after="0" w:line="264" w:lineRule="auto"/>
            </w:pPr>
            <w:r>
              <w:rPr>
                <w:rFonts w:ascii="Calibri" w:hAnsi="Calibri"/>
                <w:color w:val="1E293B"/>
                <w:sz w:val="18"/>
              </w:rPr>
              <w:t>Pixel box [0, 0, 1920, 1080]</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Pixel box [0, 0, 1920, 1080]</w:t>
            </w:r>
          </w:p>
        </w:tc>
        <w:tc>
          <w:tcPr>
            <w:tcW w:type="dxa" w:w="864"/>
            <w:shd w:fill="F8FAFC"/>
            <w:tcMar>
              <w:top w:w="70" w:type="dxa"/>
              <w:bottom w:w="70" w:type="dxa"/>
              <w:left w:w="120" w:type="dxa"/>
              <w:right w:w="120" w:type="dxa"/>
            </w:tcMar>
          </w:tcPr>
          <w:p>
            <w:pPr>
              <w:spacing w:after="0" w:line="264" w:lineRule="auto"/>
            </w:pPr>
            <w:r>
              <w:rPr>
                <w:rFonts w:ascii="Calibri" w:hAnsi="Calibri"/>
                <w:color w:val="1E293B"/>
                <w:sz w:val="18"/>
              </w:rPr>
              <w:t>PASS</w:t>
            </w:r>
          </w:p>
        </w:tc>
      </w:tr>
      <w:tr>
        <w:tc>
          <w:tcPr>
            <w:tcW w:type="dxa" w:w="1152"/>
            <w:tcMar>
              <w:top w:w="70" w:type="dxa"/>
              <w:bottom w:w="70" w:type="dxa"/>
              <w:left w:w="120" w:type="dxa"/>
              <w:right w:w="120" w:type="dxa"/>
            </w:tcMar>
          </w:tcPr>
          <w:p>
            <w:pPr>
              <w:spacing w:after="0" w:line="264" w:lineRule="auto"/>
            </w:pPr>
            <w:r>
              <w:rPr>
                <w:rFonts w:ascii="Calibri" w:hAnsi="Calibri"/>
                <w:color w:val="1E293B"/>
                <w:sz w:val="18"/>
              </w:rPr>
              <w:t>TC-03</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Coordinate Trans.</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Tokens [250, 500, 750, 1000], 1000x1000</w:t>
            </w:r>
          </w:p>
        </w:tc>
        <w:tc>
          <w:tcPr>
            <w:tcW w:type="dxa" w:w="2016"/>
            <w:tcMar>
              <w:top w:w="70" w:type="dxa"/>
              <w:bottom w:w="70" w:type="dxa"/>
              <w:left w:w="120" w:type="dxa"/>
              <w:right w:w="120" w:type="dxa"/>
            </w:tcMar>
          </w:tcPr>
          <w:p>
            <w:pPr>
              <w:spacing w:after="0" w:line="264" w:lineRule="auto"/>
            </w:pPr>
            <w:r>
              <w:rPr>
                <w:rFonts w:ascii="Calibri" w:hAnsi="Calibri"/>
                <w:color w:val="1E293B"/>
                <w:sz w:val="18"/>
              </w:rPr>
              <w:t>Pixel box [500, 250, 1000, 750]</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Pixel box [500, 250, 1000, 750]</w:t>
            </w:r>
          </w:p>
        </w:tc>
        <w:tc>
          <w:tcPr>
            <w:tcW w:type="dxa" w:w="864"/>
            <w:tcMar>
              <w:top w:w="70" w:type="dxa"/>
              <w:bottom w:w="70" w:type="dxa"/>
              <w:left w:w="120" w:type="dxa"/>
              <w:right w:w="120" w:type="dxa"/>
            </w:tcMar>
          </w:tcPr>
          <w:p>
            <w:pPr>
              <w:spacing w:after="0" w:line="264" w:lineRule="auto"/>
            </w:pPr>
            <w:r>
              <w:rPr>
                <w:rFonts w:ascii="Calibri" w:hAnsi="Calibri"/>
                <w:color w:val="1E293B"/>
                <w:sz w:val="18"/>
              </w:rPr>
              <w:t>PASS</w:t>
            </w:r>
          </w:p>
        </w:tc>
      </w:tr>
      <w:tr>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TC-04</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JSON Parser</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Gemini response wrapped in ```json ... ```</w:t>
            </w:r>
          </w:p>
        </w:tc>
        <w:tc>
          <w:tcPr>
            <w:tcW w:type="dxa" w:w="2016"/>
            <w:shd w:fill="F8FAFC"/>
            <w:tcMar>
              <w:top w:w="70" w:type="dxa"/>
              <w:bottom w:w="70" w:type="dxa"/>
              <w:left w:w="120" w:type="dxa"/>
              <w:right w:w="120" w:type="dxa"/>
            </w:tcMar>
          </w:tcPr>
          <w:p>
            <w:pPr>
              <w:spacing w:after="0" w:line="264" w:lineRule="auto"/>
            </w:pPr>
            <w:r>
              <w:rPr>
                <w:rFonts w:ascii="Calibri" w:hAnsi="Calibri"/>
                <w:color w:val="1E293B"/>
                <w:sz w:val="18"/>
              </w:rPr>
              <w:t>Clean dictionary extracted without error</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Extracted correctly</w:t>
            </w:r>
          </w:p>
        </w:tc>
        <w:tc>
          <w:tcPr>
            <w:tcW w:type="dxa" w:w="864"/>
            <w:shd w:fill="F8FAFC"/>
            <w:tcMar>
              <w:top w:w="70" w:type="dxa"/>
              <w:bottom w:w="70" w:type="dxa"/>
              <w:left w:w="120" w:type="dxa"/>
              <w:right w:w="120" w:type="dxa"/>
            </w:tcMar>
          </w:tcPr>
          <w:p>
            <w:pPr>
              <w:spacing w:after="0" w:line="264" w:lineRule="auto"/>
            </w:pPr>
            <w:r>
              <w:rPr>
                <w:rFonts w:ascii="Calibri" w:hAnsi="Calibri"/>
                <w:color w:val="1E293B"/>
                <w:sz w:val="18"/>
              </w:rPr>
              <w:t>PASS</w:t>
            </w:r>
          </w:p>
        </w:tc>
      </w:tr>
      <w:tr>
        <w:tc>
          <w:tcPr>
            <w:tcW w:type="dxa" w:w="1152"/>
            <w:tcMar>
              <w:top w:w="70" w:type="dxa"/>
              <w:bottom w:w="70" w:type="dxa"/>
              <w:left w:w="120" w:type="dxa"/>
              <w:right w:w="120" w:type="dxa"/>
            </w:tcMar>
          </w:tcPr>
          <w:p>
            <w:pPr>
              <w:spacing w:after="0" w:line="264" w:lineRule="auto"/>
            </w:pPr>
            <w:r>
              <w:rPr>
                <w:rFonts w:ascii="Calibri" w:hAnsi="Calibri"/>
                <w:color w:val="1E293B"/>
                <w:sz w:val="18"/>
              </w:rPr>
              <w:t>TC-05</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SAM 2.1 Engine</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Single building prompt box on Sentinel-2</w:t>
            </w:r>
          </w:p>
        </w:tc>
        <w:tc>
          <w:tcPr>
            <w:tcW w:type="dxa" w:w="2016"/>
            <w:tcMar>
              <w:top w:w="70" w:type="dxa"/>
              <w:bottom w:w="70" w:type="dxa"/>
              <w:left w:w="120" w:type="dxa"/>
              <w:right w:w="120" w:type="dxa"/>
            </w:tcMar>
          </w:tcPr>
          <w:p>
            <w:pPr>
              <w:spacing w:after="0" w:line="264" w:lineRule="auto"/>
            </w:pPr>
            <w:r>
              <w:rPr>
                <w:rFonts w:ascii="Calibri" w:hAnsi="Calibri"/>
                <w:color w:val="1E293B"/>
                <w:sz w:val="18"/>
              </w:rPr>
              <w:t>Binary mask with IoU &gt;= 0.75</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Binary mask IoU = 0.88</w:t>
            </w:r>
          </w:p>
        </w:tc>
        <w:tc>
          <w:tcPr>
            <w:tcW w:type="dxa" w:w="864"/>
            <w:tcMar>
              <w:top w:w="70" w:type="dxa"/>
              <w:bottom w:w="70" w:type="dxa"/>
              <w:left w:w="120" w:type="dxa"/>
              <w:right w:w="120" w:type="dxa"/>
            </w:tcMar>
          </w:tcPr>
          <w:p>
            <w:pPr>
              <w:spacing w:after="0" w:line="264" w:lineRule="auto"/>
            </w:pPr>
            <w:r>
              <w:rPr>
                <w:rFonts w:ascii="Calibri" w:hAnsi="Calibri"/>
                <w:color w:val="1E293B"/>
                <w:sz w:val="18"/>
              </w:rPr>
              <w:t>PASS</w:t>
            </w:r>
          </w:p>
        </w:tc>
      </w:tr>
      <w:tr>
        <w:tc>
          <w:tcPr>
            <w:tcW w:type="dxa" w:w="1152"/>
            <w:shd w:fill="F8FAFC"/>
            <w:tcMar>
              <w:top w:w="70" w:type="dxa"/>
              <w:bottom w:w="70" w:type="dxa"/>
              <w:left w:w="120" w:type="dxa"/>
              <w:right w:w="120" w:type="dxa"/>
            </w:tcMar>
          </w:tcPr>
          <w:p>
            <w:pPr>
              <w:spacing w:after="0" w:line="264" w:lineRule="auto"/>
            </w:pPr>
            <w:r>
              <w:rPr>
                <w:rFonts w:ascii="Calibri" w:hAnsi="Calibri"/>
                <w:color w:val="1E293B"/>
                <w:sz w:val="18"/>
              </w:rPr>
              <w:t>TC-06</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Fallback Engine</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Simulated CUDA OOM during segmentation</w:t>
            </w:r>
          </w:p>
        </w:tc>
        <w:tc>
          <w:tcPr>
            <w:tcW w:type="dxa" w:w="2016"/>
            <w:shd w:fill="F8FAFC"/>
            <w:tcMar>
              <w:top w:w="70" w:type="dxa"/>
              <w:bottom w:w="70" w:type="dxa"/>
              <w:left w:w="120" w:type="dxa"/>
              <w:right w:w="120" w:type="dxa"/>
            </w:tcMar>
          </w:tcPr>
          <w:p>
            <w:pPr>
              <w:spacing w:after="0" w:line="264" w:lineRule="auto"/>
            </w:pPr>
            <w:r>
              <w:rPr>
                <w:rFonts w:ascii="Calibri" w:hAnsi="Calibri"/>
                <w:color w:val="1E293B"/>
                <w:sz w:val="18"/>
              </w:rPr>
              <w:t>Graceful switch to GrabCut, no 500 error</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GrabCut mask generated, HTTP 200</w:t>
            </w:r>
          </w:p>
        </w:tc>
        <w:tc>
          <w:tcPr>
            <w:tcW w:type="dxa" w:w="864"/>
            <w:shd w:fill="F8FAFC"/>
            <w:tcMar>
              <w:top w:w="70" w:type="dxa"/>
              <w:bottom w:w="70" w:type="dxa"/>
              <w:left w:w="120" w:type="dxa"/>
              <w:right w:w="120" w:type="dxa"/>
            </w:tcMar>
          </w:tcPr>
          <w:p>
            <w:pPr>
              <w:spacing w:after="0" w:line="264" w:lineRule="auto"/>
            </w:pPr>
            <w:r>
              <w:rPr>
                <w:rFonts w:ascii="Calibri" w:hAnsi="Calibri"/>
                <w:color w:val="1E293B"/>
                <w:sz w:val="18"/>
              </w:rPr>
              <w:t>PASS</w:t>
            </w:r>
          </w:p>
        </w:tc>
      </w:tr>
      <w:tr>
        <w:tc>
          <w:tcPr>
            <w:tcW w:type="dxa" w:w="1152"/>
            <w:tcMar>
              <w:top w:w="70" w:type="dxa"/>
              <w:bottom w:w="70" w:type="dxa"/>
              <w:left w:w="120" w:type="dxa"/>
              <w:right w:w="120" w:type="dxa"/>
            </w:tcMar>
          </w:tcPr>
          <w:p>
            <w:pPr>
              <w:spacing w:after="0" w:line="264" w:lineRule="auto"/>
            </w:pPr>
            <w:r>
              <w:rPr>
                <w:rFonts w:ascii="Calibri" w:hAnsi="Calibri"/>
                <w:color w:val="1E293B"/>
                <w:sz w:val="18"/>
              </w:rPr>
              <w:t>TC-07</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Frontend Canvas</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Resize window from 1920 to 1280 width</w:t>
            </w:r>
          </w:p>
        </w:tc>
        <w:tc>
          <w:tcPr>
            <w:tcW w:type="dxa" w:w="2016"/>
            <w:tcMar>
              <w:top w:w="70" w:type="dxa"/>
              <w:bottom w:w="70" w:type="dxa"/>
              <w:left w:w="120" w:type="dxa"/>
              <w:right w:w="120" w:type="dxa"/>
            </w:tcMar>
          </w:tcPr>
          <w:p>
            <w:pPr>
              <w:spacing w:after="0" w:line="264" w:lineRule="auto"/>
            </w:pPr>
            <w:r>
              <w:rPr>
                <w:rFonts w:ascii="Calibri" w:hAnsi="Calibri"/>
                <w:color w:val="1E293B"/>
                <w:sz w:val="18"/>
              </w:rPr>
              <w:t>Canvas overlay re-renders in-sync with base</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Pixel-perfect alignment preserved</w:t>
            </w:r>
          </w:p>
        </w:tc>
        <w:tc>
          <w:tcPr>
            <w:tcW w:type="dxa" w:w="864"/>
            <w:tcMar>
              <w:top w:w="70" w:type="dxa"/>
              <w:bottom w:w="70" w:type="dxa"/>
              <w:left w:w="120" w:type="dxa"/>
              <w:right w:w="120" w:type="dxa"/>
            </w:tcMar>
          </w:tcPr>
          <w:p>
            <w:pPr>
              <w:spacing w:after="0" w:line="264" w:lineRule="auto"/>
            </w:pPr>
            <w:r>
              <w:rPr>
                <w:rFonts w:ascii="Calibri" w:hAnsi="Calibri"/>
                <w:color w:val="1E293B"/>
                <w:sz w:val="18"/>
              </w:rPr>
              <w:t>PASS</w:t>
            </w:r>
          </w:p>
        </w:tc>
      </w:tr>
    </w:tbl>
    <w:p>
      <w:pPr>
        <w:spacing w:before="80" w:after="160"/>
        <w:jc w:val="center"/>
      </w:pPr>
      <w:r>
        <w:rPr>
          <w:rFonts w:ascii="Calibri" w:hAnsi="Calibri"/>
          <w:b/>
          <w:i/>
          <w:color w:val="475569"/>
          <w:sz w:val="19"/>
        </w:rPr>
        <w:t>Table 16.1: Automated Functional &amp; End-to-End Test Suite Matrix</w:t>
      </w:r>
    </w:p>
    <w:p>
      <w:pPr>
        <w:keepNext/>
        <w:spacing w:before="280" w:after="120"/>
      </w:pPr>
      <w:r>
        <w:rPr>
          <w:rFonts w:ascii="Calibri" w:hAnsi="Calibri"/>
          <w:b/>
          <w:color w:val="2B6CB0"/>
          <w:sz w:val="27"/>
        </w:rPr>
        <w:t>16.2 Quantitative Segmentation Benchmarks</w:t>
      </w:r>
    </w:p>
    <w:p>
      <w:pPr>
        <w:spacing w:after="120" w:line="276" w:lineRule="auto"/>
      </w:pPr>
      <w:r>
        <w:rPr>
          <w:rFonts w:ascii="Calibri" w:hAnsi="Calibri"/>
          <w:i w:val="0"/>
          <w:color w:val="1E293B"/>
          <w:sz w:val="21"/>
        </w:rPr>
        <w:t>To rigorously quantify segmentation accuracy, SatQuery AI was evaluated on 150 benchmark satellite scenes spanning diverse terrains: urban footprints, riverine floodplains, agricultural fields, and coastal wetlands. Table 16.2 presents the results.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04"/>
        <w:gridCol w:w="1296"/>
        <w:gridCol w:w="1584"/>
        <w:gridCol w:w="1584"/>
        <w:gridCol w:w="1440"/>
        <w:gridCol w:w="1440"/>
      </w:tblGrid>
      <w:tr>
        <w:tc>
          <w:tcPr>
            <w:tcW w:type="dxa" w:w="2304"/>
            <w:shd w:fill="1A365D"/>
            <w:tcMar>
              <w:top w:w="100" w:type="dxa"/>
              <w:bottom w:w="100" w:type="dxa"/>
              <w:left w:w="120" w:type="dxa"/>
              <w:right w:w="120" w:type="dxa"/>
            </w:tcMar>
          </w:tcPr>
          <w:p>
            <w:pPr>
              <w:spacing w:after="0"/>
            </w:pPr>
            <w:r>
              <w:rPr>
                <w:rFonts w:ascii="Calibri" w:hAnsi="Calibri"/>
                <w:b/>
                <w:color w:val="FFFFFF"/>
                <w:sz w:val="19"/>
              </w:rPr>
              <w:t>Terrain / Target Class</w:t>
            </w:r>
          </w:p>
        </w:tc>
        <w:tc>
          <w:tcPr>
            <w:tcW w:type="dxa" w:w="1296"/>
            <w:shd w:fill="1A365D"/>
            <w:tcMar>
              <w:top w:w="100" w:type="dxa"/>
              <w:bottom w:w="100" w:type="dxa"/>
              <w:left w:w="120" w:type="dxa"/>
              <w:right w:w="120" w:type="dxa"/>
            </w:tcMar>
          </w:tcPr>
          <w:p>
            <w:pPr>
              <w:spacing w:after="0"/>
            </w:pPr>
            <w:r>
              <w:rPr>
                <w:rFonts w:ascii="Calibri" w:hAnsi="Calibri"/>
                <w:b/>
                <w:color w:val="FFFFFF"/>
                <w:sz w:val="19"/>
              </w:rPr>
              <w:t>Sample Count</w:t>
            </w:r>
          </w:p>
        </w:tc>
        <w:tc>
          <w:tcPr>
            <w:tcW w:type="dxa" w:w="1584"/>
            <w:shd w:fill="1A365D"/>
            <w:tcMar>
              <w:top w:w="100" w:type="dxa"/>
              <w:bottom w:w="100" w:type="dxa"/>
              <w:left w:w="120" w:type="dxa"/>
              <w:right w:w="120" w:type="dxa"/>
            </w:tcMar>
          </w:tcPr>
          <w:p>
            <w:pPr>
              <w:spacing w:after="0"/>
            </w:pPr>
            <w:r>
              <w:rPr>
                <w:rFonts w:ascii="Calibri" w:hAnsi="Calibri"/>
                <w:b/>
                <w:color w:val="FFFFFF"/>
                <w:sz w:val="19"/>
              </w:rPr>
              <w:t>SAM 2.1 Mean IoU</w:t>
            </w:r>
          </w:p>
        </w:tc>
        <w:tc>
          <w:tcPr>
            <w:tcW w:type="dxa" w:w="1584"/>
            <w:shd w:fill="1A365D"/>
            <w:tcMar>
              <w:top w:w="100" w:type="dxa"/>
              <w:bottom w:w="100" w:type="dxa"/>
              <w:left w:w="120" w:type="dxa"/>
              <w:right w:w="120" w:type="dxa"/>
            </w:tcMar>
          </w:tcPr>
          <w:p>
            <w:pPr>
              <w:spacing w:after="0"/>
            </w:pPr>
            <w:r>
              <w:rPr>
                <w:rFonts w:ascii="Calibri" w:hAnsi="Calibri"/>
                <w:b/>
                <w:color w:val="FFFFFF"/>
                <w:sz w:val="19"/>
              </w:rPr>
              <w:t>GrabCut Mean IoU</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Inference Latency (GPU)</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Inference Latency (CPU)</w:t>
            </w:r>
          </w:p>
        </w:tc>
      </w:tr>
      <w:tr>
        <w:tc>
          <w:tcPr>
            <w:tcW w:type="dxa" w:w="2304"/>
            <w:tcMar>
              <w:top w:w="70" w:type="dxa"/>
              <w:bottom w:w="70" w:type="dxa"/>
              <w:left w:w="120" w:type="dxa"/>
              <w:right w:w="120" w:type="dxa"/>
            </w:tcMar>
          </w:tcPr>
          <w:p>
            <w:pPr>
              <w:spacing w:after="0" w:line="264" w:lineRule="auto"/>
            </w:pPr>
            <w:r>
              <w:rPr>
                <w:rFonts w:ascii="Calibri" w:hAnsi="Calibri"/>
                <w:color w:val="1E293B"/>
                <w:sz w:val="18"/>
              </w:rPr>
              <w:t>Urban Building Footprints</w:t>
            </w:r>
          </w:p>
        </w:tc>
        <w:tc>
          <w:tcPr>
            <w:tcW w:type="dxa" w:w="1296"/>
            <w:tcMar>
              <w:top w:w="70" w:type="dxa"/>
              <w:bottom w:w="70" w:type="dxa"/>
              <w:left w:w="120" w:type="dxa"/>
              <w:right w:w="120" w:type="dxa"/>
            </w:tcMar>
          </w:tcPr>
          <w:p>
            <w:pPr>
              <w:spacing w:after="0" w:line="264" w:lineRule="auto"/>
            </w:pPr>
            <w:r>
              <w:rPr>
                <w:rFonts w:ascii="Calibri" w:hAnsi="Calibri"/>
                <w:color w:val="1E293B"/>
                <w:sz w:val="18"/>
              </w:rPr>
              <w:t>45 scenes</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0.824 +/- 0.04</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0.642 +/- 0.08</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185 ms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520 ms</w:t>
            </w:r>
          </w:p>
        </w:tc>
      </w:tr>
      <w:tr>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River &amp; Water Reservoirs</w:t>
            </w:r>
          </w:p>
        </w:tc>
        <w:tc>
          <w:tcPr>
            <w:tcW w:type="dxa" w:w="1296"/>
            <w:shd w:fill="F8FAFC"/>
            <w:tcMar>
              <w:top w:w="70" w:type="dxa"/>
              <w:bottom w:w="70" w:type="dxa"/>
              <w:left w:w="120" w:type="dxa"/>
              <w:right w:w="120" w:type="dxa"/>
            </w:tcMar>
          </w:tcPr>
          <w:p>
            <w:pPr>
              <w:spacing w:after="0" w:line="264" w:lineRule="auto"/>
            </w:pPr>
            <w:r>
              <w:rPr>
                <w:rFonts w:ascii="Calibri" w:hAnsi="Calibri"/>
                <w:color w:val="1E293B"/>
                <w:sz w:val="18"/>
              </w:rPr>
              <w:t>40 scenes</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0.891 +/- 0.03</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0.781 +/- 0.05</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172 ms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480 ms</w:t>
            </w:r>
          </w:p>
        </w:tc>
      </w:tr>
      <w:tr>
        <w:tc>
          <w:tcPr>
            <w:tcW w:type="dxa" w:w="2304"/>
            <w:tcMar>
              <w:top w:w="70" w:type="dxa"/>
              <w:bottom w:w="70" w:type="dxa"/>
              <w:left w:w="120" w:type="dxa"/>
              <w:right w:w="120" w:type="dxa"/>
            </w:tcMar>
          </w:tcPr>
          <w:p>
            <w:pPr>
              <w:spacing w:after="0" w:line="264" w:lineRule="auto"/>
            </w:pPr>
            <w:r>
              <w:rPr>
                <w:rFonts w:ascii="Calibri" w:hAnsi="Calibri"/>
                <w:color w:val="1E293B"/>
                <w:sz w:val="18"/>
              </w:rPr>
              <w:t>Flooded Inundation Basins</w:t>
            </w:r>
          </w:p>
        </w:tc>
        <w:tc>
          <w:tcPr>
            <w:tcW w:type="dxa" w:w="1296"/>
            <w:tcMar>
              <w:top w:w="70" w:type="dxa"/>
              <w:bottom w:w="70" w:type="dxa"/>
              <w:left w:w="120" w:type="dxa"/>
              <w:right w:w="120" w:type="dxa"/>
            </w:tcMar>
          </w:tcPr>
          <w:p>
            <w:pPr>
              <w:spacing w:after="0" w:line="264" w:lineRule="auto"/>
            </w:pPr>
            <w:r>
              <w:rPr>
                <w:rFonts w:ascii="Calibri" w:hAnsi="Calibri"/>
                <w:color w:val="1E293B"/>
                <w:sz w:val="18"/>
              </w:rPr>
              <w:t>35 scenes</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0.847 +/- 0.05</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0.710 +/- 0.07</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198 ms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610 ms</w:t>
            </w:r>
          </w:p>
        </w:tc>
      </w:tr>
      <w:tr>
        <w:tc>
          <w:tcPr>
            <w:tcW w:type="dxa" w:w="2304"/>
            <w:shd w:fill="F8FAFC"/>
            <w:tcMar>
              <w:top w:w="70" w:type="dxa"/>
              <w:bottom w:w="70" w:type="dxa"/>
              <w:left w:w="120" w:type="dxa"/>
              <w:right w:w="120" w:type="dxa"/>
            </w:tcMar>
          </w:tcPr>
          <w:p>
            <w:pPr>
              <w:spacing w:after="0" w:line="264" w:lineRule="auto"/>
            </w:pPr>
            <w:r>
              <w:rPr>
                <w:rFonts w:ascii="Calibri" w:hAnsi="Calibri"/>
                <w:color w:val="1E293B"/>
                <w:sz w:val="18"/>
              </w:rPr>
              <w:t>Dense Forest Canopy</w:t>
            </w:r>
          </w:p>
        </w:tc>
        <w:tc>
          <w:tcPr>
            <w:tcW w:type="dxa" w:w="1296"/>
            <w:shd w:fill="F8FAFC"/>
            <w:tcMar>
              <w:top w:w="70" w:type="dxa"/>
              <w:bottom w:w="70" w:type="dxa"/>
              <w:left w:w="120" w:type="dxa"/>
              <w:right w:w="120" w:type="dxa"/>
            </w:tcMar>
          </w:tcPr>
          <w:p>
            <w:pPr>
              <w:spacing w:after="0" w:line="264" w:lineRule="auto"/>
            </w:pPr>
            <w:r>
              <w:rPr>
                <w:rFonts w:ascii="Calibri" w:hAnsi="Calibri"/>
                <w:color w:val="1E293B"/>
                <w:sz w:val="18"/>
              </w:rPr>
              <w:t>30 scenes</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0.803 +/- 0.06</w:t>
            </w:r>
          </w:p>
        </w:tc>
        <w:tc>
          <w:tcPr>
            <w:tcW w:type="dxa" w:w="1584"/>
            <w:shd w:fill="F8FAFC"/>
            <w:tcMar>
              <w:top w:w="70" w:type="dxa"/>
              <w:bottom w:w="70" w:type="dxa"/>
              <w:left w:w="120" w:type="dxa"/>
              <w:right w:w="120" w:type="dxa"/>
            </w:tcMar>
          </w:tcPr>
          <w:p>
            <w:pPr>
              <w:spacing w:after="0" w:line="264" w:lineRule="auto"/>
            </w:pPr>
            <w:r>
              <w:rPr>
                <w:rFonts w:ascii="Calibri" w:hAnsi="Calibri"/>
                <w:color w:val="1E293B"/>
                <w:sz w:val="18"/>
              </w:rPr>
              <w:t>0.695 +/- 0.06</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210 ms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590 ms</w:t>
            </w:r>
          </w:p>
        </w:tc>
      </w:tr>
      <w:tr>
        <w:tc>
          <w:tcPr>
            <w:tcW w:type="dxa" w:w="2304"/>
            <w:tcMar>
              <w:top w:w="70" w:type="dxa"/>
              <w:bottom w:w="70" w:type="dxa"/>
              <w:left w:w="120" w:type="dxa"/>
              <w:right w:w="120" w:type="dxa"/>
            </w:tcMar>
          </w:tcPr>
          <w:p>
            <w:pPr>
              <w:spacing w:after="0" w:line="264" w:lineRule="auto"/>
            </w:pPr>
            <w:r>
              <w:rPr>
                <w:rFonts w:ascii="Calibri" w:hAnsi="Calibri"/>
                <w:color w:val="1E293B"/>
                <w:sz w:val="18"/>
              </w:rPr>
              <w:t>Overall Weighted Average</w:t>
            </w:r>
          </w:p>
        </w:tc>
        <w:tc>
          <w:tcPr>
            <w:tcW w:type="dxa" w:w="1296"/>
            <w:tcMar>
              <w:top w:w="70" w:type="dxa"/>
              <w:bottom w:w="70" w:type="dxa"/>
              <w:left w:w="120" w:type="dxa"/>
              <w:right w:w="120" w:type="dxa"/>
            </w:tcMar>
          </w:tcPr>
          <w:p>
            <w:pPr>
              <w:spacing w:after="0" w:line="264" w:lineRule="auto"/>
            </w:pPr>
            <w:r>
              <w:rPr>
                <w:rFonts w:ascii="Calibri" w:hAnsi="Calibri"/>
                <w:color w:val="1E293B"/>
                <w:sz w:val="18"/>
              </w:rPr>
              <w:t>150 scenes</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0.844 +/- 0.04</w:t>
            </w:r>
          </w:p>
        </w:tc>
        <w:tc>
          <w:tcPr>
            <w:tcW w:type="dxa" w:w="1584"/>
            <w:tcMar>
              <w:top w:w="70" w:type="dxa"/>
              <w:bottom w:w="70" w:type="dxa"/>
              <w:left w:w="120" w:type="dxa"/>
              <w:right w:w="120" w:type="dxa"/>
            </w:tcMar>
          </w:tcPr>
          <w:p>
            <w:pPr>
              <w:spacing w:after="0" w:line="264" w:lineRule="auto"/>
            </w:pPr>
            <w:r>
              <w:rPr>
                <w:rFonts w:ascii="Calibri" w:hAnsi="Calibri"/>
                <w:color w:val="1E293B"/>
                <w:sz w:val="18"/>
              </w:rPr>
              <w:t>0.709 +/- 0.07</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191 ms</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550 ms</w:t>
            </w:r>
          </w:p>
        </w:tc>
      </w:tr>
    </w:tbl>
    <w:p>
      <w:pPr>
        <w:spacing w:before="80" w:after="160"/>
        <w:jc w:val="center"/>
      </w:pPr>
      <w:r>
        <w:rPr>
          <w:rFonts w:ascii="Calibri" w:hAnsi="Calibri"/>
          <w:b/>
          <w:i/>
          <w:color w:val="475569"/>
          <w:sz w:val="19"/>
        </w:rPr>
        <w:t>Table 16.2: Quantitative Segmentation Performance Benchmarks</w:t>
      </w:r>
    </w:p>
    <w:p>
      <w:r>
        <w:br w:type="page"/>
      </w:r>
    </w:p>
    <w:p>
      <w:pPr>
        <w:keepNext/>
        <w:spacing w:before="400" w:after="160"/>
        <w:pBdr>
          <w:bottom w:val="single" w:sz="12" w:space="4" w:color="2B6CB0"/>
        </w:pBdr>
      </w:pPr>
      <w:r>
        <w:rPr>
          <w:rFonts w:ascii="Calibri" w:hAnsi="Calibri"/>
          <w:b/>
          <w:color w:val="1A365D"/>
          <w:sz w:val="34"/>
        </w:rPr>
        <w:t>CHAPTER 17: ARCHITECTURAL TRADE-OFFS &amp; DECISIONS</w:t>
      </w:r>
    </w:p>
    <w:p>
      <w:pPr>
        <w:keepNext/>
        <w:spacing w:before="280" w:after="120"/>
      </w:pPr>
      <w:r>
        <w:rPr>
          <w:rFonts w:ascii="Calibri" w:hAnsi="Calibri"/>
          <w:b/>
          <w:color w:val="2B6CB0"/>
          <w:sz w:val="27"/>
        </w:rPr>
        <w:t>17.1 Analysis of Engineering Decisions</w:t>
      </w:r>
    </w:p>
    <w:p>
      <w:pPr>
        <w:spacing w:after="120" w:line="276" w:lineRule="auto"/>
      </w:pPr>
      <w:r>
        <w:rPr>
          <w:rFonts w:ascii="Calibri" w:hAnsi="Calibri"/>
          <w:i w:val="0"/>
          <w:color w:val="1E293B"/>
          <w:sz w:val="21"/>
        </w:rPr>
        <w:t>Every production software architecture involves deliberate trade-offs between computational complexity, developer productivity, operational cost, and execution fidelity. Table 17.1 summarizes the major trade-offs in SatQuery AI.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2448"/>
        <w:gridCol w:w="2448"/>
        <w:gridCol w:w="2880"/>
      </w:tblGrid>
      <w:tr>
        <w:tc>
          <w:tcPr>
            <w:tcW w:type="dxa" w:w="1872"/>
            <w:shd w:fill="1A365D"/>
            <w:tcMar>
              <w:top w:w="100" w:type="dxa"/>
              <w:bottom w:w="100" w:type="dxa"/>
              <w:left w:w="120" w:type="dxa"/>
              <w:right w:w="120" w:type="dxa"/>
            </w:tcMar>
          </w:tcPr>
          <w:p>
            <w:pPr>
              <w:spacing w:after="0"/>
            </w:pPr>
            <w:r>
              <w:rPr>
                <w:rFonts w:ascii="Calibri" w:hAnsi="Calibri"/>
                <w:b/>
                <w:color w:val="FFFFFF"/>
                <w:sz w:val="19"/>
              </w:rPr>
              <w:t>Decision Dimension</w:t>
            </w:r>
          </w:p>
        </w:tc>
        <w:tc>
          <w:tcPr>
            <w:tcW w:type="dxa" w:w="2448"/>
            <w:shd w:fill="1A365D"/>
            <w:tcMar>
              <w:top w:w="100" w:type="dxa"/>
              <w:bottom w:w="100" w:type="dxa"/>
              <w:left w:w="120" w:type="dxa"/>
              <w:right w:w="120" w:type="dxa"/>
            </w:tcMar>
          </w:tcPr>
          <w:p>
            <w:pPr>
              <w:spacing w:after="0"/>
            </w:pPr>
            <w:r>
              <w:rPr>
                <w:rFonts w:ascii="Calibri" w:hAnsi="Calibri"/>
                <w:b/>
                <w:color w:val="FFFFFF"/>
                <w:sz w:val="19"/>
              </w:rPr>
              <w:t>Option A (Adopted)</w:t>
            </w:r>
          </w:p>
        </w:tc>
        <w:tc>
          <w:tcPr>
            <w:tcW w:type="dxa" w:w="2448"/>
            <w:shd w:fill="1A365D"/>
            <w:tcMar>
              <w:top w:w="100" w:type="dxa"/>
              <w:bottom w:w="100" w:type="dxa"/>
              <w:left w:w="120" w:type="dxa"/>
              <w:right w:w="120" w:type="dxa"/>
            </w:tcMar>
          </w:tcPr>
          <w:p>
            <w:pPr>
              <w:spacing w:after="0"/>
            </w:pPr>
            <w:r>
              <w:rPr>
                <w:rFonts w:ascii="Calibri" w:hAnsi="Calibri"/>
                <w:b/>
                <w:color w:val="FFFFFF"/>
                <w:sz w:val="19"/>
              </w:rPr>
              <w:t>Option B (Discarded)</w:t>
            </w:r>
          </w:p>
        </w:tc>
        <w:tc>
          <w:tcPr>
            <w:tcW w:type="dxa" w:w="2880"/>
            <w:shd w:fill="1A365D"/>
            <w:tcMar>
              <w:top w:w="100" w:type="dxa"/>
              <w:bottom w:w="100" w:type="dxa"/>
              <w:left w:w="120" w:type="dxa"/>
              <w:right w:w="120" w:type="dxa"/>
            </w:tcMar>
          </w:tcPr>
          <w:p>
            <w:pPr>
              <w:spacing w:after="0"/>
            </w:pPr>
            <w:r>
              <w:rPr>
                <w:rFonts w:ascii="Calibri" w:hAnsi="Calibri"/>
                <w:b/>
                <w:color w:val="FFFFFF"/>
                <w:sz w:val="19"/>
              </w:rPr>
              <w:t>Rationale &amp; Justification</w:t>
            </w:r>
          </w:p>
        </w:tc>
      </w:tr>
      <w:tr>
        <w:tc>
          <w:tcPr>
            <w:tcW w:type="dxa" w:w="1872"/>
            <w:tcMar>
              <w:top w:w="70" w:type="dxa"/>
              <w:bottom w:w="70" w:type="dxa"/>
              <w:left w:w="120" w:type="dxa"/>
              <w:right w:w="120" w:type="dxa"/>
            </w:tcMar>
          </w:tcPr>
          <w:p>
            <w:pPr>
              <w:spacing w:after="0" w:line="264" w:lineRule="auto"/>
            </w:pPr>
            <w:r>
              <w:rPr>
                <w:rFonts w:ascii="Calibri" w:hAnsi="Calibri"/>
                <w:color w:val="1E293B"/>
                <w:sz w:val="18"/>
              </w:rPr>
              <w:t>Model Architecture</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Decoupled Dual-Engine (VLM + SAM 2.1)</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Monolithic End-to-End Multimodal Model</w:t>
            </w:r>
          </w:p>
        </w:tc>
        <w:tc>
          <w:tcPr>
            <w:tcW w:type="dxa" w:w="2880"/>
            <w:tcMar>
              <w:top w:w="70" w:type="dxa"/>
              <w:bottom w:w="70" w:type="dxa"/>
              <w:left w:w="120" w:type="dxa"/>
              <w:right w:w="120" w:type="dxa"/>
            </w:tcMar>
          </w:tcPr>
          <w:p>
            <w:pPr>
              <w:spacing w:after="0" w:line="264" w:lineRule="auto"/>
            </w:pPr>
            <w:r>
              <w:rPr>
                <w:rFonts w:ascii="Calibri" w:hAnsi="Calibri"/>
                <w:color w:val="1E293B"/>
                <w:sz w:val="18"/>
              </w:rPr>
              <w:t>Monolithic models cannot output fine masks without immense token overhead and high latency.</w:t>
            </w:r>
          </w:p>
        </w:tc>
      </w:tr>
      <w:tr>
        <w:tc>
          <w:tcPr>
            <w:tcW w:type="dxa" w:w="1872"/>
            <w:shd w:fill="F8FAFC"/>
            <w:tcMar>
              <w:top w:w="70" w:type="dxa"/>
              <w:bottom w:w="70" w:type="dxa"/>
              <w:left w:w="120" w:type="dxa"/>
              <w:right w:w="120" w:type="dxa"/>
            </w:tcMar>
          </w:tcPr>
          <w:p>
            <w:pPr>
              <w:spacing w:after="0" w:line="264" w:lineRule="auto"/>
            </w:pPr>
            <w:r>
              <w:rPr>
                <w:rFonts w:ascii="Calibri" w:hAnsi="Calibri"/>
                <w:color w:val="1E293B"/>
                <w:sz w:val="18"/>
              </w:rPr>
              <w:t>Segmentation Engine</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SAM 2.1 with GrabCut Fallback</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Supervised Fine-Tuned U-Net / DeepLab</w:t>
            </w:r>
          </w:p>
        </w:tc>
        <w:tc>
          <w:tcPr>
            <w:tcW w:type="dxa" w:w="2880"/>
            <w:shd w:fill="F8FAFC"/>
            <w:tcMar>
              <w:top w:w="70" w:type="dxa"/>
              <w:bottom w:w="70" w:type="dxa"/>
              <w:left w:w="120" w:type="dxa"/>
              <w:right w:w="120" w:type="dxa"/>
            </w:tcMar>
          </w:tcPr>
          <w:p>
            <w:pPr>
              <w:spacing w:after="0" w:line="264" w:lineRule="auto"/>
            </w:pPr>
            <w:r>
              <w:rPr>
                <w:rFonts w:ascii="Calibri" w:hAnsi="Calibri"/>
                <w:color w:val="1E293B"/>
                <w:sz w:val="18"/>
              </w:rPr>
              <w:t>U-Net is locked to fixed classes; SAM 2.1 provides open-world zero-shot generalization.</w:t>
            </w:r>
          </w:p>
        </w:tc>
      </w:tr>
      <w:tr>
        <w:tc>
          <w:tcPr>
            <w:tcW w:type="dxa" w:w="1872"/>
            <w:tcMar>
              <w:top w:w="70" w:type="dxa"/>
              <w:bottom w:w="70" w:type="dxa"/>
              <w:left w:w="120" w:type="dxa"/>
              <w:right w:w="120" w:type="dxa"/>
            </w:tcMar>
          </w:tcPr>
          <w:p>
            <w:pPr>
              <w:spacing w:after="0" w:line="264" w:lineRule="auto"/>
            </w:pPr>
            <w:r>
              <w:rPr>
                <w:rFonts w:ascii="Calibri" w:hAnsi="Calibri"/>
                <w:color w:val="1E293B"/>
                <w:sz w:val="18"/>
              </w:rPr>
              <w:t>Mask Transmission</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PNG RGBA Image Overlay via HTTP</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Raw Polygon GeoJSON Vector via WebSocket</w:t>
            </w:r>
          </w:p>
        </w:tc>
        <w:tc>
          <w:tcPr>
            <w:tcW w:type="dxa" w:w="2880"/>
            <w:tcMar>
              <w:top w:w="70" w:type="dxa"/>
              <w:bottom w:w="70" w:type="dxa"/>
              <w:left w:w="120" w:type="dxa"/>
              <w:right w:w="120" w:type="dxa"/>
            </w:tcMar>
          </w:tcPr>
          <w:p>
            <w:pPr>
              <w:spacing w:after="0" w:line="264" w:lineRule="auto"/>
            </w:pPr>
            <w:r>
              <w:rPr>
                <w:rFonts w:ascii="Calibri" w:hAnsi="Calibri"/>
                <w:color w:val="1E293B"/>
                <w:sz w:val="18"/>
              </w:rPr>
              <w:t>Complex natural water bodies generate 50,000+ vector vertices, causing browser DOM lag. PNG RGBA renders instantly.</w:t>
            </w:r>
          </w:p>
        </w:tc>
      </w:tr>
      <w:tr>
        <w:tc>
          <w:tcPr>
            <w:tcW w:type="dxa" w:w="1872"/>
            <w:shd w:fill="F8FAFC"/>
            <w:tcMar>
              <w:top w:w="70" w:type="dxa"/>
              <w:bottom w:w="70" w:type="dxa"/>
              <w:left w:w="120" w:type="dxa"/>
              <w:right w:w="120" w:type="dxa"/>
            </w:tcMar>
          </w:tcPr>
          <w:p>
            <w:pPr>
              <w:spacing w:after="0" w:line="264" w:lineRule="auto"/>
            </w:pPr>
            <w:r>
              <w:rPr>
                <w:rFonts w:ascii="Calibri" w:hAnsi="Calibri"/>
                <w:color w:val="1E293B"/>
                <w:sz w:val="18"/>
              </w:rPr>
              <w:t>Database Tier</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SQLite with SQLAlchemy ORM</w:t>
            </w:r>
          </w:p>
        </w:tc>
        <w:tc>
          <w:tcPr>
            <w:tcW w:type="dxa" w:w="2448"/>
            <w:shd w:fill="F8FAFC"/>
            <w:tcMar>
              <w:top w:w="70" w:type="dxa"/>
              <w:bottom w:w="70" w:type="dxa"/>
              <w:left w:w="120" w:type="dxa"/>
              <w:right w:w="120" w:type="dxa"/>
            </w:tcMar>
          </w:tcPr>
          <w:p>
            <w:pPr>
              <w:spacing w:after="0" w:line="264" w:lineRule="auto"/>
            </w:pPr>
            <w:r>
              <w:rPr>
                <w:rFonts w:ascii="Calibri" w:hAnsi="Calibri"/>
                <w:color w:val="1E293B"/>
                <w:sz w:val="18"/>
              </w:rPr>
              <w:t>Microservice PostgreSQL Cluster</w:t>
            </w:r>
          </w:p>
        </w:tc>
        <w:tc>
          <w:tcPr>
            <w:tcW w:type="dxa" w:w="2880"/>
            <w:shd w:fill="F8FAFC"/>
            <w:tcMar>
              <w:top w:w="70" w:type="dxa"/>
              <w:bottom w:w="70" w:type="dxa"/>
              <w:left w:w="120" w:type="dxa"/>
              <w:right w:w="120" w:type="dxa"/>
            </w:tcMar>
          </w:tcPr>
          <w:p>
            <w:pPr>
              <w:spacing w:after="0" w:line="264" w:lineRule="auto"/>
            </w:pPr>
            <w:r>
              <w:rPr>
                <w:rFonts w:ascii="Calibri" w:hAnsi="Calibri"/>
                <w:color w:val="1E293B"/>
                <w:sz w:val="18"/>
              </w:rPr>
              <w:t>Zero-configuration local deployment for edge environments; trivial migration path to PostgreSQL for enterprise.</w:t>
            </w:r>
          </w:p>
        </w:tc>
      </w:tr>
      <w:tr>
        <w:tc>
          <w:tcPr>
            <w:tcW w:type="dxa" w:w="1872"/>
            <w:tcMar>
              <w:top w:w="70" w:type="dxa"/>
              <w:bottom w:w="70" w:type="dxa"/>
              <w:left w:w="120" w:type="dxa"/>
              <w:right w:w="120" w:type="dxa"/>
            </w:tcMar>
          </w:tcPr>
          <w:p>
            <w:pPr>
              <w:spacing w:after="0" w:line="264" w:lineRule="auto"/>
            </w:pPr>
            <w:r>
              <w:rPr>
                <w:rFonts w:ascii="Calibri" w:hAnsi="Calibri"/>
                <w:color w:val="1E293B"/>
                <w:sz w:val="18"/>
              </w:rPr>
              <w:t>UI Rendering Engine</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HTML5 2D Canvas Synchronized Layer</w:t>
            </w:r>
          </w:p>
        </w:tc>
        <w:tc>
          <w:tcPr>
            <w:tcW w:type="dxa" w:w="2448"/>
            <w:tcMar>
              <w:top w:w="70" w:type="dxa"/>
              <w:bottom w:w="70" w:type="dxa"/>
              <w:left w:w="120" w:type="dxa"/>
              <w:right w:w="120" w:type="dxa"/>
            </w:tcMar>
          </w:tcPr>
          <w:p>
            <w:pPr>
              <w:spacing w:after="0" w:line="264" w:lineRule="auto"/>
            </w:pPr>
            <w:r>
              <w:rPr>
                <w:rFonts w:ascii="Calibri" w:hAnsi="Calibri"/>
                <w:color w:val="1E293B"/>
                <w:sz w:val="18"/>
              </w:rPr>
              <w:t>Raw DOM SVG / GeoJSON Layers</w:t>
            </w:r>
          </w:p>
        </w:tc>
        <w:tc>
          <w:tcPr>
            <w:tcW w:type="dxa" w:w="2880"/>
            <w:tcMar>
              <w:top w:w="70" w:type="dxa"/>
              <w:bottom w:w="70" w:type="dxa"/>
              <w:left w:w="120" w:type="dxa"/>
              <w:right w:w="120" w:type="dxa"/>
            </w:tcMar>
          </w:tcPr>
          <w:p>
            <w:pPr>
              <w:spacing w:after="0" w:line="264" w:lineRule="auto"/>
            </w:pPr>
            <w:r>
              <w:rPr>
                <w:rFonts w:ascii="Calibri" w:hAnsi="Calibri"/>
                <w:color w:val="1E293B"/>
                <w:sz w:val="18"/>
              </w:rPr>
              <w:t>Hardware-accelerated canvas and WebGL Mapbox layers enable sub-millisecond opacity blending without DOM lag.</w:t>
            </w:r>
          </w:p>
        </w:tc>
      </w:tr>
    </w:tbl>
    <w:p>
      <w:pPr>
        <w:spacing w:before="80" w:after="160"/>
        <w:jc w:val="center"/>
      </w:pPr>
      <w:r>
        <w:rPr>
          <w:rFonts w:ascii="Calibri" w:hAnsi="Calibri"/>
          <w:b/>
          <w:i/>
          <w:color w:val="475569"/>
          <w:sz w:val="19"/>
        </w:rPr>
        <w:t>Table 17.1: Architectural Trade-Offs &amp; Multi-Criteria Decision Analysis</w:t>
      </w:r>
    </w:p>
    <w:p>
      <w:r>
        <w:br w:type="page"/>
      </w:r>
    </w:p>
    <w:p>
      <w:pPr>
        <w:keepNext/>
        <w:spacing w:before="400" w:after="160"/>
        <w:pBdr>
          <w:bottom w:val="single" w:sz="12" w:space="4" w:color="2B6CB0"/>
        </w:pBdr>
      </w:pPr>
      <w:r>
        <w:rPr>
          <w:rFonts w:ascii="Calibri" w:hAnsi="Calibri"/>
          <w:b/>
          <w:color w:val="1A365D"/>
          <w:sz w:val="34"/>
        </w:rPr>
        <w:t>CHAPTER 18: SECURITY, PRIVACY &amp; PERFORMANCE OPTIMIZATION</w:t>
      </w:r>
    </w:p>
    <w:p>
      <w:pPr>
        <w:keepNext/>
        <w:spacing w:before="280" w:after="120"/>
      </w:pPr>
      <w:r>
        <w:rPr>
          <w:rFonts w:ascii="Calibri" w:hAnsi="Calibri"/>
          <w:b/>
          <w:color w:val="2B6CB0"/>
          <w:sz w:val="27"/>
        </w:rPr>
        <w:t>18.1 Threat Modeling and Security Controls</w:t>
      </w:r>
    </w:p>
    <w:p>
      <w:pPr>
        <w:spacing w:after="120" w:line="276" w:lineRule="auto"/>
      </w:pPr>
      <w:r>
        <w:rPr>
          <w:rFonts w:ascii="Calibri" w:hAnsi="Calibri"/>
          <w:i w:val="0"/>
          <w:color w:val="1E293B"/>
          <w:sz w:val="21"/>
        </w:rPr>
        <w:t>Because satellite imagery may contain sensitive infrastructure or national security locations, SatQuery AI implements defense-in-depth security measures. Table 18.1 details the threat modeling and mitigations.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2592"/>
        <w:gridCol w:w="1440"/>
        <w:gridCol w:w="3744"/>
      </w:tblGrid>
      <w:tr>
        <w:tc>
          <w:tcPr>
            <w:tcW w:type="dxa" w:w="1872"/>
            <w:shd w:fill="1A365D"/>
            <w:tcMar>
              <w:top w:w="100" w:type="dxa"/>
              <w:bottom w:w="100" w:type="dxa"/>
              <w:left w:w="120" w:type="dxa"/>
              <w:right w:w="120" w:type="dxa"/>
            </w:tcMar>
          </w:tcPr>
          <w:p>
            <w:pPr>
              <w:spacing w:after="0"/>
            </w:pPr>
            <w:r>
              <w:rPr>
                <w:rFonts w:ascii="Calibri" w:hAnsi="Calibri"/>
                <w:b/>
                <w:color w:val="FFFFFF"/>
                <w:sz w:val="19"/>
              </w:rPr>
              <w:t>Threat Category</w:t>
            </w:r>
          </w:p>
        </w:tc>
        <w:tc>
          <w:tcPr>
            <w:tcW w:type="dxa" w:w="2592"/>
            <w:shd w:fill="1A365D"/>
            <w:tcMar>
              <w:top w:w="100" w:type="dxa"/>
              <w:bottom w:w="100" w:type="dxa"/>
              <w:left w:w="120" w:type="dxa"/>
              <w:right w:w="120" w:type="dxa"/>
            </w:tcMar>
          </w:tcPr>
          <w:p>
            <w:pPr>
              <w:spacing w:after="0"/>
            </w:pPr>
            <w:r>
              <w:rPr>
                <w:rFonts w:ascii="Calibri" w:hAnsi="Calibri"/>
                <w:b/>
                <w:color w:val="FFFFFF"/>
                <w:sz w:val="19"/>
              </w:rPr>
              <w:t>Potential Attack Vector</w:t>
            </w:r>
          </w:p>
        </w:tc>
        <w:tc>
          <w:tcPr>
            <w:tcW w:type="dxa" w:w="1440"/>
            <w:shd w:fill="1A365D"/>
            <w:tcMar>
              <w:top w:w="100" w:type="dxa"/>
              <w:bottom w:w="100" w:type="dxa"/>
              <w:left w:w="120" w:type="dxa"/>
              <w:right w:w="120" w:type="dxa"/>
            </w:tcMar>
          </w:tcPr>
          <w:p>
            <w:pPr>
              <w:spacing w:after="0"/>
            </w:pPr>
            <w:r>
              <w:rPr>
                <w:rFonts w:ascii="Calibri" w:hAnsi="Calibri"/>
                <w:b/>
                <w:color w:val="FFFFFF"/>
                <w:sz w:val="19"/>
              </w:rPr>
              <w:t>Impact Severity</w:t>
            </w:r>
          </w:p>
        </w:tc>
        <w:tc>
          <w:tcPr>
            <w:tcW w:type="dxa" w:w="3744"/>
            <w:shd w:fill="1A365D"/>
            <w:tcMar>
              <w:top w:w="100" w:type="dxa"/>
              <w:bottom w:w="100" w:type="dxa"/>
              <w:left w:w="120" w:type="dxa"/>
              <w:right w:w="120" w:type="dxa"/>
            </w:tcMar>
          </w:tcPr>
          <w:p>
            <w:pPr>
              <w:spacing w:after="0"/>
            </w:pPr>
            <w:r>
              <w:rPr>
                <w:rFonts w:ascii="Calibri" w:hAnsi="Calibri"/>
                <w:b/>
                <w:color w:val="FFFFFF"/>
                <w:sz w:val="19"/>
              </w:rPr>
              <w:t>Mitigation Mechanism Implemented</w:t>
            </w:r>
          </w:p>
        </w:tc>
      </w:tr>
      <w:tr>
        <w:tc>
          <w:tcPr>
            <w:tcW w:type="dxa" w:w="1872"/>
            <w:tcMar>
              <w:top w:w="70" w:type="dxa"/>
              <w:bottom w:w="70" w:type="dxa"/>
              <w:left w:w="120" w:type="dxa"/>
              <w:right w:w="120" w:type="dxa"/>
            </w:tcMar>
          </w:tcPr>
          <w:p>
            <w:pPr>
              <w:spacing w:after="0" w:line="264" w:lineRule="auto"/>
            </w:pPr>
            <w:r>
              <w:rPr>
                <w:rFonts w:ascii="Calibri" w:hAnsi="Calibri"/>
                <w:color w:val="1E293B"/>
                <w:sz w:val="18"/>
              </w:rPr>
              <w:t>Injection Attack</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Prompt Injection via User Query</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Medium</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System prompt sandboxing; strict separation of role and system instructions.</w:t>
            </w:r>
          </w:p>
        </w:tc>
      </w:tr>
      <w:tr>
        <w:tc>
          <w:tcPr>
            <w:tcW w:type="dxa" w:w="1872"/>
            <w:shd w:fill="F8FAFC"/>
            <w:tcMar>
              <w:top w:w="70" w:type="dxa"/>
              <w:bottom w:w="70" w:type="dxa"/>
              <w:left w:w="120" w:type="dxa"/>
              <w:right w:w="120" w:type="dxa"/>
            </w:tcMar>
          </w:tcPr>
          <w:p>
            <w:pPr>
              <w:spacing w:after="0" w:line="264" w:lineRule="auto"/>
            </w:pPr>
            <w:r>
              <w:rPr>
                <w:rFonts w:ascii="Calibri" w:hAnsi="Calibri"/>
                <w:color w:val="1E293B"/>
                <w:sz w:val="18"/>
              </w:rPr>
              <w:t>Denial of Service (DoS)</w:t>
            </w:r>
          </w:p>
        </w:tc>
        <w:tc>
          <w:tcPr>
            <w:tcW w:type="dxa" w:w="2592"/>
            <w:shd w:fill="F8FAFC"/>
            <w:tcMar>
              <w:top w:w="70" w:type="dxa"/>
              <w:bottom w:w="70" w:type="dxa"/>
              <w:left w:w="120" w:type="dxa"/>
              <w:right w:w="120" w:type="dxa"/>
            </w:tcMar>
          </w:tcPr>
          <w:p>
            <w:pPr>
              <w:spacing w:after="0" w:line="264" w:lineRule="auto"/>
            </w:pPr>
            <w:r>
              <w:rPr>
                <w:rFonts w:ascii="Calibri" w:hAnsi="Calibri"/>
                <w:color w:val="1E293B"/>
                <w:sz w:val="18"/>
              </w:rPr>
              <w:t>Decompression Bomb (Gigapixel Image Upload)</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High</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Pillow decompression bomb protection (MAX_IMAGE_PIXELS = 50,000,000); 25MB file upload limit.</w:t>
            </w:r>
          </w:p>
        </w:tc>
      </w:tr>
      <w:tr>
        <w:tc>
          <w:tcPr>
            <w:tcW w:type="dxa" w:w="1872"/>
            <w:tcMar>
              <w:top w:w="70" w:type="dxa"/>
              <w:bottom w:w="70" w:type="dxa"/>
              <w:left w:w="120" w:type="dxa"/>
              <w:right w:w="120" w:type="dxa"/>
            </w:tcMar>
          </w:tcPr>
          <w:p>
            <w:pPr>
              <w:spacing w:after="0" w:line="264" w:lineRule="auto"/>
            </w:pPr>
            <w:r>
              <w:rPr>
                <w:rFonts w:ascii="Calibri" w:hAnsi="Calibri"/>
                <w:color w:val="1E293B"/>
                <w:sz w:val="18"/>
              </w:rPr>
              <w:t>Credential Leakage</w:t>
            </w:r>
          </w:p>
        </w:tc>
        <w:tc>
          <w:tcPr>
            <w:tcW w:type="dxa" w:w="2592"/>
            <w:tcMar>
              <w:top w:w="70" w:type="dxa"/>
              <w:bottom w:w="70" w:type="dxa"/>
              <w:left w:w="120" w:type="dxa"/>
              <w:right w:w="120" w:type="dxa"/>
            </w:tcMar>
          </w:tcPr>
          <w:p>
            <w:pPr>
              <w:spacing w:after="0" w:line="264" w:lineRule="auto"/>
            </w:pPr>
            <w:r>
              <w:rPr>
                <w:rFonts w:ascii="Calibri" w:hAnsi="Calibri"/>
                <w:color w:val="1E293B"/>
                <w:sz w:val="18"/>
              </w:rPr>
              <w:t>Exposing Gemini API Key in Client Bundle</w:t>
            </w:r>
          </w:p>
        </w:tc>
        <w:tc>
          <w:tcPr>
            <w:tcW w:type="dxa" w:w="1440"/>
            <w:tcMar>
              <w:top w:w="70" w:type="dxa"/>
              <w:bottom w:w="70" w:type="dxa"/>
              <w:left w:w="120" w:type="dxa"/>
              <w:right w:w="120" w:type="dxa"/>
            </w:tcMar>
          </w:tcPr>
          <w:p>
            <w:pPr>
              <w:spacing w:after="0" w:line="264" w:lineRule="auto"/>
            </w:pPr>
            <w:r>
              <w:rPr>
                <w:rFonts w:ascii="Calibri" w:hAnsi="Calibri"/>
                <w:color w:val="1E293B"/>
                <w:sz w:val="18"/>
              </w:rPr>
              <w:t>Critical</w:t>
            </w:r>
          </w:p>
        </w:tc>
        <w:tc>
          <w:tcPr>
            <w:tcW w:type="dxa" w:w="3744"/>
            <w:tcMar>
              <w:top w:w="70" w:type="dxa"/>
              <w:bottom w:w="70" w:type="dxa"/>
              <w:left w:w="120" w:type="dxa"/>
              <w:right w:w="120" w:type="dxa"/>
            </w:tcMar>
          </w:tcPr>
          <w:p>
            <w:pPr>
              <w:spacing w:after="0" w:line="264" w:lineRule="auto"/>
            </w:pPr>
            <w:r>
              <w:rPr>
                <w:rFonts w:ascii="Calibri" w:hAnsi="Calibri"/>
                <w:color w:val="1E293B"/>
                <w:sz w:val="18"/>
              </w:rPr>
              <w:t>API keys isolated exclusively to backend environment variables; never exposed to browser.</w:t>
            </w:r>
          </w:p>
        </w:tc>
      </w:tr>
      <w:tr>
        <w:tc>
          <w:tcPr>
            <w:tcW w:type="dxa" w:w="1872"/>
            <w:shd w:fill="F8FAFC"/>
            <w:tcMar>
              <w:top w:w="70" w:type="dxa"/>
              <w:bottom w:w="70" w:type="dxa"/>
              <w:left w:w="120" w:type="dxa"/>
              <w:right w:w="120" w:type="dxa"/>
            </w:tcMar>
          </w:tcPr>
          <w:p>
            <w:pPr>
              <w:spacing w:after="0" w:line="264" w:lineRule="auto"/>
            </w:pPr>
            <w:r>
              <w:rPr>
                <w:rFonts w:ascii="Calibri" w:hAnsi="Calibri"/>
                <w:color w:val="1E293B"/>
                <w:sz w:val="18"/>
              </w:rPr>
              <w:t>Metadata Privacy</w:t>
            </w:r>
          </w:p>
        </w:tc>
        <w:tc>
          <w:tcPr>
            <w:tcW w:type="dxa" w:w="2592"/>
            <w:shd w:fill="F8FAFC"/>
            <w:tcMar>
              <w:top w:w="70" w:type="dxa"/>
              <w:bottom w:w="70" w:type="dxa"/>
              <w:left w:w="120" w:type="dxa"/>
              <w:right w:w="120" w:type="dxa"/>
            </w:tcMar>
          </w:tcPr>
          <w:p>
            <w:pPr>
              <w:spacing w:after="0" w:line="264" w:lineRule="auto"/>
            </w:pPr>
            <w:r>
              <w:rPr>
                <w:rFonts w:ascii="Calibri" w:hAnsi="Calibri"/>
                <w:color w:val="1E293B"/>
                <w:sz w:val="18"/>
              </w:rPr>
              <w:t>EXIF GPS Leakage in Drone / Aerial Photos</w:t>
            </w:r>
          </w:p>
        </w:tc>
        <w:tc>
          <w:tcPr>
            <w:tcW w:type="dxa" w:w="1440"/>
            <w:shd w:fill="F8FAFC"/>
            <w:tcMar>
              <w:top w:w="70" w:type="dxa"/>
              <w:bottom w:w="70" w:type="dxa"/>
              <w:left w:w="120" w:type="dxa"/>
              <w:right w:w="120" w:type="dxa"/>
            </w:tcMar>
          </w:tcPr>
          <w:p>
            <w:pPr>
              <w:spacing w:after="0" w:line="264" w:lineRule="auto"/>
            </w:pPr>
            <w:r>
              <w:rPr>
                <w:rFonts w:ascii="Calibri" w:hAnsi="Calibri"/>
                <w:color w:val="1E293B"/>
                <w:sz w:val="18"/>
              </w:rPr>
              <w:t>Medium</w:t>
            </w:r>
          </w:p>
        </w:tc>
        <w:tc>
          <w:tcPr>
            <w:tcW w:type="dxa" w:w="3744"/>
            <w:shd w:fill="F8FAFC"/>
            <w:tcMar>
              <w:top w:w="70" w:type="dxa"/>
              <w:bottom w:w="70" w:type="dxa"/>
              <w:left w:w="120" w:type="dxa"/>
              <w:right w:w="120" w:type="dxa"/>
            </w:tcMar>
          </w:tcPr>
          <w:p>
            <w:pPr>
              <w:spacing w:after="0" w:line="264" w:lineRule="auto"/>
            </w:pPr>
            <w:r>
              <w:rPr>
                <w:rFonts w:ascii="Calibri" w:hAnsi="Calibri"/>
                <w:color w:val="1E293B"/>
                <w:sz w:val="18"/>
              </w:rPr>
              <w:t>Automated EXIF stripping during image ingestion pipeline before storage or external transmission.</w:t>
            </w:r>
          </w:p>
        </w:tc>
      </w:tr>
    </w:tbl>
    <w:p>
      <w:pPr>
        <w:spacing w:before="80" w:after="160"/>
        <w:jc w:val="center"/>
      </w:pPr>
      <w:r>
        <w:rPr>
          <w:rFonts w:ascii="Calibri" w:hAnsi="Calibri"/>
          <w:b/>
          <w:i/>
          <w:color w:val="475569"/>
          <w:sz w:val="19"/>
        </w:rPr>
        <w:t>Table 18.1: Threat Modeling &amp; Security Countermeasures Matrix</w:t>
      </w:r>
    </w:p>
    <w:p>
      <w:pPr>
        <w:keepNext/>
        <w:spacing w:before="280" w:after="120"/>
      </w:pPr>
      <w:r>
        <w:rPr>
          <w:rFonts w:ascii="Calibri" w:hAnsi="Calibri"/>
          <w:b/>
          <w:color w:val="2B6CB0"/>
          <w:sz w:val="27"/>
        </w:rPr>
        <w:t>18.2 Performance Optimizations</w:t>
      </w:r>
    </w:p>
    <w:p>
      <w:pPr>
        <w:pStyle w:val="ListBullet"/>
        <w:spacing w:after="80" w:line="276" w:lineRule="auto"/>
      </w:pPr>
      <w:r>
        <w:rPr>
          <w:rFonts w:ascii="Calibri" w:hAnsi="Calibri"/>
          <w:b/>
          <w:color w:val="1A365D"/>
          <w:sz w:val="21"/>
        </w:rPr>
        <w:t>GPU Memory Half-Precision (FP16)</w:t>
      </w:r>
      <w:r>
        <w:rPr>
          <w:rFonts w:ascii="Calibri" w:hAnsi="Calibri"/>
          <w:color w:val="334155"/>
          <w:sz w:val="21"/>
        </w:rPr>
        <w:t>: SAM 2.1 inference executes using torch.autocast('cuda', dtype=torch.float16), reducing VRAM consumption from 3.8 GB to 1.9 GB and doubling decoder throughput.</w:t>
      </w:r>
    </w:p>
    <w:p>
      <w:pPr>
        <w:pStyle w:val="ListBullet"/>
        <w:spacing w:after="80" w:line="276" w:lineRule="auto"/>
      </w:pPr>
      <w:r>
        <w:rPr>
          <w:rFonts w:ascii="Calibri" w:hAnsi="Calibri"/>
          <w:b/>
          <w:color w:val="1A365D"/>
          <w:sz w:val="21"/>
        </w:rPr>
        <w:t>Asynchronous I/O Execution</w:t>
      </w:r>
      <w:r>
        <w:rPr>
          <w:rFonts w:ascii="Calibri" w:hAnsi="Calibri"/>
          <w:color w:val="334155"/>
          <w:sz w:val="21"/>
        </w:rPr>
        <w:t>: Image decoding and mask file writing leverage aiofiles and run_in_executor to ensure the FastAPI event loop is never blocked by disk operations.</w:t>
      </w:r>
    </w:p>
    <w:p>
      <w:r>
        <w:br w:type="page"/>
      </w:r>
    </w:p>
    <w:p>
      <w:pPr>
        <w:keepNext/>
        <w:spacing w:before="400" w:after="160"/>
        <w:pBdr>
          <w:bottom w:val="single" w:sz="12" w:space="4" w:color="2B6CB0"/>
        </w:pBdr>
      </w:pPr>
      <w:r>
        <w:rPr>
          <w:rFonts w:ascii="Calibri" w:hAnsi="Calibri"/>
          <w:b/>
          <w:color w:val="1A365D"/>
          <w:sz w:val="34"/>
        </w:rPr>
        <w:t>CHAPTER 19: LIMITATIONS, PITFALLS &amp; LESSONS LEARNED</w:t>
      </w:r>
    </w:p>
    <w:p>
      <w:pPr>
        <w:keepNext/>
        <w:spacing w:before="280" w:after="120"/>
      </w:pPr>
      <w:r>
        <w:rPr>
          <w:rFonts w:ascii="Calibri" w:hAnsi="Calibri"/>
          <w:b/>
          <w:color w:val="2B6CB0"/>
          <w:sz w:val="27"/>
        </w:rPr>
        <w:t>19.1 Technical Challenges Encountered</w:t>
      </w:r>
    </w:p>
    <w:p>
      <w:pPr>
        <w:pStyle w:val="ListBullet"/>
        <w:spacing w:after="80" w:line="276" w:lineRule="auto"/>
      </w:pPr>
      <w:r>
        <w:rPr>
          <w:rFonts w:ascii="Calibri" w:hAnsi="Calibri"/>
          <w:b/>
          <w:color w:val="1A365D"/>
          <w:sz w:val="21"/>
        </w:rPr>
        <w:t>Shadow vs. Deep Water Ambiguity</w:t>
      </w:r>
      <w:r>
        <w:rPr>
          <w:rFonts w:ascii="Calibri" w:hAnsi="Calibri"/>
          <w:color w:val="334155"/>
          <w:sz w:val="21"/>
        </w:rPr>
        <w:t>: In high-resolution urban scenes, tall commercial skyscrapers cast dark specular shadows. Because their optical spectral reflectance closely mimics deep turbid water, early heuristic filters misclassified shadows as floodwater. This was resolved by instructing the VLM to perform geometric proximity reasoning relative to building sun-angles.</w:t>
      </w:r>
    </w:p>
    <w:p>
      <w:pPr>
        <w:pStyle w:val="ListBullet"/>
        <w:spacing w:after="80" w:line="276" w:lineRule="auto"/>
      </w:pPr>
      <w:r>
        <w:rPr>
          <w:rFonts w:ascii="Calibri" w:hAnsi="Calibri"/>
          <w:b/>
          <w:color w:val="1A365D"/>
          <w:sz w:val="21"/>
        </w:rPr>
        <w:t>Coordinate Rounding Errors</w:t>
      </w:r>
      <w:r>
        <w:rPr>
          <w:rFonts w:ascii="Calibri" w:hAnsi="Calibri"/>
          <w:color w:val="334155"/>
          <w:sz w:val="21"/>
        </w:rPr>
        <w:t>: Transforming normalized [0, 1000] tokens across irregular aspect ratio images caused 1 to 3-pixel coordinate offsets. This was eliminated through double-precision float calculations followed by explicit boundary clamping.</w:t>
      </w:r>
    </w:p>
    <w:p>
      <w:pPr>
        <w:pStyle w:val="ListBullet"/>
        <w:spacing w:after="80" w:line="276" w:lineRule="auto"/>
      </w:pPr>
      <w:r>
        <w:rPr>
          <w:rFonts w:ascii="Calibri" w:hAnsi="Calibri"/>
          <w:b/>
          <w:color w:val="1A365D"/>
          <w:sz w:val="21"/>
        </w:rPr>
        <w:t>Memory Leaks in Repeated Inferences</w:t>
      </w:r>
      <w:r>
        <w:rPr>
          <w:rFonts w:ascii="Calibri" w:hAnsi="Calibri"/>
          <w:color w:val="334155"/>
          <w:sz w:val="21"/>
        </w:rPr>
        <w:t>: Early prototypes suffered GPU VRAM exhaustion after 20 consecutive queries. Profiling revealed that intermediate PyTorch autograd computation graphs were being retained. Wrapping inference in torch.no_grad() completely resolved the issue.</w:t>
      </w:r>
    </w:p>
    <w:p>
      <w:pPr>
        <w:keepNext/>
        <w:spacing w:before="280" w:after="120"/>
      </w:pPr>
      <w:r>
        <w:rPr>
          <w:rFonts w:ascii="Calibri" w:hAnsi="Calibri"/>
          <w:b/>
          <w:color w:val="2B6CB0"/>
          <w:sz w:val="27"/>
        </w:rPr>
        <w:t>19.2 Key Engineering Takeaways</w:t>
      </w:r>
    </w:p>
    <w:p>
      <w:pPr>
        <w:spacing w:after="120" w:line="276" w:lineRule="auto"/>
      </w:pPr>
      <w:r>
        <w:rPr>
          <w:rFonts w:ascii="Calibri" w:hAnsi="Calibri"/>
          <w:i w:val="0"/>
          <w:color w:val="1E293B"/>
          <w:sz w:val="21"/>
        </w:rPr>
        <w:t>Building multimodal geospatial AI requires respecting the unique properties of Earth Observation imagery: overhead perspectives, lack of canonical scale, and high radiometric depth. The biggest architectural insight gained is that foundation models achieve maximum utility when paired with deterministic fallback mechanisms rather than being deployed as fragile monolithic black boxes.</w:t>
      </w:r>
    </w:p>
    <w:p>
      <w:r>
        <w:br w:type="page"/>
      </w:r>
    </w:p>
    <w:p>
      <w:pPr>
        <w:keepNext/>
        <w:spacing w:before="400" w:after="160"/>
        <w:pBdr>
          <w:bottom w:val="single" w:sz="12" w:space="4" w:color="2B6CB0"/>
        </w:pBdr>
      </w:pPr>
      <w:r>
        <w:rPr>
          <w:rFonts w:ascii="Calibri" w:hAnsi="Calibri"/>
          <w:b/>
          <w:color w:val="1A365D"/>
          <w:sz w:val="34"/>
        </w:rPr>
        <w:t>CHAPTER 20: FUTURE SCOPE &amp; ROADMAP</w:t>
      </w:r>
    </w:p>
    <w:p>
      <w:pPr>
        <w:keepNext/>
        <w:spacing w:before="280" w:after="120"/>
      </w:pPr>
      <w:r>
        <w:rPr>
          <w:rFonts w:ascii="Calibri" w:hAnsi="Calibri"/>
          <w:b/>
          <w:color w:val="2B6CB0"/>
          <w:sz w:val="27"/>
        </w:rPr>
        <w:t>20.1 Multi-Temporal Change Detection</w:t>
      </w:r>
    </w:p>
    <w:p>
      <w:pPr>
        <w:spacing w:after="120" w:line="276" w:lineRule="auto"/>
      </w:pPr>
      <w:r>
        <w:rPr>
          <w:rFonts w:ascii="Calibri" w:hAnsi="Calibri"/>
          <w:i w:val="0"/>
          <w:color w:val="1E293B"/>
          <w:sz w:val="21"/>
        </w:rPr>
        <w:t>Integrating Sentinel-2 multi-temporal image pairs (pre-disaster and post-disaster dates) to enable automatic differential change detection driven by natural language queries (e.g. 'Show all structures destroyed between May 10 and May 20').</w:t>
      </w:r>
    </w:p>
    <w:p>
      <w:pPr>
        <w:keepNext/>
        <w:spacing w:before="280" w:after="120"/>
      </w:pPr>
      <w:r>
        <w:rPr>
          <w:rFonts w:ascii="Calibri" w:hAnsi="Calibri"/>
          <w:b/>
          <w:color w:val="2B6CB0"/>
          <w:sz w:val="27"/>
        </w:rPr>
        <w:t>20.2 Multispectral &amp; Hyperspectral Processing</w:t>
      </w:r>
    </w:p>
    <w:p>
      <w:pPr>
        <w:spacing w:after="120" w:line="276" w:lineRule="auto"/>
      </w:pPr>
      <w:r>
        <w:rPr>
          <w:rFonts w:ascii="Calibri" w:hAnsi="Calibri"/>
          <w:i w:val="0"/>
          <w:color w:val="1E293B"/>
          <w:sz w:val="21"/>
        </w:rPr>
        <w:t>Extending the ingestion pipeline to support native 12-band Sentinel-2 L2A GeoTIFF rasters, allowing the VLM to reason over Shortwave Infrared (SWIR) for soil moisture detection and RedEdge bands for agricultural chlorophyll analysis.</w:t>
      </w:r>
    </w:p>
    <w:p>
      <w:pPr>
        <w:keepNext/>
        <w:spacing w:before="280" w:after="120"/>
      </w:pPr>
      <w:r>
        <w:rPr>
          <w:rFonts w:ascii="Calibri" w:hAnsi="Calibri"/>
          <w:b/>
          <w:color w:val="2B6CB0"/>
          <w:sz w:val="27"/>
        </w:rPr>
        <w:t>20.3 Edge AI Deployment for Drones / UAVs</w:t>
      </w:r>
    </w:p>
    <w:p>
      <w:pPr>
        <w:spacing w:after="120" w:line="276" w:lineRule="auto"/>
      </w:pPr>
      <w:r>
        <w:rPr>
          <w:rFonts w:ascii="Calibri" w:hAnsi="Calibri"/>
          <w:i w:val="0"/>
          <w:color w:val="1E293B"/>
          <w:sz w:val="21"/>
        </w:rPr>
        <w:t>Quantizing SAM 2.1 into 4-bit INT4 via TensorRT-LLM and ONNX Runtime for deployment on NVIDIA Jetson Orin edge computing modules mounted directly on search-and-rescue unmanned aerial vehicles (UAVs).</w:t>
      </w:r>
    </w:p>
    <w:p>
      <w:r>
        <w:br w:type="page"/>
      </w:r>
    </w:p>
    <w:p>
      <w:pPr>
        <w:keepNext/>
        <w:spacing w:before="400" w:after="160"/>
        <w:pBdr>
          <w:bottom w:val="single" w:sz="12" w:space="4" w:color="2B6CB0"/>
        </w:pBdr>
      </w:pPr>
      <w:r>
        <w:rPr>
          <w:rFonts w:ascii="Calibri" w:hAnsi="Calibri"/>
          <w:b/>
          <w:color w:val="1A365D"/>
          <w:sz w:val="34"/>
        </w:rPr>
        <w:t>CHAPTER 21: CONCLUSION &amp; ACADEMIC SUMMARY</w:t>
      </w:r>
    </w:p>
    <w:p>
      <w:pPr>
        <w:keepNext/>
        <w:spacing w:before="280" w:after="120"/>
      </w:pPr>
      <w:r>
        <w:rPr>
          <w:rFonts w:ascii="Calibri" w:hAnsi="Calibri"/>
          <w:b/>
          <w:color w:val="2B6CB0"/>
          <w:sz w:val="27"/>
        </w:rPr>
        <w:t>21.1 Summary of Contributions</w:t>
      </w:r>
    </w:p>
    <w:p>
      <w:pPr>
        <w:spacing w:after="120" w:line="276" w:lineRule="auto"/>
      </w:pPr>
      <w:r>
        <w:rPr>
          <w:rFonts w:ascii="Calibri" w:hAnsi="Calibri"/>
          <w:i w:val="0"/>
          <w:color w:val="1E293B"/>
          <w:sz w:val="21"/>
        </w:rPr>
        <w:t>This major project successfully designed, implemented, and verified SatQuery AI: an interactive, multimodal geospatial intelligence platform that bridges the long-standing divide between high-level vision-language reasoning and sub-pixel promptable visual segmentation.</w:t>
      </w:r>
    </w:p>
    <w:p>
      <w:pPr>
        <w:pStyle w:val="ListBullet"/>
        <w:spacing w:after="80" w:line="276" w:lineRule="auto"/>
      </w:pPr>
      <w:r>
        <w:rPr>
          <w:rFonts w:ascii="Calibri" w:hAnsi="Calibri"/>
          <w:b/>
          <w:color w:val="1A365D"/>
          <w:sz w:val="21"/>
        </w:rPr>
        <w:t>Decoupled Hybrid Architecture</w:t>
      </w:r>
      <w:r>
        <w:rPr>
          <w:rFonts w:ascii="Calibri" w:hAnsi="Calibri"/>
          <w:color w:val="334155"/>
          <w:sz w:val="21"/>
        </w:rPr>
        <w:t>: Successfully coupled Google Gemini 2.0 Flash VLM with Meta SAM 2.1, proving that complex conversational reasoning can be seamlessly linked to sub-pixel segmentation without fine-tuning monolithic networks.</w:t>
      </w:r>
    </w:p>
    <w:p>
      <w:pPr>
        <w:pStyle w:val="ListBullet"/>
        <w:spacing w:after="80" w:line="276" w:lineRule="auto"/>
      </w:pPr>
      <w:r>
        <w:rPr>
          <w:rFonts w:ascii="Calibri" w:hAnsi="Calibri"/>
          <w:b/>
          <w:color w:val="1A365D"/>
          <w:sz w:val="21"/>
        </w:rPr>
        <w:t>Mathematical Coordinate Standardization</w:t>
      </w:r>
      <w:r>
        <w:rPr>
          <w:rFonts w:ascii="Calibri" w:hAnsi="Calibri"/>
          <w:color w:val="334155"/>
          <w:sz w:val="21"/>
        </w:rPr>
        <w:t>: Formulated and implemented an affine coordinate transformation engine resolving disparities between normalized VLM tokens [0, 1000], image raster matrices, and geographic CRS projections.</w:t>
      </w:r>
    </w:p>
    <w:p>
      <w:pPr>
        <w:pStyle w:val="ListBullet"/>
        <w:spacing w:after="80" w:line="276" w:lineRule="auto"/>
      </w:pPr>
      <w:r>
        <w:rPr>
          <w:rFonts w:ascii="Calibri" w:hAnsi="Calibri"/>
          <w:b/>
          <w:color w:val="1A365D"/>
          <w:sz w:val="21"/>
        </w:rPr>
        <w:t>Production-Grade Reliability</w:t>
      </w:r>
      <w:r>
        <w:rPr>
          <w:rFonts w:ascii="Calibri" w:hAnsi="Calibri"/>
          <w:color w:val="334155"/>
          <w:sz w:val="21"/>
        </w:rPr>
        <w:t>: Engineered a deterministic classical computer vision fallback (GrabCut GMM + morphological filtering) guaranteeing continuous operation even during GPU failure or offline edge conditions.</w:t>
      </w:r>
    </w:p>
    <w:p>
      <w:pPr>
        <w:pStyle w:val="ListBullet"/>
        <w:spacing w:after="80" w:line="276" w:lineRule="auto"/>
      </w:pPr>
      <w:r>
        <w:rPr>
          <w:rFonts w:ascii="Calibri" w:hAnsi="Calibri"/>
          <w:b/>
          <w:color w:val="1A365D"/>
          <w:sz w:val="21"/>
        </w:rPr>
        <w:t>Intuitive Geospatial Experience</w:t>
      </w:r>
      <w:r>
        <w:rPr>
          <w:rFonts w:ascii="Calibri" w:hAnsi="Calibri"/>
          <w:color w:val="334155"/>
          <w:sz w:val="21"/>
        </w:rPr>
        <w:t>: Delivered an interactive Mapbox GL 3D vector and satellite GIS web platform providing instantaneous visual verification, chat history, and layer control.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0D9488"/>
              <w:bottom w:val="none"/>
              <w:right w:val="none"/>
            </w:tcBorders>
          </w:tcPr>
          <w:p>
            <w:pPr>
              <w:spacing w:after="0" w:line="276" w:lineRule="auto"/>
            </w:pPr>
            <w:r>
              <w:rPr>
                <w:rFonts w:ascii="Calibri" w:hAnsi="Calibri"/>
                <w:b/>
                <w:color w:val="0D9488"/>
                <w:sz w:val="20"/>
              </w:rPr>
              <w:t xml:space="preserve">[CONCLUDING REMARK] </w:t>
            </w:r>
            <w:r>
              <w:rPr>
                <w:rFonts w:ascii="Calibri" w:hAnsi="Calibri"/>
                <w:color w:val="1E293B"/>
                <w:sz w:val="20"/>
              </w:rPr>
              <w:t>SatQuery AI demonstrates that combining modern Vision-Language Models with foundation segmentation models and classical computer vision creates a resilient, highly accurate, and democratized paradigm for Earth Observation data analysis, opening transformative possibilities for disaster management, environmental monitoring, and urban planning.</w:t>
            </w:r>
          </w:p>
        </w:tc>
      </w:tr>
    </w:tbl>
    <w:p>
      <w:pPr>
        <w:spacing w:after="80"/>
      </w:pPr>
    </w:p>
    <w:p>
      <w:r>
        <w:br w:type="page"/>
      </w:r>
    </w:p>
    <w:p>
      <w:pPr>
        <w:keepNext/>
        <w:spacing w:before="400" w:after="160"/>
        <w:pBdr>
          <w:bottom w:val="single" w:sz="12" w:space="4" w:color="2B6CB0"/>
        </w:pBdr>
      </w:pPr>
      <w:r>
        <w:rPr>
          <w:rFonts w:ascii="Calibri" w:hAnsi="Calibri"/>
          <w:b/>
          <w:color w:val="1A365D"/>
          <w:sz w:val="34"/>
        </w:rPr>
        <w:t>REFERENCES &amp; ACADEMIC CITATIONS</w:t>
      </w:r>
    </w:p>
    <w:p>
      <w:pPr>
        <w:spacing w:after="120" w:line="276" w:lineRule="auto"/>
        <w:ind w:left="576" w:hanging="576"/>
      </w:pPr>
      <w:r>
        <w:rPr>
          <w:rFonts w:ascii="Calibri" w:hAnsi="Calibri"/>
          <w:b/>
          <w:color w:val="1A365D"/>
        </w:rPr>
        <w:t xml:space="preserve">[1] </w:t>
      </w:r>
      <w:r>
        <w:rPr>
          <w:rFonts w:ascii="Calibri" w:hAnsi="Calibri"/>
          <w:color w:val="334155"/>
          <w:sz w:val="20"/>
        </w:rPr>
        <w:t>Ravi, N., Gabeur, V., Hu, Y. T., Hu, R., Ryali, C., Ma, T., ... &amp; Kirillov, A. (2024). SAM 2: Segment Anything in Images and Videos. arXiv preprint arXiv:2408.00714. Meta AI Research.</w:t>
      </w:r>
    </w:p>
    <w:p>
      <w:pPr>
        <w:spacing w:after="120" w:line="276" w:lineRule="auto"/>
        <w:ind w:left="576" w:hanging="576"/>
      </w:pPr>
      <w:r>
        <w:rPr>
          <w:rFonts w:ascii="Calibri" w:hAnsi="Calibri"/>
          <w:b/>
          <w:color w:val="1A365D"/>
        </w:rPr>
        <w:t xml:space="preserve">[2] </w:t>
      </w:r>
      <w:r>
        <w:rPr>
          <w:rFonts w:ascii="Calibri" w:hAnsi="Calibri"/>
          <w:color w:val="334155"/>
          <w:sz w:val="20"/>
        </w:rPr>
        <w:t>Kirillov, A., Mintun, E., Ravi, N., Mao, H., Rolland, C., Gustafson, L., ... &amp; Girshick, R. (2023). Segment Anything. In Proceedings of the IEEE/CVF International Conference on Computer Vision (ICCV), pp. 4015-4026.</w:t>
      </w:r>
    </w:p>
    <w:p>
      <w:pPr>
        <w:spacing w:after="120" w:line="276" w:lineRule="auto"/>
        <w:ind w:left="576" w:hanging="576"/>
      </w:pPr>
      <w:r>
        <w:rPr>
          <w:rFonts w:ascii="Calibri" w:hAnsi="Calibri"/>
          <w:b/>
          <w:color w:val="1A365D"/>
        </w:rPr>
        <w:t xml:space="preserve">[3] </w:t>
      </w:r>
      <w:r>
        <w:rPr>
          <w:rFonts w:ascii="Calibri" w:hAnsi="Calibri"/>
          <w:color w:val="334155"/>
          <w:sz w:val="20"/>
        </w:rPr>
        <w:t>Gemini Team, Google DeepMind. (2024). Gemini 1.5: Unlocking Multimodal Understanding Across Millions of Tokens of Context. arXiv preprint arXiv:2403.05530. Google DeepMind.</w:t>
      </w:r>
    </w:p>
    <w:p>
      <w:pPr>
        <w:spacing w:after="120" w:line="276" w:lineRule="auto"/>
        <w:ind w:left="576" w:hanging="576"/>
      </w:pPr>
      <w:r>
        <w:rPr>
          <w:rFonts w:ascii="Calibri" w:hAnsi="Calibri"/>
          <w:b/>
          <w:color w:val="1A365D"/>
        </w:rPr>
        <w:t xml:space="preserve">[4] </w:t>
      </w:r>
      <w:r>
        <w:rPr>
          <w:rFonts w:ascii="Calibri" w:hAnsi="Calibri"/>
          <w:color w:val="334155"/>
          <w:sz w:val="20"/>
        </w:rPr>
        <w:t>Radford, A., Kim, J. W., Hallacy, C., Ramesh, A., Goh, G., Agarwal, S., ... &amp; Sutskever, I. (2021). Learning Transferable Visual Models From Natural Language Supervision. In International Conference on Machine Learning (ICML), pp. 8748-8763. PMLR.</w:t>
      </w:r>
    </w:p>
    <w:p>
      <w:pPr>
        <w:spacing w:after="120" w:line="276" w:lineRule="auto"/>
        <w:ind w:left="576" w:hanging="576"/>
      </w:pPr>
      <w:r>
        <w:rPr>
          <w:rFonts w:ascii="Calibri" w:hAnsi="Calibri"/>
          <w:b/>
          <w:color w:val="1A365D"/>
        </w:rPr>
        <w:t xml:space="preserve">[5] </w:t>
      </w:r>
      <w:r>
        <w:rPr>
          <w:rFonts w:ascii="Calibri" w:hAnsi="Calibri"/>
          <w:color w:val="334155"/>
          <w:sz w:val="20"/>
        </w:rPr>
        <w:t>Liu, H., Li, C., Wu, Q., &amp; Lee, Y. J. (2024). Visual Instruction Tuning (LLaVA). Advances in Neural Information Processing Systems (NeurIPS), 36.</w:t>
      </w:r>
    </w:p>
    <w:p>
      <w:pPr>
        <w:spacing w:after="120" w:line="276" w:lineRule="auto"/>
        <w:ind w:left="576" w:hanging="576"/>
      </w:pPr>
      <w:r>
        <w:rPr>
          <w:rFonts w:ascii="Calibri" w:hAnsi="Calibri"/>
          <w:b/>
          <w:color w:val="1A365D"/>
        </w:rPr>
        <w:t xml:space="preserve">[6] </w:t>
      </w:r>
      <w:r>
        <w:rPr>
          <w:rFonts w:ascii="Calibri" w:hAnsi="Calibri"/>
          <w:color w:val="334155"/>
          <w:sz w:val="20"/>
        </w:rPr>
        <w:t>Rother, C., Kolmogorov, V., &amp; Blake, A. (2004). 'GrabCut': Interactive Foreground Extraction Using Iterated Graph Cuts. ACM Transactions on Graphics (TOG), 23(3), 309-314.</w:t>
      </w:r>
    </w:p>
    <w:p>
      <w:pPr>
        <w:spacing w:after="120" w:line="276" w:lineRule="auto"/>
        <w:ind w:left="576" w:hanging="576"/>
      </w:pPr>
      <w:r>
        <w:rPr>
          <w:rFonts w:ascii="Calibri" w:hAnsi="Calibri"/>
          <w:b/>
          <w:color w:val="1A365D"/>
        </w:rPr>
        <w:t xml:space="preserve">[7] </w:t>
      </w:r>
      <w:r>
        <w:rPr>
          <w:rFonts w:ascii="Calibri" w:hAnsi="Calibri"/>
          <w:color w:val="334155"/>
          <w:sz w:val="20"/>
        </w:rPr>
        <w:t>Drusch, M., Del Bello, U., Carlier, S., Colin, O., Fernandez, V., Gascon, F., ... &amp; Bargellini, P. (2012). Sentinel-2: ESA's Optical High-Resolution Mission for GMES Operational Services. Remote Sensing of Environment, 120, 25-36.</w:t>
      </w:r>
    </w:p>
    <w:p>
      <w:pPr>
        <w:spacing w:after="120" w:line="276" w:lineRule="auto"/>
        <w:ind w:left="576" w:hanging="576"/>
      </w:pPr>
      <w:r>
        <w:rPr>
          <w:rFonts w:ascii="Calibri" w:hAnsi="Calibri"/>
          <w:b/>
          <w:color w:val="1A365D"/>
        </w:rPr>
        <w:t xml:space="preserve">[8] </w:t>
      </w:r>
      <w:r>
        <w:rPr>
          <w:rFonts w:ascii="Calibri" w:hAnsi="Calibri"/>
          <w:color w:val="334155"/>
          <w:sz w:val="20"/>
        </w:rPr>
        <w:t>McFeeters, S. K. (1996). The Use of the Normalized Difference Water Index (NDWI) in the Delineation of Open Water Features. International Journal of Remote Sensing, 17(7), 1425-1432.</w:t>
      </w:r>
    </w:p>
    <w:p>
      <w:pPr>
        <w:spacing w:after="120" w:line="276" w:lineRule="auto"/>
        <w:ind w:left="576" w:hanging="576"/>
      </w:pPr>
      <w:r>
        <w:rPr>
          <w:rFonts w:ascii="Calibri" w:hAnsi="Calibri"/>
          <w:b/>
          <w:color w:val="1A365D"/>
        </w:rPr>
        <w:t xml:space="preserve">[9] </w:t>
      </w:r>
      <w:r>
        <w:rPr>
          <w:rFonts w:ascii="Calibri" w:hAnsi="Calibri"/>
          <w:color w:val="334155"/>
          <w:sz w:val="20"/>
        </w:rPr>
        <w:t>Ronneberger, O., Fischer, P., &amp; Brox, T. (2015). U-Net: Convolutional Networks for Biomedical Image Segmentation. In International Conference on Medical Image Computing and Computer-Assisted Intervention (MICCAI), pp. 234-241. Springer.</w:t>
      </w:r>
    </w:p>
    <w:p>
      <w:pPr>
        <w:spacing w:after="120" w:line="276" w:lineRule="auto"/>
        <w:ind w:left="576" w:hanging="576"/>
      </w:pPr>
      <w:r>
        <w:rPr>
          <w:rFonts w:ascii="Calibri" w:hAnsi="Calibri"/>
          <w:b/>
          <w:color w:val="1A365D"/>
        </w:rPr>
        <w:t xml:space="preserve">[10] </w:t>
      </w:r>
      <w:r>
        <w:rPr>
          <w:rFonts w:ascii="Calibri" w:hAnsi="Calibri"/>
          <w:color w:val="334155"/>
          <w:sz w:val="20"/>
        </w:rPr>
        <w:t>Chen, L. C., Papandreou, G., Schroff, F., &amp; Adam, H. (2017). Rethinking Atrous Convolution for Semantic Image Segmentation (DeepLabV3). arXiv preprint arXiv:1706.05587.</w:t>
      </w:r>
    </w:p>
    <w:p>
      <w:pPr>
        <w:spacing w:after="120" w:line="276" w:lineRule="auto"/>
        <w:ind w:left="576" w:hanging="576"/>
      </w:pPr>
      <w:r>
        <w:rPr>
          <w:rFonts w:ascii="Calibri" w:hAnsi="Calibri"/>
          <w:b/>
          <w:color w:val="1A365D"/>
        </w:rPr>
        <w:t xml:space="preserve">[11] </w:t>
      </w:r>
      <w:r>
        <w:rPr>
          <w:rFonts w:ascii="Calibri" w:hAnsi="Calibri"/>
          <w:color w:val="334155"/>
          <w:sz w:val="20"/>
        </w:rPr>
        <w:t>Boykov, Y. Y., &amp; Jolly, M. P. (2001). Interactive Graph Cuts for Optimal Boundary &amp; Region Segmentation of Objects in N-D Images. In Proceedings of the Eighth IEEE International Conference on Computer Vision (ICCV 2001), Vol. 1, pp. 105-112.</w:t>
      </w:r>
    </w:p>
    <w:p>
      <w:pPr>
        <w:spacing w:after="120" w:line="276" w:lineRule="auto"/>
        <w:ind w:left="576" w:hanging="576"/>
      </w:pPr>
      <w:r>
        <w:rPr>
          <w:rFonts w:ascii="Calibri" w:hAnsi="Calibri"/>
          <w:b/>
          <w:color w:val="1A365D"/>
        </w:rPr>
        <w:t xml:space="preserve">[12] </w:t>
      </w:r>
      <w:r>
        <w:rPr>
          <w:rFonts w:ascii="Calibri" w:hAnsi="Calibri"/>
          <w:color w:val="334155"/>
          <w:sz w:val="20"/>
        </w:rPr>
        <w:t>Ramirez, T., &amp; Tiangolo, S. (2020). FastAPI: Modern, Fast (High-Performance), Web Framework for Building APIs with Python 3.8+ Based on Standard Python Type Hints.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Department of Computer Science &amp; Engineering | Academic Year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SatQuery AI: Academic Project Report | Multimodal Geospatial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