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D5E39C" w:themeColor="accent1" w:themeTint="66"/>
  <w:body>
    <w:p w14:paraId="0A2CA4C8" w14:textId="2C4B9245" w:rsidR="00DB72C0" w:rsidRPr="00CB2C81" w:rsidRDefault="00DB72C0" w:rsidP="00CB2C81">
      <w:pPr>
        <w:pStyle w:val="Title"/>
        <w:jc w:val="center"/>
        <w:rPr>
          <w:b/>
          <w:bCs/>
          <w:sz w:val="72"/>
          <w:szCs w:val="72"/>
        </w:rPr>
      </w:pPr>
      <w:r w:rsidRPr="00CB2C81">
        <w:rPr>
          <w:b/>
          <w:bCs/>
          <w:sz w:val="72"/>
          <w:szCs w:val="72"/>
        </w:rPr>
        <w:t>RISK MANAGEMENT</w:t>
      </w:r>
    </w:p>
    <w:p w14:paraId="6A67CE56" w14:textId="3CD9CA24" w:rsidR="00D758A1" w:rsidRDefault="00DB72C0">
      <w:pPr>
        <w:rPr>
          <w:sz w:val="32"/>
          <w:szCs w:val="32"/>
        </w:rPr>
      </w:pPr>
      <w:r w:rsidRPr="00CB2C81">
        <w:rPr>
          <w:sz w:val="32"/>
          <w:szCs w:val="32"/>
        </w:rPr>
        <w:t>Implementing effective risk management strategies is crucial when dealing with the inherent volatility of the BTC/USDT market.</w:t>
      </w:r>
    </w:p>
    <w:p w14:paraId="5C326BAB" w14:textId="77777777" w:rsidR="00553593" w:rsidRDefault="00553593">
      <w:pPr>
        <w:rPr>
          <w:sz w:val="32"/>
          <w:szCs w:val="32"/>
        </w:rPr>
      </w:pPr>
    </w:p>
    <w:p w14:paraId="6BF88E02" w14:textId="396CD957" w:rsidR="005A3191" w:rsidRPr="00553593" w:rsidRDefault="005A3191" w:rsidP="005A3191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553593">
        <w:rPr>
          <w:b/>
          <w:bCs/>
          <w:sz w:val="36"/>
          <w:szCs w:val="36"/>
        </w:rPr>
        <w:t>Position Sizing:</w:t>
      </w:r>
    </w:p>
    <w:p w14:paraId="12F15254" w14:textId="77777777" w:rsidR="00553593" w:rsidRPr="00553593" w:rsidRDefault="00553593" w:rsidP="00553593">
      <w:pPr>
        <w:pStyle w:val="ListParagraph"/>
        <w:rPr>
          <w:sz w:val="28"/>
          <w:szCs w:val="28"/>
        </w:rPr>
      </w:pPr>
    </w:p>
    <w:p w14:paraId="29054CDA" w14:textId="52D772A5" w:rsidR="005A3191" w:rsidRPr="00553593" w:rsidRDefault="005A3191" w:rsidP="0055359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53593">
        <w:rPr>
          <w:sz w:val="28"/>
          <w:szCs w:val="28"/>
        </w:rPr>
        <w:t>Determine the size of each trading position based on the level of risk tolerance and account size. By allocating a specific percentage of the total capital to each trade, traders can mitigate the impact of potential losses.</w:t>
      </w:r>
    </w:p>
    <w:p w14:paraId="692AF5BD" w14:textId="77777777" w:rsidR="00553593" w:rsidRDefault="00553593" w:rsidP="00553593">
      <w:pPr>
        <w:ind w:left="768"/>
      </w:pPr>
    </w:p>
    <w:p w14:paraId="145EAA46" w14:textId="0EB70557" w:rsidR="00553593" w:rsidRPr="00553593" w:rsidRDefault="005A3191" w:rsidP="00553593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553593">
        <w:rPr>
          <w:b/>
          <w:bCs/>
          <w:sz w:val="36"/>
          <w:szCs w:val="36"/>
        </w:rPr>
        <w:t xml:space="preserve">Stop-Loss Orders: </w:t>
      </w:r>
    </w:p>
    <w:p w14:paraId="2E5A2283" w14:textId="77777777" w:rsidR="00553593" w:rsidRDefault="00553593" w:rsidP="00553593">
      <w:pPr>
        <w:pStyle w:val="ListParagraph"/>
      </w:pPr>
    </w:p>
    <w:p w14:paraId="0D1EB904" w14:textId="5A128AAB" w:rsidR="005A3191" w:rsidRPr="00553593" w:rsidRDefault="005A3191" w:rsidP="0055359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53593">
        <w:rPr>
          <w:sz w:val="28"/>
          <w:szCs w:val="28"/>
        </w:rPr>
        <w:t xml:space="preserve">Implement stop-loss orders to automatically exit a position if the market moves against the forecasted direction. This helps limit potential losses and ensures that trades are closed at predefined thresholds, preventing significant downturns. </w:t>
      </w:r>
    </w:p>
    <w:p w14:paraId="3AD787D9" w14:textId="77777777" w:rsidR="00553593" w:rsidRPr="00553593" w:rsidRDefault="00553593" w:rsidP="00553593">
      <w:pPr>
        <w:pStyle w:val="ListParagraph"/>
        <w:ind w:left="1128"/>
        <w:rPr>
          <w:sz w:val="28"/>
          <w:szCs w:val="28"/>
        </w:rPr>
      </w:pPr>
    </w:p>
    <w:p w14:paraId="40E443E2" w14:textId="77777777" w:rsidR="00553593" w:rsidRDefault="00553593" w:rsidP="00553593">
      <w:pPr>
        <w:pStyle w:val="ListParagraph"/>
        <w:ind w:left="1128"/>
      </w:pPr>
    </w:p>
    <w:p w14:paraId="5D962128" w14:textId="77777777" w:rsidR="00553593" w:rsidRDefault="00553593" w:rsidP="00553593">
      <w:pPr>
        <w:pStyle w:val="ListParagraph"/>
        <w:ind w:left="1128"/>
      </w:pPr>
    </w:p>
    <w:p w14:paraId="4FB6291A" w14:textId="1A53AA82" w:rsidR="00553593" w:rsidRPr="00553593" w:rsidRDefault="005A3191" w:rsidP="00553593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553593">
        <w:rPr>
          <w:b/>
          <w:bCs/>
          <w:sz w:val="36"/>
          <w:szCs w:val="36"/>
        </w:rPr>
        <w:t xml:space="preserve">Realistic Expectations: </w:t>
      </w:r>
    </w:p>
    <w:p w14:paraId="1E733D49" w14:textId="77777777" w:rsidR="00553593" w:rsidRDefault="00553593" w:rsidP="00553593">
      <w:pPr>
        <w:pStyle w:val="ListParagraph"/>
      </w:pPr>
    </w:p>
    <w:p w14:paraId="0EC154C6" w14:textId="51CD655B" w:rsidR="00CB2C81" w:rsidRPr="00553593" w:rsidRDefault="005A3191" w:rsidP="0055359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53593">
        <w:rPr>
          <w:sz w:val="28"/>
          <w:szCs w:val="28"/>
        </w:rPr>
        <w:t>Set realistic expectations for the model's performance. Acknowledge that no model is perfect, and losses are an inherent part of trading. By maintaining realistic expectations, traders can avoid excessive risk-taking based on overconfidence in the model.</w:t>
      </w:r>
    </w:p>
    <w:sectPr w:rsidR="00CB2C81" w:rsidRPr="00553593" w:rsidSect="00CB2C81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B515C"/>
    <w:multiLevelType w:val="hybridMultilevel"/>
    <w:tmpl w:val="F9DC12CE"/>
    <w:lvl w:ilvl="0" w:tplc="40090001">
      <w:start w:val="1"/>
      <w:numFmt w:val="bullet"/>
      <w:lvlText w:val=""/>
      <w:lvlJc w:val="left"/>
      <w:pPr>
        <w:ind w:left="112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1" w15:restartNumberingAfterBreak="0">
    <w:nsid w:val="1FDA223C"/>
    <w:multiLevelType w:val="hybridMultilevel"/>
    <w:tmpl w:val="67BABB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8400130">
    <w:abstractNumId w:val="1"/>
  </w:num>
  <w:num w:numId="2" w16cid:durableId="1850198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8E5"/>
    <w:rsid w:val="00355EEC"/>
    <w:rsid w:val="00553593"/>
    <w:rsid w:val="005A3191"/>
    <w:rsid w:val="006328E5"/>
    <w:rsid w:val="00CB2C81"/>
    <w:rsid w:val="00D758A1"/>
    <w:rsid w:val="00DB72C0"/>
    <w:rsid w:val="00EC5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1300]"/>
    </o:shapedefaults>
    <o:shapelayout v:ext="edit">
      <o:idmap v:ext="edit" data="1"/>
    </o:shapelayout>
  </w:shapeDefaults>
  <w:decimalSymbol w:val="."/>
  <w:listSeparator w:val=","/>
  <w14:docId w14:val="0EE1AE34"/>
  <w15:chartTrackingRefBased/>
  <w15:docId w15:val="{797B0324-5B75-446F-8AF6-D4690EDA8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2C81"/>
  </w:style>
  <w:style w:type="paragraph" w:styleId="Heading1">
    <w:name w:val="heading 1"/>
    <w:basedOn w:val="Normal"/>
    <w:next w:val="Normal"/>
    <w:link w:val="Heading1Char"/>
    <w:uiPriority w:val="9"/>
    <w:qFormat/>
    <w:rsid w:val="00CB2C81"/>
    <w:pPr>
      <w:pBdr>
        <w:top w:val="single" w:sz="24" w:space="0" w:color="83992A" w:themeColor="accent1"/>
        <w:left w:val="single" w:sz="24" w:space="0" w:color="83992A" w:themeColor="accent1"/>
        <w:bottom w:val="single" w:sz="24" w:space="0" w:color="83992A" w:themeColor="accent1"/>
        <w:right w:val="single" w:sz="24" w:space="0" w:color="83992A" w:themeColor="accent1"/>
      </w:pBdr>
      <w:shd w:val="clear" w:color="auto" w:fill="83992A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2C81"/>
    <w:pPr>
      <w:pBdr>
        <w:top w:val="single" w:sz="24" w:space="0" w:color="EAF1CD" w:themeColor="accent1" w:themeTint="33"/>
        <w:left w:val="single" w:sz="24" w:space="0" w:color="EAF1CD" w:themeColor="accent1" w:themeTint="33"/>
        <w:bottom w:val="single" w:sz="24" w:space="0" w:color="EAF1CD" w:themeColor="accent1" w:themeTint="33"/>
        <w:right w:val="single" w:sz="24" w:space="0" w:color="EAF1CD" w:themeColor="accent1" w:themeTint="33"/>
      </w:pBdr>
      <w:shd w:val="clear" w:color="auto" w:fill="EAF1CD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2C81"/>
    <w:pPr>
      <w:pBdr>
        <w:top w:val="single" w:sz="6" w:space="2" w:color="83992A" w:themeColor="accent1"/>
      </w:pBdr>
      <w:spacing w:before="300" w:after="0"/>
      <w:outlineLvl w:val="2"/>
    </w:pPr>
    <w:rPr>
      <w:caps/>
      <w:color w:val="414C15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2C81"/>
    <w:pPr>
      <w:pBdr>
        <w:top w:val="dotted" w:sz="6" w:space="2" w:color="83992A" w:themeColor="accent1"/>
      </w:pBdr>
      <w:spacing w:before="200" w:after="0"/>
      <w:outlineLvl w:val="3"/>
    </w:pPr>
    <w:rPr>
      <w:caps/>
      <w:color w:val="61721F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2C81"/>
    <w:pPr>
      <w:pBdr>
        <w:bottom w:val="single" w:sz="6" w:space="1" w:color="83992A" w:themeColor="accent1"/>
      </w:pBdr>
      <w:spacing w:before="200" w:after="0"/>
      <w:outlineLvl w:val="4"/>
    </w:pPr>
    <w:rPr>
      <w:caps/>
      <w:color w:val="61721F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2C81"/>
    <w:pPr>
      <w:pBdr>
        <w:bottom w:val="dotted" w:sz="6" w:space="1" w:color="83992A" w:themeColor="accent1"/>
      </w:pBdr>
      <w:spacing w:before="200" w:after="0"/>
      <w:outlineLvl w:val="5"/>
    </w:pPr>
    <w:rPr>
      <w:caps/>
      <w:color w:val="61721F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2C81"/>
    <w:pPr>
      <w:spacing w:before="200" w:after="0"/>
      <w:outlineLvl w:val="6"/>
    </w:pPr>
    <w:rPr>
      <w:caps/>
      <w:color w:val="61721F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2C81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2C81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2C81"/>
    <w:rPr>
      <w:caps/>
      <w:color w:val="FFFFFF" w:themeColor="background1"/>
      <w:spacing w:val="15"/>
      <w:sz w:val="22"/>
      <w:szCs w:val="22"/>
      <w:shd w:val="clear" w:color="auto" w:fill="83992A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2C81"/>
    <w:rPr>
      <w:caps/>
      <w:spacing w:val="15"/>
      <w:shd w:val="clear" w:color="auto" w:fill="EAF1CD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2C81"/>
    <w:rPr>
      <w:caps/>
      <w:color w:val="414C15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2C81"/>
    <w:rPr>
      <w:caps/>
      <w:color w:val="61721F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2C81"/>
    <w:rPr>
      <w:caps/>
      <w:color w:val="61721F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2C81"/>
    <w:rPr>
      <w:caps/>
      <w:color w:val="61721F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2C81"/>
    <w:rPr>
      <w:caps/>
      <w:color w:val="61721F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2C81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2C81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B2C81"/>
    <w:rPr>
      <w:b/>
      <w:bCs/>
      <w:color w:val="61721F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B2C81"/>
    <w:pPr>
      <w:spacing w:before="0" w:after="0"/>
    </w:pPr>
    <w:rPr>
      <w:rFonts w:asciiTheme="majorHAnsi" w:eastAsiaTheme="majorEastAsia" w:hAnsiTheme="majorHAnsi" w:cstheme="majorBidi"/>
      <w:caps/>
      <w:color w:val="83992A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B2C81"/>
    <w:rPr>
      <w:rFonts w:asciiTheme="majorHAnsi" w:eastAsiaTheme="majorEastAsia" w:hAnsiTheme="majorHAnsi" w:cstheme="majorBidi"/>
      <w:caps/>
      <w:color w:val="83992A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2C81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CB2C81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CB2C81"/>
    <w:rPr>
      <w:b/>
      <w:bCs/>
    </w:rPr>
  </w:style>
  <w:style w:type="character" w:styleId="Emphasis">
    <w:name w:val="Emphasis"/>
    <w:uiPriority w:val="20"/>
    <w:qFormat/>
    <w:rsid w:val="00CB2C81"/>
    <w:rPr>
      <w:caps/>
      <w:color w:val="414C15" w:themeColor="accent1" w:themeShade="7F"/>
      <w:spacing w:val="5"/>
    </w:rPr>
  </w:style>
  <w:style w:type="paragraph" w:styleId="NoSpacing">
    <w:name w:val="No Spacing"/>
    <w:uiPriority w:val="1"/>
    <w:qFormat/>
    <w:rsid w:val="00CB2C8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B2C81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B2C81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2C81"/>
    <w:pPr>
      <w:spacing w:before="240" w:after="240" w:line="240" w:lineRule="auto"/>
      <w:ind w:left="1080" w:right="1080"/>
      <w:jc w:val="center"/>
    </w:pPr>
    <w:rPr>
      <w:color w:val="83992A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2C81"/>
    <w:rPr>
      <w:color w:val="83992A" w:themeColor="accent1"/>
      <w:sz w:val="24"/>
      <w:szCs w:val="24"/>
    </w:rPr>
  </w:style>
  <w:style w:type="character" w:styleId="SubtleEmphasis">
    <w:name w:val="Subtle Emphasis"/>
    <w:uiPriority w:val="19"/>
    <w:qFormat/>
    <w:rsid w:val="00CB2C81"/>
    <w:rPr>
      <w:i/>
      <w:iCs/>
      <w:color w:val="414C15" w:themeColor="accent1" w:themeShade="7F"/>
    </w:rPr>
  </w:style>
  <w:style w:type="character" w:styleId="IntenseEmphasis">
    <w:name w:val="Intense Emphasis"/>
    <w:uiPriority w:val="21"/>
    <w:qFormat/>
    <w:rsid w:val="00CB2C81"/>
    <w:rPr>
      <w:b/>
      <w:bCs/>
      <w:caps/>
      <w:color w:val="414C15" w:themeColor="accent1" w:themeShade="7F"/>
      <w:spacing w:val="10"/>
    </w:rPr>
  </w:style>
  <w:style w:type="character" w:styleId="SubtleReference">
    <w:name w:val="Subtle Reference"/>
    <w:uiPriority w:val="31"/>
    <w:qFormat/>
    <w:rsid w:val="00CB2C81"/>
    <w:rPr>
      <w:b/>
      <w:bCs/>
      <w:color w:val="83992A" w:themeColor="accent1"/>
    </w:rPr>
  </w:style>
  <w:style w:type="character" w:styleId="IntenseReference">
    <w:name w:val="Intense Reference"/>
    <w:uiPriority w:val="32"/>
    <w:qFormat/>
    <w:rsid w:val="00CB2C81"/>
    <w:rPr>
      <w:b/>
      <w:bCs/>
      <w:i/>
      <w:iCs/>
      <w:caps/>
      <w:color w:val="83992A" w:themeColor="accent1"/>
    </w:rPr>
  </w:style>
  <w:style w:type="character" w:styleId="BookTitle">
    <w:name w:val="Book Title"/>
    <w:uiPriority w:val="33"/>
    <w:qFormat/>
    <w:rsid w:val="00CB2C81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B2C81"/>
    <w:pPr>
      <w:outlineLvl w:val="9"/>
    </w:pPr>
  </w:style>
  <w:style w:type="paragraph" w:styleId="ListParagraph">
    <w:name w:val="List Paragraph"/>
    <w:basedOn w:val="Normal"/>
    <w:uiPriority w:val="34"/>
    <w:qFormat/>
    <w:rsid w:val="005A31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rganic">
  <a:themeElements>
    <a:clrScheme name="Organic">
      <a:dk1>
        <a:sysClr val="windowText" lastClr="000000"/>
      </a:dk1>
      <a:lt1>
        <a:sysClr val="window" lastClr="FFFFFF"/>
      </a:lt1>
      <a:dk2>
        <a:srgbClr val="212121"/>
      </a:dk2>
      <a:lt2>
        <a:srgbClr val="DADADA"/>
      </a:lt2>
      <a:accent1>
        <a:srgbClr val="83992A"/>
      </a:accent1>
      <a:accent2>
        <a:srgbClr val="3C9770"/>
      </a:accent2>
      <a:accent3>
        <a:srgbClr val="44709D"/>
      </a:accent3>
      <a:accent4>
        <a:srgbClr val="A23C33"/>
      </a:accent4>
      <a:accent5>
        <a:srgbClr val="D97828"/>
      </a:accent5>
      <a:accent6>
        <a:srgbClr val="DEB340"/>
      </a:accent6>
      <a:hlink>
        <a:srgbClr val="A8BF4D"/>
      </a:hlink>
      <a:folHlink>
        <a:srgbClr val="B4CA80"/>
      </a:folHlink>
    </a:clrScheme>
    <a:fontScheme name="Organic">
      <a:majorFont>
        <a:latin typeface="Garamond" panose="020204040303010108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aramond" panose="02020404030301010803"/>
        <a:ea typeface=""/>
        <a:cs typeface=""/>
        <a:font script="Jpan" typeface="ＭＳ Ｐ明朝"/>
        <a:font script="Hang" typeface="바탕"/>
        <a:font script="Hans" typeface="方正舒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rganic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2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74000"/>
                <a:satMod val="130000"/>
                <a:lumMod val="90000"/>
              </a:schemeClr>
              <a:schemeClr val="phClr">
                <a:tint val="94000"/>
                <a:satMod val="120000"/>
                <a:lumMod val="104000"/>
              </a:schemeClr>
            </a:duotone>
          </a:blip>
          <a:tile tx="0" ty="0" sx="100000" sy="100000" flip="none" algn="tl"/>
        </a:blip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38100" dist="254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88000"/>
                <a:lumMod val="98000"/>
              </a:schemeClr>
            </a:gs>
          </a:gsLst>
          <a:lin ang="5400000" scaled="0"/>
        </a:gradFill>
        <a:blipFill>
          <a:blip xmlns:r="http://schemas.openxmlformats.org/officeDocument/2006/relationships" r:embed="rId2"/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rganic" id="{28CDC826-8792-45C0-861B-85EB3ADEDA33}" vid="{7DAC20F1-423D-49E2-BD0B-50532748BAD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139</Words>
  <Characters>796</Characters>
  <Application>Microsoft Office Word</Application>
  <DocSecurity>0</DocSecurity>
  <Lines>6</Lines>
  <Paragraphs>1</Paragraphs>
  <ScaleCrop>false</ScaleCrop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Kritik Mohanka</dc:creator>
  <cp:keywords/>
  <dc:description/>
  <cp:lastModifiedBy>Kritik Mohanka</cp:lastModifiedBy>
  <cp:revision>7</cp:revision>
  <dcterms:created xsi:type="dcterms:W3CDTF">2024-01-12T14:52:00Z</dcterms:created>
  <dcterms:modified xsi:type="dcterms:W3CDTF">2024-01-12T14:59:00Z</dcterms:modified>
</cp:coreProperties>
</file>