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BB60" w14:textId="77777777" w:rsidR="00FF69B1" w:rsidRPr="00AC3A1B" w:rsidRDefault="00000000" w:rsidP="00AC3A1B">
      <w:pPr>
        <w:spacing w:before="360" w:after="200"/>
        <w:jc w:val="left"/>
        <w:rPr>
          <w:b/>
          <w:bCs/>
          <w:sz w:val="24"/>
          <w:szCs w:val="28"/>
        </w:rPr>
      </w:pPr>
      <w:r>
        <w:rPr>
          <w:rFonts w:ascii="Helvetica" w:eastAsia="Helvetica" w:hAnsi="Helvetica"/>
          <w:b/>
          <w:color w:val="00629B"/>
          <w:sz w:val="44"/>
        </w:rPr>
        <w:t>Valid Files, Broken Pipelines: A Mutation-Based Benchmark for Operational-Semantic Error Detection in GitHub Actions Workflows</w:t>
      </w:r>
    </w:p>
    <w:p w14:paraId="462839A7" w14:textId="77777777" w:rsidR="00FF69B1" w:rsidRPr="00AC3A1B" w:rsidRDefault="00FF69B1" w:rsidP="00AC3A1B">
      <w:pPr>
        <w:jc w:val="center"/>
        <w:rPr>
          <w:b/>
          <w:bCs/>
        </w:rPr>
      </w:pPr>
    </w:p>
    <w:p w14:paraId="1038852D" w14:textId="77777777" w:rsidR="00FF69B1" w:rsidRDefault="00000000">
      <w:pPr>
        <w:spacing w:after="60"/>
        <w:jc w:val="left"/>
      </w:pPr>
      <w:r>
        <w:rPr>
          <w:rFonts w:ascii="Helvetica" w:eastAsia="Helvetica" w:hAnsi="Helvetica"/>
          <w:b/>
        </w:rPr>
        <w:t>Tanya Srivastava</w:t>
      </w:r>
    </w:p>
    <w:p w14:paraId="6359CA17" w14:textId="77777777" w:rsidR="00FF69B1" w:rsidRDefault="00000000">
      <w:pPr>
        <w:spacing w:after="20"/>
        <w:jc w:val="left"/>
      </w:pPr>
      <w:r>
        <w:rPr>
          <w:i/>
          <w:sz w:val="16"/>
        </w:rPr>
        <w:t>Independent Researcher, San Diego, California, USA</w:t>
      </w:r>
    </w:p>
    <w:p w14:paraId="06AABDC9" w14:textId="77777777" w:rsidR="007E5B84" w:rsidRDefault="00000000">
      <w:pPr>
        <w:spacing w:after="20"/>
        <w:jc w:val="left"/>
      </w:pPr>
      <w:r>
        <w:rPr>
          <w:sz w:val="16"/>
        </w:rPr>
        <w:t>ORCID: https://orcid.org/0009-0000-5222-2076</w:t>
      </w:r>
    </w:p>
    <w:p w14:paraId="5F3F6AEF" w14:textId="77777777" w:rsidR="007E5B84" w:rsidRDefault="00000000">
      <w:pPr>
        <w:spacing w:after="20"/>
        <w:jc w:val="left"/>
      </w:pPr>
      <w:r>
        <w:rPr>
          <w:sz w:val="16"/>
        </w:rPr>
        <w:t>Corresponding email: tanya.1108srivastava@gmail.com</w:t>
      </w:r>
    </w:p>
    <w:p w14:paraId="1EF64564" w14:textId="77777777" w:rsidR="00FF69B1" w:rsidRDefault="00FF69B1">
      <w:pPr>
        <w:jc w:val="center"/>
      </w:pPr>
    </w:p>
    <w:p w14:paraId="68D0DCC0" w14:textId="77777777" w:rsidR="00FF69B1" w:rsidRDefault="00FF69B1"/>
    <w:p w14:paraId="2FB1A045" w14:textId="77777777" w:rsidR="00FF69B1" w:rsidRDefault="00000000" w:rsidP="00AC3A1B">
      <w:pPr>
        <w:spacing w:before="280" w:after="160"/>
      </w:pPr>
      <w:r>
        <w:rPr>
          <w:b/>
        </w:rPr>
        <w:t>ABSTRACT GitHub Actions workflows can remain syntactically and schema-valid while violating operational relationships across steps, jobs, triggers, artifacts, failure states, or workflows. This paper introduces a mutation-based benchmark with five synthetic baselines, six workflow files, and 18 schema-valid mutants paired with explicit operational oracles. Using exact baseline differencing, actionlint 1.7.12, zizmor 1.28.0, and poutine 1.1.4 collectively identified 1 of 18 represented faults; the result was unchanged after all remote action references were pinned to full commit SHAs. Controlled runtime validation confirmed seven representative missed faults, and semantics-preserving controls produced invariant normalized findings. External grounding used two complementary real-world sets: six purposefully selected historical defects from five public repositories and a 30-case structured real-world corpus constructed in two stages—a recorded 20-case A–J protocol phase followed by a separately frozen 10-case K–T continuation. None of the six historical defects was identified by the evaluated analyzers. Across the combined 30-case structured corpus, actionlint identified 3 cases, zizmor 1, poutine 0, and the analyzer union identified 4/30 (13.3%) under repair-specific scoring. The benchmark also supported a narrow, explainable Artifact-Flow Analysis, demonstrating that selected operational relationships can be converted into explicit static checks. Finally, an independently human-rated evaluation of 315 blinded responses from three language models found strict oracle-match rates of 80.95% for claude-sonnet-5, 77.14% for gpt-5.6-terra, and 37.14% for gemini-3.6-flash; human ratings showed 96.19% exact four-category agreement with a separately generated automated secondary assessment. A frozen Gemini replication further showed that response-level results can vary even when API execution completes cleanly. Together, the findings motivate workflow analysis that models declared operational relationships beyond file-local validity while keeping tool-scope, sampling, and generalization claims explicit.</w:t>
      </w:r>
      <w:r/>
    </w:p>
    <w:p w14:paraId="4C5E4DD5" w14:textId="77777777" w:rsidR="00FF69B1" w:rsidRDefault="00000000" w:rsidP="00AC3A1B">
      <w:pPr>
        <w:spacing w:after="140"/>
        <w:sectPr w:rsidR="00FF69B1">
          <w:headerReference w:type="default" r:id="rId8"/>
          <w:headerReference w:type="first" r:id="rId9"/>
          <w:type w:val="continuous"/>
          <w:pgSz w:w="11520" w:h="15660"/>
          <w:pgMar w:top="1300" w:right="740" w:bottom="1040" w:left="740" w:header="360" w:footer="360" w:gutter="0"/>
          <w:cols w:num="1" w:space="720"/>
          <w:titlePg/>
        </w:sectPr>
      </w:pPr>
      <w:r>
        <w:rPr>
          <w:rFonts w:ascii="Helvetica" w:eastAsia="Helvetica" w:hAnsi="Helvetica"/>
          <w:b/>
          <w:color w:val="00629B"/>
        </w:rPr>
        <w:t xml:space="preserve">INDEX TERMS </w:t>
      </w:r>
      <w:r>
        <w:t>GitHub Actions, continuous integration, workflow analysis, mutation testing, configuration validation, operational-semantic errors, static analysis, software testing, CI/CD infrastructure.</w:t>
      </w:r>
    </w:p>
    <w:p w14:paraId="58DCCB41" w14:textId="77777777" w:rsidR="00FF69B1" w:rsidRDefault="00000000">
      <w:pPr>
        <w:pStyle w:val="Heading1"/>
        <w:jc w:val="left"/>
      </w:pPr>
      <w:r>
        <w:rPr>
          <w:rFonts w:ascii="Helvetica" w:eastAsia="Helvetica" w:hAnsi="Helvetica"/>
        </w:rPr>
        <w:t>1. Introduction</w:t>
      </w:r>
    </w:p>
    <w:p w14:paraId="296E6584" w14:textId="77777777" w:rsidR="00FF69B1" w:rsidRDefault="00000000" w:rsidP="00AC3A1B">
      <w:r>
        <w:t>Continuous integration and delivery workflows increasingly encode build, test, packaging, deployment, release, and diagnostic behavior as version</w:t>
      </w:r>
      <w:r w:rsidR="00FD5697">
        <w:t>-</w:t>
      </w:r>
      <w:r>
        <w:t>controlled configuration. GitHub Actions has become a prominent workflow platform and an established subject of empirical software</w:t>
      </w:r>
      <w:r w:rsidR="00FD5697">
        <w:t>-</w:t>
      </w:r>
      <w:r>
        <w:t>engineering research [1], [2]. Prior work reports that developers find workflow YAML composition and debugging challenging [3]. Workflow maintenance also involves recurring defect correction and dependency updates [4], while workflow smells and failures remain meaningful engineering concerns [5], [6].</w:t>
      </w:r>
    </w:p>
    <w:p w14:paraId="0B3937D2" w14:textId="77777777" w:rsidR="00FF69B1" w:rsidRDefault="00000000" w:rsidP="00AC3A1B">
      <w:r>
        <w:t xml:space="preserve">Existing analysis tools provide substantial value, but their design goals differ. </w:t>
      </w:r>
      <w:proofErr w:type="spellStart"/>
      <w:r>
        <w:t>actionlint</w:t>
      </w:r>
      <w:proofErr w:type="spellEnd"/>
      <w:r>
        <w:t xml:space="preserve"> focuses on workflow syntax, expressions, matrices, and related correctness checks [15]. </w:t>
      </w:r>
      <w:proofErr w:type="spellStart"/>
      <w:r>
        <w:t>zizmor</w:t>
      </w:r>
      <w:proofErr w:type="spellEnd"/>
      <w:r>
        <w:t xml:space="preserve"> and poutine emphasize CI/CD security and software</w:t>
      </w:r>
      <w:r w:rsidR="00FD5697">
        <w:t>-</w:t>
      </w:r>
      <w:r>
        <w:t>supply</w:t>
      </w:r>
      <w:r w:rsidR="00FD5697">
        <w:t>-</w:t>
      </w:r>
      <w:r>
        <w:t>chain risks [16], [17]. A workflow may nevertheless remain syntactically and schema</w:t>
      </w:r>
      <w:r w:rsidR="00FD5697">
        <w:t>-</w:t>
      </w:r>
      <w:r>
        <w:t>valid while violating an operational relationship required for correct execution. Such relationships may span steps, jobs, triggers, artifacts, failure states, shell behavior, runs, or workflows. Examples include an artifact consumer whose producer can be skipped, a diagnostic step suppressed after failure masking, a matrix that silently omits an intended environment, or two independent workflows that accidentally share a cancellation domain.</w:t>
      </w:r>
    </w:p>
    <w:p w14:paraId="2D1F35FA" w14:textId="7497DECC" w:rsidR="00FF69B1" w:rsidRDefault="00000000" w:rsidP="00AC3A1B">
      <w:r>
        <w:t xml:space="preserve">We call these operational-semantic errors: workflows that remain syntactically and schema-valid but violate an intended execution relationship or behavior. These errors are especially relevant to CI/CD infrastructure because a small local edit can alter artifact availability, job eligibility, diagnostic visibility, release behavior, or concurrency elsewhere in the pipeline. The study examines cases where the workflow remains valid but pipeline behavior is incorrect using controlled mutation. Mutation </w:t>
      </w:r>
      <w:r>
        <w:lastRenderedPageBreak/>
        <w:t>testing traditionally introduces small faults to evaluate test adequacy [11], [12]. Here, mutation is used to construct a benchmark for workflow analyzers: each mutant is paired with a clean baseline, an explicit semantic oracle, and a narrowly scoped transformation. Unlike conventional mutation testing, this study evaluates workflow analysis tools rather than test suites.</w:t>
      </w:r>
    </w:p>
    <w:p w14:paraId="216684A0" w14:textId="77777777" w:rsidR="00FF69B1" w:rsidRDefault="00000000" w:rsidP="00AC3A1B">
      <w:r>
        <w:t>The study makes six contributions. First, it provides a reproducible benchmark of 18 isolated operational-semantic mutants spanning artifact flow, matrix intent, trigger behavior, failure propagation, dependency assumptions, shell and pipeline semantics, and cross-workflow concurrency, each paired with a clean baseline and explicit oracle. Second, it evaluates actionlint 1.7.12, zizmor 1.28.0, and poutine 1.1.4 as representative existing GitHub Actions analyzers using exact baseline differencing, a full-SHA pinning robustness check, semantics-preserving negative controls, and controlled runtime validation of seven representative misses. Third, it introduces an analytical framework that separates syntactic mutation size from semantic propagation depth, operational impact scope, required reasoning capability, observable symptom, and silent-success behavior. Fourth, it uses the benchmark to derive a narrow, explainable Artifact-Flow Analysis and documents its refinement history and investigator-designed holdouts as a feasibility study rather than an independent accuracy estimate. Fifth, it adds a controlled 315-response evaluation of three general-purpose language models, including six unreleased contamination-control baseline-mutant pairs, blinded independent human scoring, a frozen retry/canonicalization protocol, and a separately frozen Gemini replication to distinguish execution variability from response variability. Sixth, it adds two complementary real-world grounding sets: six purposefully selected historical defects from five public repositories and a 30-case structured corpus built from a recorded 20-case A–J protocol phase plus a separately frozen 10-case K–T continuation, with all analyzer outcomes evaluated under case-specific repair oracles.</w:t>
      </w:r>
    </w:p>
    <w:p w14:paraId="74FAA891" w14:textId="77777777" w:rsidR="00FF69B1" w:rsidRDefault="00000000" w:rsidP="00AC3A1B">
      <w:r>
        <w:t>Prior work has examined GitHub Actions adoption, maintenance, smells, failures, security weaknesses, resource usage, and workflow completion [1]</w:t>
      </w:r>
      <w:proofErr w:type="gramStart"/>
      <w:r>
        <w:t>–[</w:t>
      </w:r>
      <w:proofErr w:type="gramEnd"/>
      <w:r>
        <w:t>10], while earlier studies of other CI and deployment platforms have predicted configuration failures, detected and repaired semantic anti-patterns, and identified continuous-delivery configuration smells [27]</w:t>
      </w:r>
      <w:proofErr w:type="gramStart"/>
      <w:r>
        <w:t>–[</w:t>
      </w:r>
      <w:proofErr w:type="gramEnd"/>
      <w:r>
        <w:t>30]. The novelty of this study is therefore not the first treatment of semantic CI-configuration errors. Rather, the reviewed work does not provide a benchmark built from isolated baseline–mutant pairs, explicit per-mutant operational oracles, and exact baseline differencing, and it does not address GitHub Actions relationships involving artifacts, matrix intent, job dependencies, failure propagation, and cross-workflow concurrency. The 1-of-18 union-detection result is specific to the released synthetic benchmark and should not be interpreted as a general estimate of analyzer effectiveness. Within that scope, the result identifies a detection gap for the represented operational-semantic fault classes.</w:t>
      </w:r>
    </w:p>
    <w:p w14:paraId="4F21B697" w14:textId="77777777" w:rsidR="007E5B84" w:rsidRDefault="007E5B84">
      <w:pPr>
        <w:sectPr w:rsidR="007E5B84" w:rsidSect="007217D5">
          <w:type w:val="continuous"/>
          <w:pgSz w:w="11520" w:h="15660"/>
          <w:pgMar w:top="1300" w:right="740" w:bottom="1040" w:left="740" w:header="360" w:footer="360" w:gutter="0"/>
          <w:cols w:num="2" w:space="400"/>
        </w:sectPr>
      </w:pPr>
    </w:p>
    <w:p w14:paraId="5B6698B1" w14:textId="77777777" w:rsidR="00FF69B1" w:rsidRDefault="00000000" w:rsidP="00AC3A1B">
      <w:pPr>
        <w:spacing w:before="0" w:after="0"/>
        <w:jc w:val="center"/>
      </w:pPr>
      <w:r>
        <w:drawing>
          <wp:inline xmlns:a="http://schemas.openxmlformats.org/drawingml/2006/main" xmlns:pic="http://schemas.openxmlformats.org/drawingml/2006/picture">
            <wp:extent cx="6217920" cy="4732914"/>
            <wp:docPr id="5" name="Picture 5" descr="Experimental design and evidence triangulation showing controlled benchmark evidence, runtime and robustness evidence, intent-aware LLM evaluation, complementary semantic reasoning, external grounding, and methodological safeguards around the operational-semantic correctness gap in GitHub Actions." title="Experimental design and evidence triangulation"/>
            <wp:cNvGraphicFramePr>
              <a:graphicFrameLocks noChangeAspect="1"/>
            </wp:cNvGraphicFramePr>
            <a:graphic>
              <a:graphicData uri="http://schemas.openxmlformats.org/drawingml/2006/picture">
                <pic:pic>
                  <pic:nvPicPr>
                    <pic:cNvPr id="0" name="figure1.png"/>
                    <pic:cNvPicPr/>
                  </pic:nvPicPr>
                  <pic:blipFill>
                    <a:blip r:embed="rId19"/>
                    <a:stretch>
                      <a:fillRect/>
                    </a:stretch>
                  </pic:blipFill>
                  <pic:spPr>
                    <a:xfrm>
                      <a:off x="0" y="0"/>
                      <a:ext cx="6217920" cy="4732914"/>
                    </a:xfrm>
                    <a:prstGeom prst="rect"/>
                  </pic:spPr>
                </pic:pic>
              </a:graphicData>
            </a:graphic>
          </wp:inline>
        </w:drawing>
      </w:r>
    </w:p>
    <w:p w14:paraId="09FCB657" w14:textId="77777777" w:rsidR="00FF69B1" w:rsidRDefault="00000000" w:rsidP="00472C60">
      <w:pPr>
        <w:spacing w:before="0" w:after="0"/>
        <w:ind w:firstLine="720"/>
        <w:jc w:val="center"/>
      </w:pPr>
      <w:r>
        <w:rPr>
          <w:i/>
        </w:rPr>
        <w:t>Figure 1. Experimental design and evidence triangulation before the structured real-world extension (§6.11).</w:t>
      </w:r>
    </w:p>
    <w:p w14:paraId="3EEBDAA2" w14:textId="77777777" w:rsidR="007E5B84" w:rsidRDefault="007E5B84">
      <w:pPr>
        <w:sectPr w:rsidR="007E5B84" w:rsidSect="007217D5">
          <w:type w:val="continuous"/>
          <w:pgSz w:w="11520" w:h="15660"/>
          <w:pgMar w:top="1300" w:right="740" w:bottom="1040" w:left="740" w:header="360" w:footer="360" w:gutter="0"/>
          <w:cols w:num="1" w:space="720"/>
        </w:sectPr>
      </w:pPr>
    </w:p>
    <w:p w14:paraId="792F4713" w14:textId="77777777" w:rsidR="00FF69B1" w:rsidRDefault="00000000">
      <w:pPr>
        <w:pStyle w:val="Heading1"/>
        <w:jc w:val="left"/>
      </w:pPr>
      <w:r>
        <w:rPr>
          <w:rFonts w:ascii="Helvetica" w:eastAsia="Helvetica" w:hAnsi="Helvetica"/>
        </w:rPr>
        <w:t>2. Research Questions</w:t>
      </w:r>
    </w:p>
    <w:p w14:paraId="25C69605" w14:textId="77777777" w:rsidR="00FF69B1" w:rsidRDefault="00000000" w:rsidP="00AC3A1B">
      <w:r>
        <w:t>To reduce fragmentation and align the analysis with the study's five conceptual questions, the research questions are organized under three research objectives.</w:t>
      </w:r>
    </w:p>
    <w:p>
      <w:r>
        <w:rPr>
          <w:b/>
        </w:rPr>
        <w:t>Objective A - Existing-tool coverage and fault characteristics</w:t>
      </w:r>
    </w:p>
    <w:p w14:paraId="4E7609DE" w14:textId="77777777" w:rsidR="00FF69B1" w:rsidRDefault="00000000" w:rsidP="00AC3A1B">
      <w:pPr>
        <w:spacing w:after="60"/>
        <w:ind w:left="360" w:hanging="360"/>
      </w:pPr>
      <w:r>
        <w:t>RQ1. To what extent do representative existing GitHub Actions analyzers provide detection coverage for the benchmark's operational-semantic faults, and what semantic characteristics distinguish detected from missed cases?</w:t>
      </w:r>
    </w:p>
    <w:p w14:paraId="21657180" w14:textId="77777777" w:rsidR="00FF69B1" w:rsidRDefault="00000000" w:rsidP="00AC3A1B">
      <w:pPr>
        <w:spacing w:after="60"/>
        <w:ind w:left="360" w:hanging="360"/>
      </w:pPr>
      <w:r>
        <w:t>RQ2. How does syntactic and structural mutation size relate to semantic propagation depth and operational impact scope?</w:t>
      </w:r>
    </w:p>
    <w:p w14:paraId="4BC00BE6" w14:textId="77777777" w:rsidR="00FF69B1" w:rsidRDefault="00000000" w:rsidP="00AC3A1B">
      <w:pPr>
        <w:spacing w:after="60"/>
        <w:ind w:left="360" w:hanging="360"/>
      </w:pPr>
      <w:r>
        <w:rPr>
          <w:b/>
        </w:rPr>
        <w:t>Objective B - Runtime validation, robustness, and complementary semantic reasoning</w:t>
      </w:r>
    </w:p>
    <w:p w14:paraId="21954C93" w14:textId="77777777" w:rsidR="00FF69B1" w:rsidRDefault="00000000" w:rsidP="00AC3A1B">
      <w:pPr>
        <w:spacing w:after="60"/>
        <w:ind w:left="360" w:hanging="360"/>
      </w:pPr>
      <w:r>
        <w:t>RQ3. What runtime consequences arise from representative missed faults, and are the primary findings robust to action-reference pinning and selected semantics-preserving workflow transformations?</w:t>
      </w:r>
    </w:p>
    <w:p w14:paraId="77A76AF5" w14:textId="77777777" w:rsidR="00FF69B1" w:rsidRDefault="00000000" w:rsidP="00AC3A1B">
      <w:pPr>
        <w:spacing w:after="60"/>
        <w:ind w:left="360" w:hanging="360"/>
      </w:pPr>
      <w:r>
        <w:t>RQ4. Can benchmark-derived static checks and intent-aware language-model reasoning recover operational relationships missed by existing analyzers, and how stable are those response-level findings under execution variability and replication?</w:t>
      </w:r>
    </w:p>
    <w:p>
      <w:r>
        <w:rPr>
          <w:b/>
        </w:rPr>
        <w:t>Objective C - External grounding</w:t>
      </w:r>
    </w:p>
    <w:p w14:paraId="6CBF24C0" w14:textId="77777777" w:rsidR="00FF69B1" w:rsidRDefault="00000000" w:rsidP="00AC3A1B">
      <w:pPr>
        <w:spacing w:after="60"/>
        <w:ind w:left="360" w:hanging="360"/>
      </w:pPr>
      <w:r>
        <w:t>RQ5. Do purposefully selected historical defects and a 30-case structured corpus of documented real-world workflow defects exhibit analogous repair-specific coverage gaps?</w:t>
      </w:r>
    </w:p>
    <w:p w14:paraId="74F29465" w14:textId="77777777" w:rsidR="00FF69B1" w:rsidRDefault="00000000">
      <w:pPr>
        <w:pStyle w:val="Heading1"/>
        <w:jc w:val="left"/>
      </w:pPr>
      <w:r>
        <w:rPr>
          <w:rFonts w:ascii="Helvetica" w:eastAsia="Helvetica" w:hAnsi="Helvetica"/>
        </w:rPr>
        <w:t>3. Background and Related Work</w:t>
      </w:r>
    </w:p>
    <w:p w14:paraId="1933E672" w14:textId="77777777" w:rsidR="00FF69B1" w:rsidRDefault="00000000">
      <w:pPr>
        <w:pStyle w:val="Heading2"/>
        <w:jc w:val="left"/>
      </w:pPr>
      <w:r>
        <w:rPr>
          <w:rFonts w:ascii="Helvetica" w:eastAsia="Helvetica" w:hAnsi="Helvetica"/>
        </w:rPr>
        <w:t>3.1 GitHub Actions use, maintenance, and reliability</w:t>
      </w:r>
    </w:p>
    <w:p w14:paraId="771C71B6" w14:textId="77777777" w:rsidR="00FF69B1" w:rsidRDefault="00000000" w:rsidP="00AC3A1B">
      <w:r>
        <w:t>Empirical studies document the use and rapid adoption of GitHub Actions as a CI platform [1], [2]. Developer surveys identify workflow authoring and debugging difficulties [3]. Maintenance studies show that workflows evolve through defect correction, dependency changes, and CI/CD improvement [4], while workflow-smell research identifies recurring undesirable patterns and validates them with maintainers [5]. More recent large-scale work shows that workflow changes are commonly small and concentrated in task configuration or specification [36], and that language-feature usage and workflow complexity are associated with reliability and maintenance differences [37]. Execution-centered research further examines how projects use workflow runs and how developers respond to failures [38]. Failure studies and resource analyses likewise show that workflow configuration has observable reliability and execution consequences [6], [7]. These findings establish workflow reliability as an infrastructure concern: defects can affect whether tests execute, failures remain visible, artifacts reach downstream jobs, and independent workflows interfere with one another.</w:t>
      </w:r>
    </w:p>
    <w:p w14:paraId="19434C34" w14:textId="77777777" w:rsidR="00FF69B1" w:rsidRDefault="00000000">
      <w:pPr>
        <w:pStyle w:val="Heading2"/>
        <w:jc w:val="left"/>
      </w:pPr>
      <w:r>
        <w:rPr>
          <w:rFonts w:ascii="Helvetica" w:eastAsia="Helvetica" w:hAnsi="Helvetica"/>
        </w:rPr>
        <w:t>3.2 Workflow construction and security analysis</w:t>
      </w:r>
    </w:p>
    <w:p w14:paraId="45CF2EBF" w14:textId="77777777" w:rsidR="00FF69B1" w:rsidRDefault="00000000" w:rsidP="00AC3A1B">
      <w:r>
        <w:t>GH-WCOM demonstrates that learned models can assist workflow completion [8], but generation of plausible configuration is distinct from proving that a locally valid change preserves a cross-step or cross-workflow relationship. Recent work has also evaluated language models for checklist-based GitHub Actions compliance auditing [39]. That task measures adherence to documentation-grounded security, maintainability, and performance criteria; the present response-level experiment instead asks whether models recover explicitly defined operational-semantic violations under case-specific oracles. Security research has identified GitHub Actions as a software-supply-chain attack surface. GHAST performs automated security assessment [9], while ARGUS introduces staged static taint analysis over workflow and action data flows [18]. A recent systematic comparison of nine workflow security scanners further shows that scanners differ substantially in targeted weakness classes, interpretations, and reported findings [19]. Security findings and operational-semantic faults overlap only partially: a workflow may contain no identified security weakness yet still fail to preserve artifact availability, diagnostic execution, required test coverage, or concurrency isolation.</w:t>
      </w:r>
    </w:p>
    <w:p w14:paraId="384136A5" w14:textId="77777777" w:rsidR="00FF69B1" w:rsidRDefault="00000000">
      <w:pPr>
        <w:pStyle w:val="Heading2"/>
        <w:jc w:val="left"/>
      </w:pPr>
      <w:r>
        <w:rPr>
          <w:rFonts w:ascii="Helvetica" w:eastAsia="Helvetica" w:hAnsi="Helvetica"/>
        </w:rPr>
        <w:t>3.3 Local Validity and Operational Semantics</w:t>
      </w:r>
    </w:p>
    <w:p w14:paraId="38DA28F1" w14:textId="77777777" w:rsidR="00FF69B1" w:rsidRDefault="00000000" w:rsidP="00AC3A1B">
      <w:r>
        <w:t xml:space="preserve">A GitHub Actions workflow may be valid at several distinct layers. YAML parsing determines whether the file can be read; schema and expression checks determine whether constructs are structurally or locally admissible; and security analysis identifies selected weakness patterns. None of these checks alone establishes that the workflow preserves its intended operational relationships. </w:t>
      </w:r>
      <w:proofErr w:type="spellStart"/>
      <w:r>
        <w:t>actionlint</w:t>
      </w:r>
      <w:proofErr w:type="spellEnd"/>
      <w:r>
        <w:t xml:space="preserve"> documents </w:t>
      </w:r>
      <w:proofErr w:type="gramStart"/>
      <w:r>
        <w:t>checks</w:t>
      </w:r>
      <w:proofErr w:type="gramEnd"/>
      <w:r>
        <w:t xml:space="preserve"> for workflow syntax, expressions, matrices, and shell content [15]. GitHub documentation defines matrix expansion, conditional execution, workflow syntax, and concurrency behavior [13], [14]. These specifications ground several benchmark oracles. For example, an undefined matrix property is invalid at expression evaluation [13], while workflows sharing a concurrency group are serialized and may cancel an active run when cancel</w:t>
      </w:r>
      <w:r w:rsidR="00FD5697">
        <w:t>-</w:t>
      </w:r>
      <w:r>
        <w:t>in</w:t>
      </w:r>
      <w:r w:rsidR="00FD5697">
        <w:t>-</w:t>
      </w:r>
      <w:r>
        <w:t>progress is enabled [14]. The benchmark therefore treats local validity and operational correctness as related but separate properties.</w:t>
      </w:r>
    </w:p>
    <w:p w14:paraId="24616697" w14:textId="77777777" w:rsidR="00FF69B1" w:rsidRDefault="00000000">
      <w:pPr>
        <w:pStyle w:val="Heading2"/>
        <w:jc w:val="left"/>
      </w:pPr>
      <w:r>
        <w:rPr>
          <w:rFonts w:ascii="Helvetica" w:eastAsia="Helvetica" w:hAnsi="Helvetica"/>
        </w:rPr>
        <w:t>3.4 Mutation</w:t>
      </w:r>
      <w:r w:rsidR="00FD5697">
        <w:rPr>
          <w:rFonts w:ascii="Helvetica" w:eastAsia="Helvetica" w:hAnsi="Helvetica"/>
        </w:rPr>
        <w:t>-</w:t>
      </w:r>
      <w:r>
        <w:rPr>
          <w:rFonts w:ascii="Helvetica" w:eastAsia="Helvetica" w:hAnsi="Helvetica"/>
        </w:rPr>
        <w:t>based evaluation and research gap</w:t>
      </w:r>
    </w:p>
    <w:p w14:paraId="47A97BCF" w14:textId="77777777" w:rsidR="00FF69B1" w:rsidRDefault="00000000" w:rsidP="00AC3A1B">
      <w:r>
        <w:t>Mutation testing introduces controlled faults to evaluate test-suite adequacy [11], and recent studies examine its practical use in open-source development [12]. Research comparing artificial and real faults cautions that syntactic similarity does not necessarily imply semantic similarity [20]. Work on mutation propagation also shows that a small injected change may or may not infect later states, propagate through execution, and become externally observable [21], [22]. Structure-aware differencing of GitHub Actions revisions has separately been explored by gawd [40]. The present study applies the controlled-fault principle to workflow analyzers rather than test suites and uses finding-level differencing to determine whether a change creates an oracle-relevant analyzer signal. Unlike adoption studies, smell mining, security analysis, or workflow completion, the benchmark provides clean baseline–mutant pairs, explicit per-mutant operational oracles, and exact baseline differencing to determine whether an analyzer identifies the injected fault.</w:t>
      </w:r>
    </w:p>
    <w:p w14:paraId="4BFF7C94" w14:textId="77777777" w:rsidR="00FF69B1" w:rsidRDefault="00000000">
      <w:pPr>
        <w:pStyle w:val="Heading2"/>
        <w:jc w:val="left"/>
      </w:pPr>
      <w:r>
        <w:rPr>
          <w:rFonts w:ascii="Helvetica" w:eastAsia="Helvetica" w:hAnsi="Helvetica"/>
        </w:rPr>
        <w:t>3.5 Error propagation, artifact flow, and provenance</w:t>
      </w:r>
    </w:p>
    <w:p w14:paraId="235B2571" w14:textId="77777777" w:rsidR="00FF69B1" w:rsidRDefault="00000000" w:rsidP="00AC3A1B">
      <w:r>
        <w:t>The study’s propagation-depth model is informed by the broader distinction between fault execution, state infection, propagation, and externally revealed failure. Failed-error-propagation research explains why an erroneous intermediate state may not become an observable failure [22], while recent mutation studies empirically track how infections ripple through program execution [21]. This distinction motivates separating mutation size from semantic reach in the present benchmark.</w:t>
      </w:r>
    </w:p>
    <w:p w14:paraId="7AB81433" w14:textId="77777777" w:rsidR="007E5B84" w:rsidRDefault="00000000">
      <w:r>
        <w:lastRenderedPageBreak/>
        <w:t>Prior workflow-analysis research has modeled data and artifact usage and identified anomalies including missing production or access before production, redundant writes, and conflicting writes [24]</w:t>
      </w:r>
      <w:proofErr w:type="gramStart"/>
      <w:r>
        <w:t>–[</w:t>
      </w:r>
      <w:proofErr w:type="gramEnd"/>
      <w:r>
        <w:t>26]. Those approaches address general workflow schemas and data- or artifact-manipulation anomalies. In contrast, the present analysis is deliberately narrower and platform-specific: it evaluates GitHub Actions upload-artifact and download-artifact relationships using artifact identity, step ordering, declared job-dependency ancestry, and condition compatibility. Artifact-oriented supply-chain frameworks such as in-toto connect the inputs and outputs of successive build steps to verify end-to-end process integrity [23]. The Artifact-Flow Analysis therefore asks whether an artifact consumer has a matching, ordered, and conditionally available producer; it does not attempt cryptographic provenance verification.</w:t>
      </w:r>
    </w:p>
    <w:p w14:paraId="02EBD28E" w14:textId="77777777" w:rsidR="007E5B84" w:rsidRDefault="00000000">
      <w:pPr>
        <w:pStyle w:val="Heading2"/>
        <w:jc w:val="left"/>
      </w:pPr>
      <w:r>
        <w:rPr>
          <w:rFonts w:ascii="Helvetica" w:eastAsia="Helvetica" w:hAnsi="Helvetica"/>
        </w:rPr>
        <w:t>3.6 Semantic correctness of CI configurations</w:t>
      </w:r>
    </w:p>
    <w:p w14:paraId="2BF945F6" w14:textId="77777777" w:rsidR="007E5B84" w:rsidRDefault="00000000">
      <w:r>
        <w:t xml:space="preserve">Santolucito et al. introduced </w:t>
      </w:r>
      <w:proofErr w:type="spellStart"/>
      <w:r>
        <w:t>VeriCI</w:t>
      </w:r>
      <w:proofErr w:type="spellEnd"/>
      <w:r>
        <w:t xml:space="preserve">, a learned static-verification approach for CI configurations. </w:t>
      </w:r>
      <w:proofErr w:type="spellStart"/>
      <w:r>
        <w:t>VeriCI</w:t>
      </w:r>
      <w:proofErr w:type="spellEnd"/>
      <w:r>
        <w:t xml:space="preserve"> uses repository build histories and decision-tree learning to infer constraints associated with successful builds, then predicts whether a configuration is likely to fail before it is submitted to the CI service [27]. Its objective is predictive checking from historical outcomes rather than construction of controlled fault instances with explicit operational oracles.</w:t>
      </w:r>
    </w:p>
    <w:p w14:paraId="14FDC6F0" w14:textId="77777777" w:rsidR="007E5B84" w:rsidRDefault="00000000">
      <w:proofErr w:type="spellStart"/>
      <w:r>
        <w:t>Gallaba</w:t>
      </w:r>
      <w:proofErr w:type="spellEnd"/>
      <w:r>
        <w:t xml:space="preserve"> and McIntosh studied </w:t>
      </w:r>
      <w:proofErr w:type="gramStart"/>
      <w:r>
        <w:t>valid .</w:t>
      </w:r>
      <w:proofErr w:type="spellStart"/>
      <w:proofErr w:type="gramEnd"/>
      <w:r>
        <w:t>travis.yml</w:t>
      </w:r>
      <w:proofErr w:type="spellEnd"/>
      <w:r>
        <w:t xml:space="preserve"> specifications and defined four CI anti-patterns involving redirected scripts, bypassed security checks, irrelevant properties, and commands placed in inappropriate build phases. Their HANSEL tool detects these anti-patterns, while GRETEL automatically or semi-automatically repairs selected instances and was evaluated through developer-facing pull requests [28]. This work demonstrates that a CI file can be accepted by the platform yet still encode undesirable or semantically inappropriate behavior.</w:t>
      </w:r>
    </w:p>
    <w:p w14:paraId="66C5A420" w14:textId="77777777" w:rsidR="007E5B84" w:rsidRDefault="00000000">
      <w:r>
        <w:t>Vassallo et al. proposed CD-Linter, a semantic linter for GitLab continuous-delivery pipeline configurations. The tool detects four configuration smells—fuzzy versions, manual execution, retry failure, and fake success—and the study combined tool evaluation with a six-month longitudinal field study on GitLab [29]. CD-Linter is the closest precedent for static detection of semantically undesirable behavior in pipeline configuration files, but it evaluates a fixed smell catalog over naturally occurring GitLab configurations rather than isolated mutations paired with clean baselines.</w:t>
      </w:r>
    </w:p>
    <w:p w14:paraId="47364FA5" w14:textId="77777777" w:rsidR="007E5B84" w:rsidRDefault="00000000">
      <w:r>
        <w:t xml:space="preserve">The broader infrastructure-as-code defect literature likewise establishes that syntactically valid automation artifacts can contain configuration and semantic defects with operational consequences. Rahman et al. categorized defects mined from </w:t>
      </w:r>
      <w:proofErr w:type="spellStart"/>
      <w:r>
        <w:t>IaC</w:t>
      </w:r>
      <w:proofErr w:type="spellEnd"/>
      <w:r>
        <w:t xml:space="preserve"> repositories and found syntax- and configuration-related defects to be prominent, motivating defect taxonomies and quality analyses for automation code [30]. This line of work provides empirical grounding for treating CI/CD configuration as software whose defects require more than parsing or schema validation.</w:t>
      </w:r>
    </w:p>
    <w:p>
      <w:r>
        <w:t>The comparison is not intended to rank the systems, whose objectives and supported properties differ substantially. Rather, it identifies the evaluation structure used in this study: isolated baseline-mutant pairs, explicit case-specific operational oracles, finding-level baseline differencing, and GitHub Actions relationships that may span jobs, runs, or workflow files. Prior approaches provide complementary capabilities including learned failure prediction, predefined semantic-smell detection, security/data-flow analysis, workflow differencing, and checklist-based auditing.</w:t>
      </w:r>
    </w:p>
    <w:tbl>
      <w:tblPr>
        <w:tblStyle w:val="TableGrid"/>
        <w:tblW w:type="dxa" w:w="4550"/>
        <w:tblLayout w:type="fixed"/>
        <w:tblLook w:firstColumn="1" w:firstRow="1" w:lastColumn="0" w:lastRow="0" w:noHBand="0" w:noVBand="1" w:val="04A0"/>
      </w:tblPr>
      <w:tblGrid>
        <w:gridCol w:w="1350"/>
        <w:gridCol w:w="3200"/>
      </w:tblGrid>
      <w:tr>
        <w:tc>
          <w:tcPr>
            <w:tcW w:type="dxa" w:w="1350"/>
            <w:shd w:fill="D9E2F3"/>
          </w:tcPr>
          <w:p>
            <w:pPr>
              <w:spacing w:after="0"/>
            </w:pPr>
            <w:r>
              <w:rPr>
                <w:rFonts w:ascii="Times New Roman" w:hAnsi="Times New Roman"/>
                <w:b/>
                <w:sz w:val="11"/>
              </w:rPr>
              <w:t>Approach</w:t>
            </w:r>
          </w:p>
        </w:tc>
        <w:tc>
          <w:tcPr>
            <w:tcW w:type="dxa" w:w="3200"/>
            <w:shd w:fill="D9E2F3"/>
          </w:tcPr>
          <w:p>
            <w:pPr>
              <w:spacing w:after="0"/>
            </w:pPr>
            <w:r>
              <w:rPr>
                <w:rFonts w:ascii="Times New Roman" w:hAnsi="Times New Roman"/>
                <w:b/>
                <w:sz w:val="11"/>
              </w:rPr>
              <w:t>Methodological distinction</w:t>
            </w:r>
          </w:p>
        </w:tc>
      </w:tr>
      <w:tr>
        <w:tc>
          <w:tcPr>
            <w:tcW w:type="dxa" w:w="1350"/>
          </w:tcPr>
          <w:p>
            <w:pPr>
              <w:spacing w:after="0"/>
            </w:pPr>
            <w:r>
              <w:rPr>
                <w:rFonts w:ascii="Times New Roman" w:hAnsi="Times New Roman"/>
                <w:sz w:val="11"/>
              </w:rPr>
              <w:t>VeriCI [27]</w:t>
            </w:r>
          </w:p>
        </w:tc>
        <w:tc>
          <w:tcPr>
            <w:tcW w:type="dxa" w:w="3200"/>
          </w:tcPr>
          <w:p>
            <w:pPr>
              <w:spacing w:after="0"/>
            </w:pPr>
            <w:r>
              <w:rPr>
                <w:rFonts w:ascii="Times New Roman" w:hAnsi="Times New Roman"/>
                <w:sz w:val="11"/>
              </w:rPr>
              <w:t>Predicts CI configuration failure from historical outcomes; it does not use isolated baseline-mutant pairs with explicit operational oracles.</w:t>
            </w:r>
          </w:p>
        </w:tc>
      </w:tr>
      <w:tr>
        <w:tc>
          <w:tcPr>
            <w:tcW w:type="dxa" w:w="1350"/>
          </w:tcPr>
          <w:p>
            <w:pPr>
              <w:spacing w:after="0"/>
            </w:pPr>
            <w:r>
              <w:rPr>
                <w:rFonts w:ascii="Times New Roman" w:hAnsi="Times New Roman"/>
                <w:sz w:val="11"/>
              </w:rPr>
              <w:t>HANSEL/GRETEL [28]</w:t>
            </w:r>
          </w:p>
        </w:tc>
        <w:tc>
          <w:tcPr>
            <w:tcW w:type="dxa" w:w="3200"/>
          </w:tcPr>
          <w:p>
            <w:pPr>
              <w:spacing w:after="0"/>
            </w:pPr>
            <w:r>
              <w:rPr>
                <w:rFonts w:ascii="Times New Roman" w:hAnsi="Times New Roman"/>
                <w:sz w:val="11"/>
              </w:rPr>
              <w:t>Detects/repairs predefined Travis CI anti-patterns over natural instances rather than controlled mutation pairs.</w:t>
            </w:r>
          </w:p>
        </w:tc>
      </w:tr>
      <w:tr>
        <w:tc>
          <w:tcPr>
            <w:tcW w:type="dxa" w:w="1350"/>
          </w:tcPr>
          <w:p>
            <w:pPr>
              <w:spacing w:after="0"/>
            </w:pPr>
            <w:r>
              <w:rPr>
                <w:rFonts w:ascii="Times New Roman" w:hAnsi="Times New Roman"/>
                <w:sz w:val="11"/>
              </w:rPr>
              <w:t>CD-Linter [29]</w:t>
            </w:r>
          </w:p>
        </w:tc>
        <w:tc>
          <w:tcPr>
            <w:tcW w:type="dxa" w:w="3200"/>
          </w:tcPr>
          <w:p>
            <w:pPr>
              <w:spacing w:after="0"/>
            </w:pPr>
            <w:r>
              <w:rPr>
                <w:rFonts w:ascii="Times New Roman" w:hAnsi="Times New Roman"/>
                <w:sz w:val="11"/>
              </w:rPr>
              <w:t>Detects a fixed GitLab semantic-smell catalog and evaluates it longitudinally rather than with per-mutant oracles.</w:t>
            </w:r>
          </w:p>
        </w:tc>
      </w:tr>
      <w:tr>
        <w:tc>
          <w:tcPr>
            <w:tcW w:type="dxa" w:w="1350"/>
          </w:tcPr>
          <w:p>
            <w:pPr>
              <w:spacing w:after="0"/>
            </w:pPr>
            <w:r>
              <w:rPr>
                <w:rFonts w:ascii="Times New Roman" w:hAnsi="Times New Roman"/>
                <w:sz w:val="11"/>
              </w:rPr>
              <w:t>gawd [40]</w:t>
            </w:r>
          </w:p>
        </w:tc>
        <w:tc>
          <w:tcPr>
            <w:tcW w:type="dxa" w:w="3200"/>
          </w:tcPr>
          <w:p>
            <w:pPr>
              <w:spacing w:after="0"/>
            </w:pPr>
            <w:r>
              <w:rPr>
                <w:rFonts w:ascii="Times New Roman" w:hAnsi="Times New Roman"/>
                <w:sz w:val="11"/>
              </w:rPr>
              <w:t>Performs structure-aware GitHub Actions revision differencing; it is not an oracle-specific semantic-fault benchmark.</w:t>
            </w:r>
          </w:p>
        </w:tc>
      </w:tr>
      <w:tr>
        <w:tc>
          <w:tcPr>
            <w:tcW w:type="dxa" w:w="1350"/>
          </w:tcPr>
          <w:p>
            <w:pPr>
              <w:spacing w:after="0"/>
            </w:pPr>
            <w:r>
              <w:rPr>
                <w:rFonts w:ascii="Times New Roman" w:hAnsi="Times New Roman"/>
                <w:sz w:val="11"/>
              </w:rPr>
              <w:t>GHAST/ARGUS [9], [18]</w:t>
            </w:r>
          </w:p>
        </w:tc>
        <w:tc>
          <w:tcPr>
            <w:tcW w:type="dxa" w:w="3200"/>
          </w:tcPr>
          <w:p>
            <w:pPr>
              <w:spacing w:after="0"/>
            </w:pPr>
            <w:r>
              <w:rPr>
                <w:rFonts w:ascii="Times New Roman" w:hAnsi="Times New Roman"/>
                <w:sz w:val="11"/>
              </w:rPr>
              <w:t>Analyze security/data-flow properties of GitHub Actions; their objective differs from general operational correctness.</w:t>
            </w:r>
          </w:p>
        </w:tc>
      </w:tr>
      <w:tr>
        <w:tc>
          <w:tcPr>
            <w:tcW w:type="dxa" w:w="1350"/>
          </w:tcPr>
          <w:p>
            <w:pPr>
              <w:spacing w:after="0"/>
            </w:pPr>
            <w:r>
              <w:rPr>
                <w:rFonts w:ascii="Times New Roman" w:hAnsi="Times New Roman"/>
                <w:sz w:val="11"/>
              </w:rPr>
              <w:t>Abrokwah &amp; Ghaleb [39]</w:t>
            </w:r>
          </w:p>
        </w:tc>
        <w:tc>
          <w:tcPr>
            <w:tcW w:type="dxa" w:w="3200"/>
          </w:tcPr>
          <w:p>
            <w:pPr>
              <w:spacing w:after="0"/>
            </w:pPr>
            <w:r>
              <w:rPr>
                <w:rFonts w:ascii="Times New Roman" w:hAnsi="Times New Roman"/>
                <w:sz w:val="11"/>
              </w:rPr>
              <w:t>Uses LLM-assisted checklist auditing of public workflows rather than isolated semantic mutants.</w:t>
            </w:r>
          </w:p>
        </w:tc>
      </w:tr>
      <w:tr>
        <w:tc>
          <w:tcPr>
            <w:tcW w:type="dxa" w:w="1350"/>
          </w:tcPr>
          <w:p>
            <w:pPr>
              <w:spacing w:after="0"/>
            </w:pPr>
            <w:r>
              <w:rPr>
                <w:rFonts w:ascii="Times New Roman" w:hAnsi="Times New Roman"/>
                <w:sz w:val="11"/>
              </w:rPr>
              <w:t>This study</w:t>
            </w:r>
          </w:p>
        </w:tc>
        <w:tc>
          <w:tcPr>
            <w:tcW w:type="dxa" w:w="3200"/>
          </w:tcPr>
          <w:p>
            <w:pPr>
              <w:spacing w:after="0"/>
            </w:pPr>
            <w:r>
              <w:rPr>
                <w:rFonts w:ascii="Times New Roman" w:hAnsi="Times New Roman"/>
                <w:sz w:val="11"/>
              </w:rPr>
              <w:t>Uses isolated baseline-mutant pairs, explicit per-case operational oracles, exact finding-level baseline differencing, runtime confirmation, and historical grounding.</w:t>
            </w:r>
          </w:p>
        </w:tc>
      </w:tr>
    </w:tbl>
    <w:p>
      <w:r>
        <w:t>Table 1. Positioning of the present study relative to representative CI/workflow-analysis research.</w:t>
      </w:r>
    </w:p>
    <w:p w14:paraId="099A35A0" w14:textId="77777777" w:rsidR="007E5B84" w:rsidRDefault="00000000">
      <w:r>
        <w:t>Taken together, these studies establish that syntactically valid CI/CD configurations can contain semantically undesirable or operationally incorrect behavior. The contribution of the present study is therefore not the first recognition of semantic CI-configuration errors. As summarized in Table 1, the distinction lies in the evaluation structure: a GitHub Actions benchmark of isolated baseline-mutant pairs with explicit per-case operational oracles and exact finding-level baseline differencing, supplemented by controlled execution and historical defect replay. The represented relationships include artifact transfer, matrix intent, dependency ancestry, failure-state propagation, trigger intent, and cross-workflow concurrency.</w:t>
      </w:r>
    </w:p>
    <w:p w14:paraId="7C07F5F1" w14:textId="77777777" w:rsidR="00FF69B1" w:rsidRDefault="00000000">
      <w:pPr>
        <w:pStyle w:val="Heading1"/>
        <w:jc w:val="left"/>
      </w:pPr>
      <w:r>
        <w:rPr>
          <w:rFonts w:ascii="Helvetica" w:eastAsia="Helvetica" w:hAnsi="Helvetica"/>
        </w:rPr>
        <w:t>4. Benchmark Design</w:t>
      </w:r>
    </w:p>
    <w:p w14:paraId="58730EF1" w14:textId="77777777" w:rsidR="00FF69B1" w:rsidRDefault="00000000">
      <w:pPr>
        <w:pStyle w:val="Heading2"/>
        <w:jc w:val="left"/>
      </w:pPr>
      <w:r>
        <w:rPr>
          <w:rFonts w:ascii="Helvetica" w:eastAsia="Helvetica" w:hAnsi="Helvetica"/>
        </w:rPr>
        <w:t>4.1 Synthetic baselines</w:t>
      </w:r>
    </w:p>
    <w:p w14:paraId="51111F12" w14:textId="77777777" w:rsidR="00FF69B1" w:rsidRDefault="00000000" w:rsidP="00AC3A1B">
      <w:r>
        <w:t>The benchmark contains five independently created baselines, B001–B005. B005 contains two interacting workflow files, yielding six baseline workflow files in total. Synthetic baselines were used to isolate one intended operational relationship at a time while avoiding ambiguity introduced by undocumented repository</w:t>
      </w:r>
      <w:r w:rsidR="00FD5697">
        <w:t>-</w:t>
      </w:r>
      <w:r>
        <w:t>specific assumptions. The baselines were intentionally small enough for complete semantic inspection while covering artifacts, matrices, triggers, failure handling, shell execution, and concurrency. No baseline was derived from an employer repository or proprietary system.</w:t>
      </w:r>
    </w:p>
    <w:p w14:paraId="18E1E87B" w14:textId="77777777" w:rsidR="007E5B84" w:rsidRDefault="007E5B84">
      <w:pPr>
        <w:sectPr w:rsidR="007E5B84" w:rsidSect="007217D5">
          <w:type w:val="continuous"/>
          <w:pgSz w:w="11520" w:h="15660"/>
          <w:pgMar w:top="1300" w:right="740" w:bottom="1040" w:left="740" w:header="360" w:footer="360" w:gutter="0"/>
          <w:cols w:num="2" w:space="400"/>
        </w:sectPr>
      </w:pPr>
    </w:p>
    <w:tbl>
      <w:tblPr>
        <w:tblStyle w:val="TableGrid"/>
        <w:tblW w:w="4599" w:type="dxa"/>
        <w:tblLook w:val="04A0" w:firstRow="1" w:lastRow="0" w:firstColumn="1" w:lastColumn="0" w:noHBand="0" w:noVBand="1"/>
      </w:tblPr>
      <w:tblGrid>
        <w:gridCol w:w="729"/>
        <w:gridCol w:w="3016"/>
        <w:gridCol w:w="854"/>
      </w:tblGrid>
      <w:tr w:rsidR="00FF69B1" w14:paraId="2C387882" w14:textId="77777777" w:rsidTr="00472C60">
        <w:trPr>
          <w:cantSplit/>
          <w:trHeight w:val="309"/>
          <w:tblHeader/>
        </w:trPr>
        <w:tc>
          <w:tcPr>
            <w:tcW w:w="678" w:type="dxa"/>
            <w:shd w:val="clear" w:color="auto" w:fill="D9EAF7"/>
            <w:tcMar>
              <w:top w:w="60" w:type="dxa"/>
              <w:left w:w="80" w:type="dxa"/>
              <w:bottom w:w="60" w:type="dxa"/>
              <w:right w:w="80" w:type="dxa"/>
            </w:tcMar>
            <w:vAlign w:val="center"/>
          </w:tcPr>
          <w:p w14:paraId="2DA08296" w14:textId="77777777" w:rsidR="00FF69B1" w:rsidRDefault="00000000">
            <w:pPr>
              <w:jc w:val="left"/>
            </w:pPr>
            <w:r>
              <w:rPr>
                <w:b/>
                <w:sz w:val="16"/>
              </w:rPr>
              <w:t>Baseline</w:t>
            </w:r>
          </w:p>
        </w:tc>
        <w:tc>
          <w:tcPr>
            <w:tcW w:w="3127" w:type="dxa"/>
            <w:shd w:val="clear" w:color="auto" w:fill="D9EAF7"/>
            <w:tcMar>
              <w:top w:w="60" w:type="dxa"/>
              <w:left w:w="80" w:type="dxa"/>
              <w:bottom w:w="60" w:type="dxa"/>
              <w:right w:w="80" w:type="dxa"/>
            </w:tcMar>
            <w:vAlign w:val="center"/>
          </w:tcPr>
          <w:p w14:paraId="01BE8E69" w14:textId="77777777" w:rsidR="00FF69B1" w:rsidRDefault="00000000">
            <w:pPr>
              <w:jc w:val="left"/>
            </w:pPr>
            <w:r>
              <w:rPr>
                <w:b/>
                <w:sz w:val="16"/>
              </w:rPr>
              <w:t>Primary behavior</w:t>
            </w:r>
          </w:p>
        </w:tc>
        <w:tc>
          <w:tcPr>
            <w:tcW w:w="794" w:type="dxa"/>
            <w:shd w:val="clear" w:color="auto" w:fill="D9EAF7"/>
            <w:tcMar>
              <w:top w:w="60" w:type="dxa"/>
              <w:left w:w="80" w:type="dxa"/>
              <w:bottom w:w="60" w:type="dxa"/>
              <w:right w:w="80" w:type="dxa"/>
            </w:tcMar>
            <w:vAlign w:val="center"/>
          </w:tcPr>
          <w:p w14:paraId="066A046D" w14:textId="77777777" w:rsidR="00FF69B1" w:rsidRDefault="00000000">
            <w:pPr>
              <w:jc w:val="left"/>
            </w:pPr>
            <w:r>
              <w:rPr>
                <w:b/>
                <w:sz w:val="16"/>
              </w:rPr>
              <w:t>Workflow files</w:t>
            </w:r>
          </w:p>
        </w:tc>
      </w:tr>
      <w:tr w:rsidR="00FF69B1" w14:paraId="0635302A" w14:textId="77777777" w:rsidTr="00472C60">
        <w:trPr>
          <w:cantSplit/>
          <w:trHeight w:val="149"/>
        </w:trPr>
        <w:tc>
          <w:tcPr>
            <w:tcW w:w="678" w:type="dxa"/>
            <w:tcMar>
              <w:top w:w="60" w:type="dxa"/>
              <w:left w:w="80" w:type="dxa"/>
              <w:bottom w:w="60" w:type="dxa"/>
              <w:right w:w="80" w:type="dxa"/>
            </w:tcMar>
            <w:vAlign w:val="center"/>
          </w:tcPr>
          <w:p w14:paraId="0D73D276" w14:textId="77777777" w:rsidR="00FF69B1" w:rsidRDefault="00000000">
            <w:pPr>
              <w:jc w:val="left"/>
            </w:pPr>
            <w:r>
              <w:rPr>
                <w:sz w:val="16"/>
              </w:rPr>
              <w:t>B001</w:t>
            </w:r>
          </w:p>
        </w:tc>
        <w:tc>
          <w:tcPr>
            <w:tcW w:w="3127" w:type="dxa"/>
            <w:tcMar>
              <w:top w:w="60" w:type="dxa"/>
              <w:left w:w="80" w:type="dxa"/>
              <w:bottom w:w="60" w:type="dxa"/>
              <w:right w:w="80" w:type="dxa"/>
            </w:tcMar>
            <w:vAlign w:val="center"/>
          </w:tcPr>
          <w:p w14:paraId="2F5DA8C9" w14:textId="77777777" w:rsidR="00FF69B1" w:rsidRDefault="00000000">
            <w:pPr>
              <w:jc w:val="left"/>
            </w:pPr>
            <w:r>
              <w:rPr>
                <w:sz w:val="16"/>
              </w:rPr>
              <w:t>Artifact production and downstream verification</w:t>
            </w:r>
          </w:p>
        </w:tc>
        <w:tc>
          <w:tcPr>
            <w:tcW w:w="794" w:type="dxa"/>
            <w:tcMar>
              <w:top w:w="60" w:type="dxa"/>
              <w:left w:w="80" w:type="dxa"/>
              <w:bottom w:w="60" w:type="dxa"/>
              <w:right w:w="80" w:type="dxa"/>
            </w:tcMar>
            <w:vAlign w:val="center"/>
          </w:tcPr>
          <w:p w14:paraId="3720F3C9" w14:textId="77777777" w:rsidR="00FF69B1" w:rsidRDefault="00000000">
            <w:pPr>
              <w:jc w:val="left"/>
            </w:pPr>
            <w:r>
              <w:rPr>
                <w:sz w:val="16"/>
              </w:rPr>
              <w:t>1</w:t>
            </w:r>
          </w:p>
        </w:tc>
      </w:tr>
      <w:tr w:rsidR="00FF69B1" w14:paraId="79B88D66" w14:textId="77777777" w:rsidTr="00472C60">
        <w:trPr>
          <w:cantSplit/>
          <w:trHeight w:val="154"/>
        </w:trPr>
        <w:tc>
          <w:tcPr>
            <w:tcW w:w="678" w:type="dxa"/>
            <w:tcMar>
              <w:top w:w="60" w:type="dxa"/>
              <w:left w:w="80" w:type="dxa"/>
              <w:bottom w:w="60" w:type="dxa"/>
              <w:right w:w="80" w:type="dxa"/>
            </w:tcMar>
            <w:vAlign w:val="center"/>
          </w:tcPr>
          <w:p w14:paraId="418577A6" w14:textId="77777777" w:rsidR="00FF69B1" w:rsidRDefault="00000000">
            <w:pPr>
              <w:jc w:val="left"/>
            </w:pPr>
            <w:r>
              <w:rPr>
                <w:sz w:val="16"/>
              </w:rPr>
              <w:t>B002</w:t>
            </w:r>
          </w:p>
        </w:tc>
        <w:tc>
          <w:tcPr>
            <w:tcW w:w="3127" w:type="dxa"/>
            <w:tcMar>
              <w:top w:w="60" w:type="dxa"/>
              <w:left w:w="80" w:type="dxa"/>
              <w:bottom w:w="60" w:type="dxa"/>
              <w:right w:w="80" w:type="dxa"/>
            </w:tcMar>
            <w:vAlign w:val="center"/>
          </w:tcPr>
          <w:p w14:paraId="384C0494" w14:textId="77777777" w:rsidR="00FF69B1" w:rsidRDefault="00000000">
            <w:pPr>
              <w:jc w:val="left"/>
            </w:pPr>
            <w:r>
              <w:rPr>
                <w:sz w:val="16"/>
              </w:rPr>
              <w:t>Matrix</w:t>
            </w:r>
            <w:r w:rsidR="00FD5697">
              <w:rPr>
                <w:sz w:val="16"/>
              </w:rPr>
              <w:t>-</w:t>
            </w:r>
            <w:r>
              <w:rPr>
                <w:sz w:val="16"/>
              </w:rPr>
              <w:t>based multi</w:t>
            </w:r>
            <w:r w:rsidR="00FD5697">
              <w:rPr>
                <w:sz w:val="16"/>
              </w:rPr>
              <w:t>-</w:t>
            </w:r>
            <w:r>
              <w:rPr>
                <w:sz w:val="16"/>
              </w:rPr>
              <w:t>environment testing</w:t>
            </w:r>
          </w:p>
        </w:tc>
        <w:tc>
          <w:tcPr>
            <w:tcW w:w="794" w:type="dxa"/>
            <w:tcMar>
              <w:top w:w="60" w:type="dxa"/>
              <w:left w:w="80" w:type="dxa"/>
              <w:bottom w:w="60" w:type="dxa"/>
              <w:right w:w="80" w:type="dxa"/>
            </w:tcMar>
            <w:vAlign w:val="center"/>
          </w:tcPr>
          <w:p w14:paraId="57588379" w14:textId="77777777" w:rsidR="00FF69B1" w:rsidRDefault="00000000">
            <w:pPr>
              <w:jc w:val="left"/>
            </w:pPr>
            <w:r>
              <w:rPr>
                <w:sz w:val="16"/>
              </w:rPr>
              <w:t>1</w:t>
            </w:r>
          </w:p>
        </w:tc>
      </w:tr>
      <w:tr w:rsidR="00FF69B1" w14:paraId="21E47C76" w14:textId="77777777" w:rsidTr="00472C60">
        <w:trPr>
          <w:cantSplit/>
          <w:trHeight w:val="154"/>
        </w:trPr>
        <w:tc>
          <w:tcPr>
            <w:tcW w:w="678" w:type="dxa"/>
            <w:tcMar>
              <w:top w:w="60" w:type="dxa"/>
              <w:left w:w="80" w:type="dxa"/>
              <w:bottom w:w="60" w:type="dxa"/>
              <w:right w:w="80" w:type="dxa"/>
            </w:tcMar>
            <w:vAlign w:val="center"/>
          </w:tcPr>
          <w:p w14:paraId="38157718" w14:textId="77777777" w:rsidR="00FF69B1" w:rsidRDefault="00000000">
            <w:pPr>
              <w:jc w:val="left"/>
            </w:pPr>
            <w:r>
              <w:rPr>
                <w:sz w:val="16"/>
              </w:rPr>
              <w:t>B003</w:t>
            </w:r>
          </w:p>
        </w:tc>
        <w:tc>
          <w:tcPr>
            <w:tcW w:w="3127" w:type="dxa"/>
            <w:tcMar>
              <w:top w:w="60" w:type="dxa"/>
              <w:left w:w="80" w:type="dxa"/>
              <w:bottom w:w="60" w:type="dxa"/>
              <w:right w:w="80" w:type="dxa"/>
            </w:tcMar>
            <w:vAlign w:val="center"/>
          </w:tcPr>
          <w:p w14:paraId="2A86A312" w14:textId="77777777" w:rsidR="00FF69B1" w:rsidRDefault="00000000">
            <w:pPr>
              <w:jc w:val="left"/>
            </w:pPr>
            <w:r>
              <w:rPr>
                <w:sz w:val="16"/>
              </w:rPr>
              <w:t>Failure handling and diagnostic artifact upload</w:t>
            </w:r>
          </w:p>
        </w:tc>
        <w:tc>
          <w:tcPr>
            <w:tcW w:w="794" w:type="dxa"/>
            <w:tcMar>
              <w:top w:w="60" w:type="dxa"/>
              <w:left w:w="80" w:type="dxa"/>
              <w:bottom w:w="60" w:type="dxa"/>
              <w:right w:w="80" w:type="dxa"/>
            </w:tcMar>
            <w:vAlign w:val="center"/>
          </w:tcPr>
          <w:p w14:paraId="0A2AAABB" w14:textId="77777777" w:rsidR="00FF69B1" w:rsidRDefault="00000000">
            <w:pPr>
              <w:jc w:val="left"/>
            </w:pPr>
            <w:r>
              <w:rPr>
                <w:sz w:val="16"/>
              </w:rPr>
              <w:t>1</w:t>
            </w:r>
          </w:p>
        </w:tc>
      </w:tr>
      <w:tr w:rsidR="00FF69B1" w14:paraId="0FF01597" w14:textId="77777777" w:rsidTr="00472C60">
        <w:trPr>
          <w:cantSplit/>
          <w:trHeight w:val="154"/>
        </w:trPr>
        <w:tc>
          <w:tcPr>
            <w:tcW w:w="678" w:type="dxa"/>
            <w:tcMar>
              <w:top w:w="60" w:type="dxa"/>
              <w:left w:w="80" w:type="dxa"/>
              <w:bottom w:w="60" w:type="dxa"/>
              <w:right w:w="80" w:type="dxa"/>
            </w:tcMar>
            <w:vAlign w:val="center"/>
          </w:tcPr>
          <w:p w14:paraId="55877B01" w14:textId="77777777" w:rsidR="00FF69B1" w:rsidRDefault="00000000">
            <w:pPr>
              <w:jc w:val="left"/>
            </w:pPr>
            <w:r>
              <w:rPr>
                <w:sz w:val="16"/>
              </w:rPr>
              <w:t>B004</w:t>
            </w:r>
          </w:p>
        </w:tc>
        <w:tc>
          <w:tcPr>
            <w:tcW w:w="3127" w:type="dxa"/>
            <w:tcMar>
              <w:top w:w="60" w:type="dxa"/>
              <w:left w:w="80" w:type="dxa"/>
              <w:bottom w:w="60" w:type="dxa"/>
              <w:right w:w="80" w:type="dxa"/>
            </w:tcMar>
            <w:vAlign w:val="center"/>
          </w:tcPr>
          <w:p w14:paraId="4986C1C9" w14:textId="77777777" w:rsidR="00FF69B1" w:rsidRDefault="00000000">
            <w:pPr>
              <w:jc w:val="left"/>
            </w:pPr>
            <w:r>
              <w:rPr>
                <w:sz w:val="16"/>
              </w:rPr>
              <w:t>Trigger and path</w:t>
            </w:r>
            <w:r w:rsidR="00FD5697">
              <w:rPr>
                <w:sz w:val="16"/>
              </w:rPr>
              <w:t>-</w:t>
            </w:r>
            <w:r>
              <w:rPr>
                <w:sz w:val="16"/>
              </w:rPr>
              <w:t>filter behavior</w:t>
            </w:r>
          </w:p>
        </w:tc>
        <w:tc>
          <w:tcPr>
            <w:tcW w:w="794" w:type="dxa"/>
            <w:tcMar>
              <w:top w:w="60" w:type="dxa"/>
              <w:left w:w="80" w:type="dxa"/>
              <w:bottom w:w="60" w:type="dxa"/>
              <w:right w:w="80" w:type="dxa"/>
            </w:tcMar>
            <w:vAlign w:val="center"/>
          </w:tcPr>
          <w:p w14:paraId="51C50F7D" w14:textId="77777777" w:rsidR="00FF69B1" w:rsidRDefault="00000000">
            <w:pPr>
              <w:jc w:val="left"/>
            </w:pPr>
            <w:r>
              <w:rPr>
                <w:sz w:val="16"/>
              </w:rPr>
              <w:t>1</w:t>
            </w:r>
          </w:p>
        </w:tc>
      </w:tr>
      <w:tr w:rsidR="00FF69B1" w14:paraId="7A728AA0" w14:textId="77777777" w:rsidTr="00472C60">
        <w:trPr>
          <w:cantSplit/>
          <w:trHeight w:val="149"/>
        </w:trPr>
        <w:tc>
          <w:tcPr>
            <w:tcW w:w="678" w:type="dxa"/>
            <w:tcMar>
              <w:top w:w="60" w:type="dxa"/>
              <w:left w:w="80" w:type="dxa"/>
              <w:bottom w:w="60" w:type="dxa"/>
              <w:right w:w="80" w:type="dxa"/>
            </w:tcMar>
            <w:vAlign w:val="center"/>
          </w:tcPr>
          <w:p w14:paraId="0878F9E8" w14:textId="77777777" w:rsidR="00FF69B1" w:rsidRDefault="00000000">
            <w:pPr>
              <w:jc w:val="left"/>
            </w:pPr>
            <w:r>
              <w:rPr>
                <w:sz w:val="16"/>
              </w:rPr>
              <w:t>B005</w:t>
            </w:r>
          </w:p>
        </w:tc>
        <w:tc>
          <w:tcPr>
            <w:tcW w:w="3127" w:type="dxa"/>
            <w:tcMar>
              <w:top w:w="60" w:type="dxa"/>
              <w:left w:w="80" w:type="dxa"/>
              <w:bottom w:w="60" w:type="dxa"/>
              <w:right w:w="80" w:type="dxa"/>
            </w:tcMar>
            <w:vAlign w:val="center"/>
          </w:tcPr>
          <w:p w14:paraId="2417E7AA" w14:textId="77777777" w:rsidR="00FF69B1" w:rsidRDefault="00000000">
            <w:pPr>
              <w:jc w:val="left"/>
            </w:pPr>
            <w:r>
              <w:rPr>
                <w:sz w:val="16"/>
              </w:rPr>
              <w:t>Independent CI and release workflows with concurrency</w:t>
            </w:r>
          </w:p>
        </w:tc>
        <w:tc>
          <w:tcPr>
            <w:tcW w:w="794" w:type="dxa"/>
            <w:tcMar>
              <w:top w:w="60" w:type="dxa"/>
              <w:left w:w="80" w:type="dxa"/>
              <w:bottom w:w="60" w:type="dxa"/>
              <w:right w:w="80" w:type="dxa"/>
            </w:tcMar>
            <w:vAlign w:val="center"/>
          </w:tcPr>
          <w:p w14:paraId="441F28F1" w14:textId="77777777" w:rsidR="00FF69B1" w:rsidRDefault="00000000">
            <w:pPr>
              <w:jc w:val="left"/>
            </w:pPr>
            <w:r>
              <w:rPr>
                <w:sz w:val="16"/>
              </w:rPr>
              <w:t>2</w:t>
            </w:r>
          </w:p>
        </w:tc>
      </w:tr>
    </w:tbl>
    <w:p w14:paraId="173D1D9B" w14:textId="77777777" w:rsidR="007E5B84" w:rsidRDefault="007E5B84">
      <w:pPr>
        <w:sectPr w:rsidR="007E5B84" w:rsidSect="007217D5">
          <w:type w:val="continuous"/>
          <w:pgSz w:w="11520" w:h="15660"/>
          <w:pgMar w:top="1300" w:right="740" w:bottom="1040" w:left="740" w:header="360" w:footer="360" w:gutter="0"/>
          <w:cols w:num="1" w:space="720"/>
        </w:sectPr>
      </w:pPr>
    </w:p>
    <w:p w14:paraId="4C12D6F8" w14:textId="77777777" w:rsidR="00FF69B1" w:rsidRDefault="00000000" w:rsidP="00472C60">
      <w:pPr>
        <w:spacing w:before="60" w:after="80"/>
      </w:pPr>
      <w:r>
        <w:t>Table 2. Synthetic baseline corpus.</w:t>
      </w:r>
    </w:p>
    <w:p w14:paraId="09CDBCB1" w14:textId="77777777" w:rsidR="00FF69B1" w:rsidRDefault="00000000">
      <w:pPr>
        <w:pStyle w:val="Heading2"/>
        <w:jc w:val="left"/>
      </w:pPr>
      <w:r>
        <w:lastRenderedPageBreak/>
        <w:t>4.2 Mutant Construction and Operational Oracles</w:t>
      </w:r>
    </w:p>
    <w:p w14:paraId="34CC888D" w14:textId="77777777" w:rsidR="00FF69B1" w:rsidRDefault="00000000" w:rsidP="00AC3A1B">
      <w:r>
        <w:t xml:space="preserve">Eighteen mutants were generated through one narrowly scoped change per case, except one concurrency mutant requiring two coordinated scalar changes. Every mutant remained </w:t>
      </w:r>
      <w:proofErr w:type="spellStart"/>
      <w:r>
        <w:t>parseable</w:t>
      </w:r>
      <w:proofErr w:type="spellEnd"/>
      <w:r>
        <w:t xml:space="preserve"> and schema</w:t>
      </w:r>
      <w:r w:rsidR="00FD5697">
        <w:t>-</w:t>
      </w:r>
      <w:r>
        <w:t>valid according to the benchmark validation procedure. Each mutant record includes its baseline, mutation operator, target path, explicit per</w:t>
      </w:r>
      <w:r w:rsidR="00FD5697">
        <w:t>-</w:t>
      </w:r>
      <w:r>
        <w:t>mutant operational oracle, expected operational violation, observable symptom, and ground</w:t>
      </w:r>
      <w:r w:rsidR="00FD5697">
        <w:t>-</w:t>
      </w:r>
      <w:r>
        <w:t>truth rationale. The benchmark is designed for controlled capability evaluation rather than estimation of real</w:t>
      </w:r>
      <w:r w:rsidR="00FD5697">
        <w:t>-</w:t>
      </w:r>
      <w:r>
        <w:t>world defect prevalence. This structure isolates whether an analyzer identifies the injected operational</w:t>
      </w:r>
      <w:r w:rsidR="00FD5697">
        <w:t>-</w:t>
      </w:r>
      <w:r>
        <w:t>semantic fault while avoiding attribution of unrelated baseline findings to the mutation.</w:t>
      </w:r>
    </w:p>
    <w:p w14:paraId="259F502F" w14:textId="77777777" w:rsidR="007E5B84" w:rsidRDefault="007E5B84">
      <w:pPr>
        <w:sectPr w:rsidR="007E5B84" w:rsidSect="007217D5">
          <w:type w:val="continuous"/>
          <w:pgSz w:w="11520" w:h="15660"/>
          <w:pgMar w:top="1300" w:right="740" w:bottom="1040" w:left="740" w:header="360" w:footer="360" w:gutter="0"/>
          <w:cols w:num="2" w:space="400"/>
        </w:sectPr>
      </w:pPr>
    </w:p>
    <w:tbl>
      <w:tblPr>
        <w:tblStyle w:val="TableGrid"/>
        <w:tblW w:w="4550" w:type="dxa"/>
        <w:tblLayout w:type="fixed"/>
        <w:tblLook w:val="04A0" w:firstRow="1" w:lastRow="0" w:firstColumn="1" w:lastColumn="0" w:noHBand="0" w:noVBand="1"/>
      </w:tblPr>
      <w:tblGrid>
        <w:gridCol w:w="1800"/>
        <w:gridCol w:w="600"/>
        <w:gridCol w:w="2150"/>
      </w:tblGrid>
      <w:tr w:rsidR="00FF69B1" w14:paraId="3EBFB7E4" w14:textId="77777777" w:rsidTr="00472C60">
        <w:trPr>
          <w:cantSplit/>
          <w:trHeight w:val="107"/>
          <w:tblHeader/>
        </w:trPr>
        <w:tc>
          <w:tcPr>
            <w:tcW w:w="1800" w:type="dxa"/>
            <w:shd w:val="clear" w:color="auto" w:fill="D9EAF7"/>
            <w:tcMar>
              <w:top w:w="60" w:type="dxa"/>
              <w:left w:w="80" w:type="dxa"/>
              <w:bottom w:w="60" w:type="dxa"/>
              <w:right w:w="80" w:type="dxa"/>
            </w:tcMar>
            <w:vAlign w:val="center"/>
            <w:shd w:fill="D9E2F3"/>
          </w:tcPr>
          <w:p w14:paraId="6BD3CF12" w14:textId="77777777" w:rsidR="00FF69B1" w:rsidRDefault="00000000">
            <w:pPr>
              <w:spacing w:after="0"/>
              <w:jc w:val="left"/>
            </w:pPr>
            <w:r>
              <w:rPr>
                <w:rFonts w:ascii="Times New Roman" w:hAnsi="Times New Roman"/>
                <w:b/>
                <w:sz w:val="11"/>
              </w:rPr>
              <w:t>Fault class</w:t>
            </w:r>
          </w:p>
        </w:tc>
        <w:tc>
          <w:tcPr>
            <w:tcW w:w="600" w:type="dxa"/>
            <w:shd w:val="clear" w:color="auto" w:fill="D9EAF7"/>
            <w:tcMar>
              <w:top w:w="60" w:type="dxa"/>
              <w:left w:w="80" w:type="dxa"/>
              <w:bottom w:w="60" w:type="dxa"/>
              <w:right w:w="80" w:type="dxa"/>
            </w:tcMar>
            <w:vAlign w:val="center"/>
            <w:shd w:fill="D9E2F3"/>
          </w:tcPr>
          <w:p w14:paraId="37BBE7FD" w14:textId="77777777" w:rsidR="00FF69B1" w:rsidRDefault="00000000">
            <w:pPr>
              <w:spacing w:after="0"/>
              <w:jc w:val="left"/>
            </w:pPr>
            <w:r>
              <w:rPr>
                <w:rFonts w:ascii="Times New Roman" w:hAnsi="Times New Roman"/>
                <w:b/>
                <w:sz w:val="11"/>
              </w:rPr>
              <w:t>Mutants</w:t>
            </w:r>
          </w:p>
        </w:tc>
        <w:tc>
          <w:tcPr>
            <w:tcW w:type="dxa" w:w="2150"/>
            <w:shd w:fill="D9E2F3"/>
          </w:tcPr>
          <w:p>
            <w:pPr>
              <w:spacing w:after="0"/>
            </w:pPr>
            <w:r>
              <w:rPr>
                <w:rFonts w:ascii="Times New Roman" w:hAnsi="Times New Roman"/>
                <w:b/>
                <w:sz w:val="11"/>
              </w:rPr>
              <w:t>Primary reasoning requirement</w:t>
            </w:r>
          </w:p>
        </w:tc>
      </w:tr>
      <w:tr w:rsidR="00FF69B1" w14:paraId="6B0FDE16" w14:textId="77777777" w:rsidTr="00472C60">
        <w:trPr>
          <w:cantSplit/>
          <w:trHeight w:val="107"/>
        </w:trPr>
        <w:tc>
          <w:tcPr>
            <w:tcW w:w="1800" w:type="dxa"/>
            <w:tcMar>
              <w:top w:w="60" w:type="dxa"/>
              <w:left w:w="80" w:type="dxa"/>
              <w:bottom w:w="60" w:type="dxa"/>
              <w:right w:w="80" w:type="dxa"/>
            </w:tcMar>
            <w:vAlign w:val="center"/>
          </w:tcPr>
          <w:p w14:paraId="5BFE7DA5" w14:textId="77777777" w:rsidR="00FF69B1" w:rsidRDefault="00000000">
            <w:pPr>
              <w:spacing w:after="0"/>
              <w:jc w:val="left"/>
            </w:pPr>
            <w:proofErr w:type="spellStart"/>
            <w:r>
              <w:rPr>
                <w:rFonts w:ascii="Times New Roman" w:hAnsi="Times New Roman"/>
                <w:sz w:val="11"/>
              </w:rPr>
              <w:t>artifact_dataflow</w:t>
            </w:r>
            <w:proofErr w:type="spellEnd"/>
          </w:p>
        </w:tc>
        <w:tc>
          <w:tcPr>
            <w:tcW w:w="600" w:type="dxa"/>
            <w:tcMar>
              <w:top w:w="60" w:type="dxa"/>
              <w:left w:w="80" w:type="dxa"/>
              <w:bottom w:w="60" w:type="dxa"/>
              <w:right w:w="80" w:type="dxa"/>
            </w:tcMar>
            <w:vAlign w:val="center"/>
          </w:tcPr>
          <w:p w14:paraId="4D26F849" w14:textId="77777777" w:rsidR="00FF69B1" w:rsidRDefault="00000000">
            <w:pPr>
              <w:spacing w:after="0"/>
              <w:jc w:val="left"/>
            </w:pPr>
            <w:r>
              <w:rPr>
                <w:rFonts w:ascii="Times New Roman" w:hAnsi="Times New Roman"/>
                <w:sz w:val="11"/>
              </w:rPr>
              <w:t>3</w:t>
            </w:r>
          </w:p>
        </w:tc>
        <w:tc>
          <w:tcPr>
            <w:tcW w:type="dxa" w:w="2150"/>
          </w:tcPr>
          <w:p>
            <w:pPr>
              <w:spacing w:after="0"/>
            </w:pPr>
            <w:r>
              <w:rPr>
                <w:rFonts w:ascii="Times New Roman" w:hAnsi="Times New Roman"/>
                <w:sz w:val="11"/>
              </w:rPr>
              <w:t>Producer-consumer identity, reachability, ordering</w:t>
            </w:r>
          </w:p>
        </w:tc>
      </w:tr>
      <w:tr w:rsidR="00FF69B1" w14:paraId="7C2D8BB5" w14:textId="77777777" w:rsidTr="00472C60">
        <w:trPr>
          <w:cantSplit/>
          <w:trHeight w:val="104"/>
        </w:trPr>
        <w:tc>
          <w:tcPr>
            <w:tcW w:w="1800" w:type="dxa"/>
            <w:tcMar>
              <w:top w:w="60" w:type="dxa"/>
              <w:left w:w="80" w:type="dxa"/>
              <w:bottom w:w="60" w:type="dxa"/>
              <w:right w:w="80" w:type="dxa"/>
            </w:tcMar>
            <w:vAlign w:val="center"/>
          </w:tcPr>
          <w:p w14:paraId="5AC7DC77" w14:textId="77777777" w:rsidR="00FF69B1" w:rsidRDefault="00000000">
            <w:pPr>
              <w:spacing w:after="0"/>
              <w:jc w:val="left"/>
            </w:pPr>
            <w:r>
              <w:rPr>
                <w:rFonts w:ascii="Times New Roman" w:hAnsi="Times New Roman"/>
                <w:sz w:val="11"/>
              </w:rPr>
              <w:t>concurrency</w:t>
            </w:r>
          </w:p>
        </w:tc>
        <w:tc>
          <w:tcPr>
            <w:tcW w:w="600" w:type="dxa"/>
            <w:tcMar>
              <w:top w:w="60" w:type="dxa"/>
              <w:left w:w="80" w:type="dxa"/>
              <w:bottom w:w="60" w:type="dxa"/>
              <w:right w:w="80" w:type="dxa"/>
            </w:tcMar>
            <w:vAlign w:val="center"/>
          </w:tcPr>
          <w:p w14:paraId="40619F6A" w14:textId="77777777" w:rsidR="00FF69B1" w:rsidRDefault="00000000">
            <w:pPr>
              <w:spacing w:after="0"/>
              <w:jc w:val="left"/>
            </w:pPr>
            <w:r>
              <w:rPr>
                <w:rFonts w:ascii="Times New Roman" w:hAnsi="Times New Roman"/>
                <w:sz w:val="11"/>
              </w:rPr>
              <w:t>2</w:t>
            </w:r>
          </w:p>
        </w:tc>
        <w:tc>
          <w:tcPr>
            <w:tcW w:type="dxa" w:w="2150"/>
          </w:tcPr>
          <w:p>
            <w:pPr>
              <w:spacing w:after="0"/>
            </w:pPr>
            <w:r>
              <w:rPr>
                <w:rFonts w:ascii="Times New Roman" w:hAnsi="Times New Roman"/>
                <w:sz w:val="11"/>
              </w:rPr>
              <w:t>Cross-run/workflow interaction</w:t>
            </w:r>
          </w:p>
        </w:tc>
      </w:tr>
      <w:tr w:rsidR="00FF69B1" w14:paraId="111BD1BE" w14:textId="77777777" w:rsidTr="00472C60">
        <w:trPr>
          <w:cantSplit/>
          <w:trHeight w:val="107"/>
        </w:trPr>
        <w:tc>
          <w:tcPr>
            <w:tcW w:w="1800" w:type="dxa"/>
            <w:tcMar>
              <w:top w:w="60" w:type="dxa"/>
              <w:left w:w="80" w:type="dxa"/>
              <w:bottom w:w="60" w:type="dxa"/>
              <w:right w:w="80" w:type="dxa"/>
            </w:tcMar>
            <w:vAlign w:val="center"/>
          </w:tcPr>
          <w:p w14:paraId="7A5595A9" w14:textId="77777777" w:rsidR="00FF69B1" w:rsidRDefault="00000000">
            <w:pPr>
              <w:spacing w:after="0"/>
              <w:jc w:val="left"/>
            </w:pPr>
            <w:proofErr w:type="spellStart"/>
            <w:r>
              <w:rPr>
                <w:rFonts w:ascii="Times New Roman" w:hAnsi="Times New Roman"/>
                <w:sz w:val="11"/>
              </w:rPr>
              <w:t>coverage_intent</w:t>
            </w:r>
            <w:proofErr w:type="spellEnd"/>
          </w:p>
        </w:tc>
        <w:tc>
          <w:tcPr>
            <w:tcW w:w="600" w:type="dxa"/>
            <w:tcMar>
              <w:top w:w="60" w:type="dxa"/>
              <w:left w:w="80" w:type="dxa"/>
              <w:bottom w:w="60" w:type="dxa"/>
              <w:right w:w="80" w:type="dxa"/>
            </w:tcMar>
            <w:vAlign w:val="center"/>
          </w:tcPr>
          <w:p w14:paraId="405B7ECA" w14:textId="77777777" w:rsidR="00FF69B1" w:rsidRDefault="00000000">
            <w:pPr>
              <w:spacing w:after="0"/>
              <w:jc w:val="left"/>
            </w:pPr>
            <w:r>
              <w:rPr>
                <w:rFonts w:ascii="Times New Roman" w:hAnsi="Times New Roman"/>
                <w:sz w:val="11"/>
              </w:rPr>
              <w:t>3</w:t>
            </w:r>
          </w:p>
        </w:tc>
        <w:tc>
          <w:tcPr>
            <w:tcW w:type="dxa" w:w="2150"/>
          </w:tcPr>
          <w:p>
            <w:pPr>
              <w:spacing w:after="0"/>
            </w:pPr>
            <w:r>
              <w:rPr>
                <w:rFonts w:ascii="Times New Roman" w:hAnsi="Times New Roman"/>
                <w:sz w:val="11"/>
              </w:rPr>
              <w:t>Intended execution-set comparison</w:t>
            </w:r>
          </w:p>
        </w:tc>
      </w:tr>
      <w:tr w:rsidR="00FF69B1" w14:paraId="3746C912" w14:textId="77777777" w:rsidTr="00472C60">
        <w:trPr>
          <w:cantSplit/>
          <w:trHeight w:val="107"/>
        </w:trPr>
        <w:tc>
          <w:tcPr>
            <w:tcW w:w="1800" w:type="dxa"/>
            <w:tcMar>
              <w:top w:w="60" w:type="dxa"/>
              <w:left w:w="80" w:type="dxa"/>
              <w:bottom w:w="60" w:type="dxa"/>
              <w:right w:w="80" w:type="dxa"/>
            </w:tcMar>
            <w:vAlign w:val="center"/>
          </w:tcPr>
          <w:p w14:paraId="734A2F00" w14:textId="77777777" w:rsidR="00FF69B1" w:rsidRDefault="00000000">
            <w:pPr>
              <w:spacing w:after="0"/>
              <w:jc w:val="left"/>
            </w:pPr>
            <w:r>
              <w:rPr>
                <w:rFonts w:ascii="Times New Roman" w:hAnsi="Times New Roman"/>
                <w:sz w:val="11"/>
              </w:rPr>
              <w:t>dependency</w:t>
            </w:r>
          </w:p>
        </w:tc>
        <w:tc>
          <w:tcPr>
            <w:tcW w:w="600" w:type="dxa"/>
            <w:tcMar>
              <w:top w:w="60" w:type="dxa"/>
              <w:left w:w="80" w:type="dxa"/>
              <w:bottom w:w="60" w:type="dxa"/>
              <w:right w:w="80" w:type="dxa"/>
            </w:tcMar>
            <w:vAlign w:val="center"/>
          </w:tcPr>
          <w:p w14:paraId="7FFA100D" w14:textId="77777777" w:rsidR="00FF69B1" w:rsidRDefault="00000000">
            <w:pPr>
              <w:spacing w:after="0"/>
              <w:jc w:val="left"/>
            </w:pPr>
            <w:r>
              <w:rPr>
                <w:rFonts w:ascii="Times New Roman" w:hAnsi="Times New Roman"/>
                <w:sz w:val="11"/>
              </w:rPr>
              <w:t>1</w:t>
            </w:r>
          </w:p>
        </w:tc>
        <w:tc>
          <w:tcPr>
            <w:tcW w:type="dxa" w:w="2150"/>
          </w:tcPr>
          <w:p>
            <w:pPr>
              <w:spacing w:after="0"/>
            </w:pPr>
            <w:r>
              <w:rPr>
                <w:rFonts w:ascii="Times New Roman" w:hAnsi="Times New Roman"/>
                <w:sz w:val="11"/>
              </w:rPr>
              <w:t>Cross-job dependency ancestry</w:t>
            </w:r>
          </w:p>
        </w:tc>
      </w:tr>
      <w:tr w:rsidR="00FF69B1" w14:paraId="74E74CBE" w14:textId="77777777" w:rsidTr="00472C60">
        <w:trPr>
          <w:cantSplit/>
          <w:trHeight w:val="107"/>
        </w:trPr>
        <w:tc>
          <w:tcPr>
            <w:tcW w:w="1800" w:type="dxa"/>
            <w:tcMar>
              <w:top w:w="60" w:type="dxa"/>
              <w:left w:w="80" w:type="dxa"/>
              <w:bottom w:w="60" w:type="dxa"/>
              <w:right w:w="80" w:type="dxa"/>
            </w:tcMar>
            <w:vAlign w:val="center"/>
          </w:tcPr>
          <w:p w14:paraId="319C853E" w14:textId="77777777" w:rsidR="00FF69B1" w:rsidRDefault="00000000">
            <w:pPr>
              <w:spacing w:after="0"/>
              <w:jc w:val="left"/>
            </w:pPr>
            <w:proofErr w:type="spellStart"/>
            <w:r>
              <w:rPr>
                <w:rFonts w:ascii="Times New Roman" w:hAnsi="Times New Roman"/>
                <w:sz w:val="11"/>
              </w:rPr>
              <w:t>failure_handling</w:t>
            </w:r>
            <w:proofErr w:type="spellEnd"/>
          </w:p>
        </w:tc>
        <w:tc>
          <w:tcPr>
            <w:tcW w:w="600" w:type="dxa"/>
            <w:tcMar>
              <w:top w:w="60" w:type="dxa"/>
              <w:left w:w="80" w:type="dxa"/>
              <w:bottom w:w="60" w:type="dxa"/>
              <w:right w:w="80" w:type="dxa"/>
            </w:tcMar>
            <w:vAlign w:val="center"/>
          </w:tcPr>
          <w:p w14:paraId="5CB05CDC" w14:textId="77777777" w:rsidR="00FF69B1" w:rsidRDefault="00000000">
            <w:pPr>
              <w:spacing w:after="0"/>
              <w:jc w:val="left"/>
            </w:pPr>
            <w:r>
              <w:rPr>
                <w:rFonts w:ascii="Times New Roman" w:hAnsi="Times New Roman"/>
                <w:sz w:val="11"/>
              </w:rPr>
              <w:t>6</w:t>
            </w:r>
          </w:p>
        </w:tc>
        <w:tc>
          <w:tcPr>
            <w:tcW w:type="dxa" w:w="2150"/>
          </w:tcPr>
          <w:p>
            <w:pPr>
              <w:spacing w:after="0"/>
            </w:pPr>
            <w:r>
              <w:rPr>
                <w:rFonts w:ascii="Times New Roman" w:hAnsi="Times New Roman"/>
                <w:sz w:val="11"/>
              </w:rPr>
              <w:t>Status and conditional propagation</w:t>
            </w:r>
          </w:p>
        </w:tc>
      </w:tr>
      <w:tr w:rsidR="00FF69B1" w14:paraId="664F30B4" w14:textId="77777777" w:rsidTr="00472C60">
        <w:trPr>
          <w:cantSplit/>
          <w:trHeight w:val="104"/>
        </w:trPr>
        <w:tc>
          <w:tcPr>
            <w:tcW w:w="1800" w:type="dxa"/>
            <w:tcMar>
              <w:top w:w="60" w:type="dxa"/>
              <w:left w:w="80" w:type="dxa"/>
              <w:bottom w:w="60" w:type="dxa"/>
              <w:right w:w="80" w:type="dxa"/>
            </w:tcMar>
            <w:vAlign w:val="center"/>
          </w:tcPr>
          <w:p w14:paraId="687819A5" w14:textId="77777777" w:rsidR="007E5B84" w:rsidRDefault="00000000">
            <w:pPr>
              <w:spacing w:after="0"/>
              <w:jc w:val="left"/>
            </w:pPr>
            <w:proofErr w:type="spellStart"/>
            <w:r>
              <w:rPr>
                <w:rFonts w:ascii="Times New Roman" w:hAnsi="Times New Roman"/>
                <w:sz w:val="11"/>
              </w:rPr>
              <w:t>undefined_context_reference</w:t>
            </w:r>
            <w:proofErr w:type="spellEnd"/>
          </w:p>
        </w:tc>
        <w:tc>
          <w:tcPr>
            <w:tcW w:w="600" w:type="dxa"/>
            <w:tcMar>
              <w:top w:w="60" w:type="dxa"/>
              <w:left w:w="80" w:type="dxa"/>
              <w:bottom w:w="60" w:type="dxa"/>
              <w:right w:w="80" w:type="dxa"/>
            </w:tcMar>
            <w:vAlign w:val="center"/>
          </w:tcPr>
          <w:p w14:paraId="627CBC43" w14:textId="77777777" w:rsidR="00FF69B1" w:rsidRDefault="00000000">
            <w:pPr>
              <w:spacing w:after="0"/>
              <w:jc w:val="left"/>
            </w:pPr>
            <w:r>
              <w:rPr>
                <w:rFonts w:ascii="Times New Roman" w:hAnsi="Times New Roman"/>
                <w:sz w:val="11"/>
              </w:rPr>
              <w:t>1</w:t>
            </w:r>
          </w:p>
        </w:tc>
        <w:tc>
          <w:tcPr>
            <w:tcW w:type="dxa" w:w="2150"/>
          </w:tcPr>
          <w:p>
            <w:pPr>
              <w:spacing w:after="0"/>
            </w:pPr>
            <w:r>
              <w:rPr>
                <w:rFonts w:ascii="Times New Roman" w:hAnsi="Times New Roman"/>
                <w:sz w:val="11"/>
              </w:rPr>
              <w:t>Local symbol/context resolution</w:t>
            </w:r>
          </w:p>
        </w:tc>
      </w:tr>
      <w:tr w:rsidR="00FF69B1" w14:paraId="285D4DEB" w14:textId="77777777" w:rsidTr="00472C60">
        <w:trPr>
          <w:cantSplit/>
          <w:trHeight w:val="107"/>
        </w:trPr>
        <w:tc>
          <w:tcPr>
            <w:tcW w:w="1800" w:type="dxa"/>
            <w:tcMar>
              <w:top w:w="60" w:type="dxa"/>
              <w:left w:w="80" w:type="dxa"/>
              <w:bottom w:w="60" w:type="dxa"/>
              <w:right w:w="80" w:type="dxa"/>
            </w:tcMar>
            <w:vAlign w:val="center"/>
          </w:tcPr>
          <w:p w14:paraId="070C457B" w14:textId="77777777" w:rsidR="00FF69B1" w:rsidRDefault="00000000">
            <w:pPr>
              <w:spacing w:after="0"/>
              <w:jc w:val="left"/>
            </w:pPr>
            <w:proofErr w:type="spellStart"/>
            <w:r>
              <w:rPr>
                <w:rFonts w:ascii="Times New Roman" w:hAnsi="Times New Roman"/>
                <w:sz w:val="11"/>
              </w:rPr>
              <w:t>trigger_intent</w:t>
            </w:r>
            <w:proofErr w:type="spellEnd"/>
          </w:p>
        </w:tc>
        <w:tc>
          <w:tcPr>
            <w:tcW w:w="600" w:type="dxa"/>
            <w:tcMar>
              <w:top w:w="60" w:type="dxa"/>
              <w:left w:w="80" w:type="dxa"/>
              <w:bottom w:w="60" w:type="dxa"/>
              <w:right w:w="80" w:type="dxa"/>
            </w:tcMar>
            <w:vAlign w:val="center"/>
          </w:tcPr>
          <w:p w14:paraId="7CD23C39" w14:textId="77777777" w:rsidR="00FF69B1" w:rsidRDefault="00000000">
            <w:pPr>
              <w:spacing w:after="0"/>
              <w:jc w:val="left"/>
            </w:pPr>
            <w:r>
              <w:rPr>
                <w:rFonts w:ascii="Times New Roman" w:hAnsi="Times New Roman"/>
                <w:sz w:val="11"/>
              </w:rPr>
              <w:t>2</w:t>
            </w:r>
          </w:p>
        </w:tc>
        <w:tc>
          <w:tcPr>
            <w:tcW w:type="dxa" w:w="2150"/>
          </w:tcPr>
          <w:p>
            <w:pPr>
              <w:spacing w:after="0"/>
            </w:pPr>
            <w:r>
              <w:rPr>
                <w:rFonts w:ascii="Times New Roman" w:hAnsi="Times New Roman"/>
                <w:sz w:val="11"/>
              </w:rPr>
              <w:t>Intended invocation-set comparison</w:t>
            </w:r>
          </w:p>
        </w:tc>
      </w:tr>
    </w:tbl>
    <w:p w14:paraId="1E8309EA" w14:textId="77777777" w:rsidR="007E5B84" w:rsidRDefault="007E5B84">
      <w:pPr>
        <w:sectPr w:rsidR="007E5B84" w:rsidSect="007217D5">
          <w:type w:val="continuous"/>
          <w:pgSz w:w="11520" w:h="15660"/>
          <w:pgMar w:top="1300" w:right="740" w:bottom="1040" w:left="740" w:header="360" w:footer="360" w:gutter="0"/>
          <w:cols w:num="1" w:space="720"/>
        </w:sectPr>
      </w:pPr>
    </w:p>
    <w:p w14:paraId="7C71C7B5" w14:textId="77777777" w:rsidR="00FF69B1" w:rsidRDefault="00000000" w:rsidP="00472C60">
      <w:pPr>
        <w:spacing w:before="60" w:after="80"/>
        <w:rPr>
          <w:rFonts w:ascii="Helvetica" w:eastAsia="Helvetica" w:hAnsi="Helvetica"/>
          <w:i/>
          <w:sz w:val="16"/>
        </w:rPr>
      </w:pPr>
      <w:r>
        <w:t>Table 3. Mutant distribution by fault class.</w:t>
      </w:r>
    </w:p>
    <w:p w14:paraId="3523AA8D" w14:textId="77777777" w:rsidR="00472C60" w:rsidRDefault="00472C60" w:rsidP="00472C60">
      <w:pPr>
        <w:spacing w:before="60" w:after="80"/>
      </w:pPr>
    </w:p>
    <w:p w14:paraId="34075DD8" w14:textId="77777777" w:rsidR="007E5B84" w:rsidRDefault="00000000">
      <w:pPr>
        <w:spacing w:after="120"/>
      </w:pPr>
      <w:r>
        <w:t xml:space="preserve">Fault-class definitions: </w:t>
      </w:r>
      <w:proofErr w:type="spellStart"/>
      <w:r>
        <w:t>artifact_dataflow</w:t>
      </w:r>
      <w:proofErr w:type="spellEnd"/>
      <w:r>
        <w:t xml:space="preserve">—producer–consumer artifact identity, reachability, or ordering is broken; concurrency—runs or workflows unintentionally share a serialization or cancellation domain; </w:t>
      </w:r>
      <w:proofErr w:type="spellStart"/>
      <w:r>
        <w:t>coverage_intent</w:t>
      </w:r>
      <w:proofErr w:type="spellEnd"/>
      <w:r>
        <w:t xml:space="preserve">—a matrix or selection edit silently omits an intended environment or case; dependency—a consumer lacks the declared job dependency required for the intended relationship; </w:t>
      </w:r>
      <w:proofErr w:type="spellStart"/>
      <w:r>
        <w:t>failure_handling</w:t>
      </w:r>
      <w:proofErr w:type="spellEnd"/>
      <w:r>
        <w:t xml:space="preserve">—failure masking, conditions, or shell behavior changes status propagation or diagnostic execution; </w:t>
      </w:r>
      <w:proofErr w:type="spellStart"/>
      <w:r>
        <w:t>undefined_context_reference</w:t>
      </w:r>
      <w:proofErr w:type="spellEnd"/>
      <w:r>
        <w:t xml:space="preserve">—a context property is referenced even though it is not defined by the surrounding construct; </w:t>
      </w:r>
      <w:proofErr w:type="spellStart"/>
      <w:r>
        <w:t>trigger_intent</w:t>
      </w:r>
      <w:proofErr w:type="spellEnd"/>
      <w:r>
        <w:t>—event or path filtering no longer covers the intended invocation set.</w:t>
      </w:r>
    </w:p>
    <w:p w14:paraId="19A8014F" w14:textId="77777777" w:rsidR="007E5B84" w:rsidRDefault="00000000">
      <w:pPr>
        <w:spacing w:after="120"/>
      </w:pPr>
      <w:r>
        <w:t xml:space="preserve">The class name </w:t>
      </w:r>
      <w:proofErr w:type="spellStart"/>
      <w:r>
        <w:t>undefined_context_reference</w:t>
      </w:r>
      <w:proofErr w:type="spellEnd"/>
      <w:r>
        <w:t xml:space="preserve"> is used in this manuscript. The public v1.0.1 identifier B002_REF02_001 is retained as a stable legacy mutant ID; a future artifact revision should include an explicit old-class-to-new-class mapping.</w:t>
      </w:r>
    </w:p>
    <w:p>
      <w:pPr>
        <w:pStyle w:val="Heading2"/>
      </w:pPr>
      <w:r>
        <w:t>4.3 Benchmark Design Rationale</w:t>
      </w:r>
    </w:p>
    <w:p>
      <w:r>
        <w:t>The benchmark was designed to exercise distinct forms of operational reasoning rather than to maximize the number of syntactic mutations. The selected fault classes span progressively less local relationships in GitHub Actions workflows: local context resolution, step- and job-level control behavior, matrix and trigger intent, producer-consumer artifact relationships, declared job dependencies, failure-state propagation, and cross-workflow concurrency. These classes were chosen because each can preserve YAML and workflow-schema validity while altering whether an intended execution relationship is satisfied.</w:t>
      </w:r>
    </w:p>
    <w:p>
      <w:r>
        <w:t>Mutation operators were therefore selected to represent different reasoning requirements rather than repeated variations of the same textual edit. Coverage-intent cases require comparison between a declared execution set and intended matrix coverage; artifact and dependency cases require reasoning across producer and consumer jobs; failure-handling cases require tracking how status and conditions affect downstream execution or diagnostics; and concurrency cases require reasoning about interactions between separate workflow runs or files. The corpus contains multiple instances within several classes where different mechanisms exercise the same broader operational concern.</w:t>
      </w:r>
    </w:p>
    <w:p>
      <w:r>
        <w:t>The benchmark is consequently a controlled capability corpus rather than a prevalence sample. Its 18 mutants do not represent the frequency distribution of defects in real GitHub Actions repositories, nor is the corpus intended to enumerate every possible operational-semantic fault. Additional mechanically generated mutations could increase corpus size without necessarily expanding the semantic capabilities under evaluation. The design instead prioritizes isolated faults, explicit per-case oracles, small baseline-mutant differences, and coverage of distinct reasoning relationships so analyzer behavior can be attributed to a specific operational violation.</w:t>
      </w:r>
    </w:p>
    <w:p w14:paraId="5D47055F" w14:textId="77777777" w:rsidR="00FF69B1" w:rsidRDefault="00000000">
      <w:pPr>
        <w:pStyle w:val="Heading2"/>
        <w:jc w:val="left"/>
      </w:pPr>
      <w:r>
        <w:t>4.4 Oracle and review process</w:t>
      </w:r>
    </w:p>
    <w:p w14:paraId="08A5E6E8" w14:textId="77777777" w:rsidR="00FF69B1" w:rsidRDefault="00000000" w:rsidP="00AC3A1B">
      <w:r>
        <w:t>A mutant was classified as faulty only when its changed workflow violated an explicitly stated relationship or declared intent. Oracles were grounded in GitHub Actions semantics, direct baseline-mutant comparison, and the author’s technical audit. Three representative cases were additionally executed. The classification and oracle audit were performed by the study author; the resulting single-rater limitation is discussed in §9.2.</w:t>
      </w:r>
    </w:p>
    <w:p>
      <w:pPr>
        <w:pStyle w:val="Heading2"/>
      </w:pPr>
      <w:r>
        <w:t>4.5 Oracle Basis</w:t>
      </w:r>
    </w:p>
    <w:p>
      <w:r>
        <w:t>Operational oracles differ in the information required to establish incorrectness. We distinguish platform-semantic, declared-intent, and mixed oracles. A platform-semantic oracle can be established from the relevant workflow structure and GitHub Actions semantics without requiring an externally stated intended-behavior requirement. A declared-intent oracle instead depends primarily on an explicit requirement recorded in the benchmark intent manifest, such as required matrix values, required trigger coverage, or a step designated as blocking. Mixed oracles combine an explicit intended relationship with non-local platform semantics, such as fail-fast cancellation, dependent-job status propagation, failure-handler reachability, or concurrency-group interaction.</w:t>
      </w:r>
    </w:p>
    <w:p>
      <w:r>
        <w:t>This distinction is important when interpreting analyzer misses. The aggregate benchmark result measures coverage of all oracle-defined operational faults, but not every fault is inferable from the same information available to a workflow-only analyzer. Declared-intent misses therefore should not be interpreted as failures to infer undocumented developer intent. The classification was applied to the already frozen v1.0.1 oracle records and did not alter any oracle or detection outcome.</w:t>
      </w:r>
    </w:p>
    <w:p w14:paraId="5F97FA24" w14:textId="77777777" w:rsidR="00FF69B1" w:rsidRDefault="00000000">
      <w:pPr>
        <w:pStyle w:val="Heading2"/>
        <w:jc w:val="left"/>
      </w:pPr>
      <w:r>
        <w:t>4.6 Mutation-size metrics</w:t>
      </w:r>
    </w:p>
    <w:p w14:paraId="64642931" w14:textId="77777777" w:rsidR="00FF69B1" w:rsidRDefault="00000000" w:rsidP="00AC3A1B">
      <w:r>
        <w:t>Raw text diffs would overcount harmless serialization differences such as indentation, quoting, blank lines, or flow</w:t>
      </w:r>
      <w:r w:rsidR="00FD5697">
        <w:t>-</w:t>
      </w:r>
      <w:r>
        <w:t>versus</w:t>
      </w:r>
      <w:r w:rsidR="00FD5697">
        <w:t>-</w:t>
      </w:r>
      <w:r>
        <w:t>block YAML style. Both baseline and mutant files were therefore parsed and re</w:t>
      </w:r>
      <w:r w:rsidR="00FD5697">
        <w:t>-</w:t>
      </w:r>
      <w:r>
        <w:t>serialized into a canonical YAML form before line and token differencing. Structural metrics count mapping</w:t>
      </w:r>
      <w:r w:rsidR="00FD5697">
        <w:t>-</w:t>
      </w:r>
      <w:r>
        <w:t>key additions/removals, scalar changes, sequence</w:t>
      </w:r>
      <w:r w:rsidR="00FD5697">
        <w:t>-</w:t>
      </w:r>
      <w:r>
        <w:t xml:space="preserve">item additions/removals, and type changes. Their sum is reported as an approximate </w:t>
      </w:r>
      <w:r w:rsidR="0086713A">
        <w:t>YAML-tree</w:t>
      </w:r>
      <w:r>
        <w:t xml:space="preserve"> edit count. It represents a transparent node</w:t>
      </w:r>
      <w:r w:rsidR="00FD5697">
        <w:t>-</w:t>
      </w:r>
      <w:r>
        <w:t>operation count rather than an optimized minimum tree</w:t>
      </w:r>
      <w:r w:rsidR="00FD5697">
        <w:t>-</w:t>
      </w:r>
      <w:r>
        <w:t>edit distance.</w:t>
      </w:r>
    </w:p>
    <w:p w14:paraId="718D2F23" w14:textId="77777777" w:rsidR="00FF69B1" w:rsidRDefault="00000000">
      <w:pPr>
        <w:pStyle w:val="Heading1"/>
        <w:jc w:val="left"/>
      </w:pPr>
      <w:r>
        <w:rPr>
          <w:rFonts w:ascii="Helvetica" w:eastAsia="Helvetica" w:hAnsi="Helvetica"/>
        </w:rPr>
        <w:t>5. Analytical Classification Framework</w:t>
      </w:r>
    </w:p>
    <w:p w14:paraId="505658F6" w14:textId="77777777" w:rsidR="00FF69B1" w:rsidRDefault="00000000" w:rsidP="00AC3A1B">
      <w:r>
        <w:t>The framework is analytical and was applied through author review rather than automatic inference. It characterizes each known mutant along dimensions intended to describe how a small local edit may require non</w:t>
      </w:r>
      <w:r w:rsidR="00FD5697">
        <w:t>-</w:t>
      </w:r>
      <w:r>
        <w:t>local reasoning.</w:t>
      </w:r>
    </w:p>
    <w:p w14:paraId="1B9FA9F7" w14:textId="77777777" w:rsidR="007E5B84" w:rsidRDefault="007E5B84">
      <w:pPr>
        <w:sectPr w:rsidR="007E5B84" w:rsidSect="007217D5">
          <w:type w:val="continuous"/>
          <w:pgSz w:w="11520" w:h="15660"/>
          <w:pgMar w:top="1300" w:right="740" w:bottom="1040" w:left="740" w:header="360" w:footer="360" w:gutter="0"/>
          <w:cols w:num="2" w:space="400"/>
        </w:sectPr>
      </w:pPr>
    </w:p>
    <w:tbl>
      <w:tblPr>
        <w:tblStyle w:val="TableGrid"/>
        <w:tblW w:w="9936" w:type="dxa"/>
        <w:jc w:val="center"/>
        <w:tblLook w:val="04A0" w:firstRow="1" w:lastRow="0" w:firstColumn="1" w:lastColumn="0" w:noHBand="0" w:noVBand="1"/>
      </w:tblPr>
      <w:tblGrid>
        <w:gridCol w:w="2922"/>
        <w:gridCol w:w="7014"/>
      </w:tblGrid>
      <w:tr w:rsidR="00FF69B1" w14:paraId="1EFE2172" w14:textId="77777777">
        <w:trPr>
          <w:cantSplit/>
          <w:tblHeader/>
          <w:jc w:val="center"/>
        </w:trPr>
        <w:tc>
          <w:tcPr>
            <w:tcW w:w="2922" w:type="dxa"/>
            <w:shd w:val="clear" w:color="auto" w:fill="D9EAF7"/>
            <w:tcMar>
              <w:top w:w="60" w:type="dxa"/>
              <w:left w:w="80" w:type="dxa"/>
              <w:bottom w:w="60" w:type="dxa"/>
              <w:right w:w="80" w:type="dxa"/>
            </w:tcMar>
            <w:vAlign w:val="center"/>
            <w:shd w:fill="D9E2F3"/>
          </w:tcPr>
          <w:p w14:paraId="57481EFA" w14:textId="77777777" w:rsidR="00FF69B1" w:rsidRDefault="00000000">
            <w:pPr>
              <w:jc w:val="left"/>
            </w:pPr>
            <w:r>
              <w:rPr>
                <w:rFonts w:ascii="Times New Roman" w:hAnsi="Times New Roman"/>
                <w:b/>
                <w:sz w:val="12"/>
              </w:rPr>
              <w:t>Dimension</w:t>
            </w:r>
          </w:p>
        </w:tc>
        <w:tc>
          <w:tcPr>
            <w:tcW w:w="7014" w:type="dxa"/>
            <w:shd w:val="clear" w:color="auto" w:fill="D9EAF7"/>
            <w:tcMar>
              <w:top w:w="60" w:type="dxa"/>
              <w:left w:w="80" w:type="dxa"/>
              <w:bottom w:w="60" w:type="dxa"/>
              <w:right w:w="80" w:type="dxa"/>
            </w:tcMar>
            <w:vAlign w:val="center"/>
            <w:shd w:fill="D9E2F3"/>
          </w:tcPr>
          <w:p w14:paraId="04D94A25" w14:textId="77777777" w:rsidR="00FF69B1" w:rsidRDefault="00000000">
            <w:pPr>
              <w:jc w:val="left"/>
            </w:pPr>
            <w:r>
              <w:rPr>
                <w:rFonts w:ascii="Times New Roman" w:hAnsi="Times New Roman"/>
                <w:b/>
                <w:sz w:val="12"/>
              </w:rPr>
              <w:t>Operationalization</w:t>
            </w:r>
          </w:p>
        </w:tc>
      </w:tr>
      <w:tr w:rsidR="00FF69B1" w14:paraId="37A2A99C" w14:textId="77777777">
        <w:trPr>
          <w:cantSplit/>
          <w:jc w:val="center"/>
        </w:trPr>
        <w:tc>
          <w:tcPr>
            <w:tcW w:w="2922" w:type="dxa"/>
            <w:tcMar>
              <w:top w:w="60" w:type="dxa"/>
              <w:left w:w="80" w:type="dxa"/>
              <w:bottom w:w="60" w:type="dxa"/>
              <w:right w:w="80" w:type="dxa"/>
            </w:tcMar>
            <w:vAlign w:val="center"/>
          </w:tcPr>
          <w:p w14:paraId="1655C824" w14:textId="77777777" w:rsidR="00FF69B1" w:rsidRDefault="00000000">
            <w:pPr>
              <w:jc w:val="left"/>
            </w:pPr>
            <w:r>
              <w:rPr>
                <w:rFonts w:ascii="Times New Roman" w:hAnsi="Times New Roman"/>
                <w:sz w:val="12"/>
              </w:rPr>
              <w:t>Semantic propagation depth</w:t>
            </w:r>
          </w:p>
        </w:tc>
        <w:tc>
          <w:tcPr>
            <w:tcW w:w="7014" w:type="dxa"/>
            <w:tcMar>
              <w:top w:w="60" w:type="dxa"/>
              <w:left w:w="80" w:type="dxa"/>
              <w:bottom w:w="60" w:type="dxa"/>
              <w:right w:w="80" w:type="dxa"/>
            </w:tcMar>
            <w:vAlign w:val="center"/>
          </w:tcPr>
          <w:p w14:paraId="73EBC99E" w14:textId="77777777" w:rsidR="00FF69B1" w:rsidRDefault="00000000">
            <w:pPr>
              <w:jc w:val="left"/>
            </w:pPr>
            <w:r>
              <w:rPr>
                <w:rFonts w:ascii="Times New Roman" w:hAnsi="Times New Roman"/>
                <w:sz w:val="12"/>
              </w:rPr>
              <w:t>D0 local reference; D1 same step/trigger construct; D2 same job or matrix; D3 cross</w:t>
            </w:r>
            <w:r w:rsidR="00FD5697">
              <w:rPr>
                <w:rFonts w:ascii="Times New Roman" w:hAnsi="Times New Roman"/>
                <w:sz w:val="12"/>
              </w:rPr>
              <w:t>-</w:t>
            </w:r>
            <w:r>
              <w:rPr>
                <w:rFonts w:ascii="Times New Roman" w:hAnsi="Times New Roman"/>
                <w:sz w:val="12"/>
              </w:rPr>
              <w:t>job; D4 cross</w:t>
            </w:r>
            <w:r w:rsidR="00FD5697">
              <w:rPr>
                <w:rFonts w:ascii="Times New Roman" w:hAnsi="Times New Roman"/>
                <w:sz w:val="12"/>
              </w:rPr>
              <w:t>-</w:t>
            </w:r>
            <w:r>
              <w:rPr>
                <w:rFonts w:ascii="Times New Roman" w:hAnsi="Times New Roman"/>
                <w:sz w:val="12"/>
              </w:rPr>
              <w:t>run/workflow; D5 external consequence</w:t>
            </w:r>
          </w:p>
        </w:tc>
      </w:tr>
      <w:tr w:rsidR="00FF69B1" w14:paraId="5751DA51" w14:textId="77777777">
        <w:trPr>
          <w:cantSplit/>
          <w:jc w:val="center"/>
        </w:trPr>
        <w:tc>
          <w:tcPr>
            <w:tcW w:w="2922" w:type="dxa"/>
            <w:tcMar>
              <w:top w:w="60" w:type="dxa"/>
              <w:left w:w="80" w:type="dxa"/>
              <w:bottom w:w="60" w:type="dxa"/>
              <w:right w:w="80" w:type="dxa"/>
            </w:tcMar>
            <w:vAlign w:val="center"/>
          </w:tcPr>
          <w:p w14:paraId="76519F35" w14:textId="77777777" w:rsidR="00FF69B1" w:rsidRDefault="00000000">
            <w:pPr>
              <w:jc w:val="left"/>
            </w:pPr>
            <w:r>
              <w:rPr>
                <w:rFonts w:ascii="Times New Roman" w:hAnsi="Times New Roman"/>
                <w:sz w:val="12"/>
              </w:rPr>
              <w:t>Operational Impact Scope Level</w:t>
            </w:r>
          </w:p>
        </w:tc>
        <w:tc>
          <w:tcPr>
            <w:tcW w:w="7014" w:type="dxa"/>
            <w:tcMar>
              <w:top w:w="60" w:type="dxa"/>
              <w:left w:w="80" w:type="dxa"/>
              <w:bottom w:w="60" w:type="dxa"/>
              <w:right w:w="80" w:type="dxa"/>
            </w:tcMar>
            <w:vAlign w:val="center"/>
          </w:tcPr>
          <w:p w14:paraId="3455B6C8" w14:textId="77777777" w:rsidR="00FF69B1" w:rsidRDefault="00000000">
            <w:pPr>
              <w:jc w:val="left"/>
            </w:pPr>
            <w:r>
              <w:rPr>
                <w:rFonts w:ascii="Times New Roman" w:hAnsi="Times New Roman"/>
                <w:sz w:val="12"/>
              </w:rPr>
              <w:t>Ordinal breadth from one step to an external consumer or release; measures affected scope, not severity</w:t>
            </w:r>
          </w:p>
        </w:tc>
      </w:tr>
      <w:tr w:rsidR="00FF69B1" w14:paraId="6B1A6A22" w14:textId="77777777">
        <w:trPr>
          <w:cantSplit/>
          <w:jc w:val="center"/>
        </w:trPr>
        <w:tc>
          <w:tcPr>
            <w:tcW w:w="2922" w:type="dxa"/>
            <w:tcMar>
              <w:top w:w="60" w:type="dxa"/>
              <w:left w:w="80" w:type="dxa"/>
              <w:bottom w:w="60" w:type="dxa"/>
              <w:right w:w="80" w:type="dxa"/>
            </w:tcMar>
            <w:vAlign w:val="center"/>
          </w:tcPr>
          <w:p w14:paraId="7A313016" w14:textId="77777777" w:rsidR="00FF69B1" w:rsidRDefault="00000000">
            <w:pPr>
              <w:jc w:val="left"/>
            </w:pPr>
            <w:r>
              <w:rPr>
                <w:rFonts w:ascii="Times New Roman" w:hAnsi="Times New Roman"/>
                <w:sz w:val="12"/>
              </w:rPr>
              <w:t>Required analysis capability</w:t>
            </w:r>
          </w:p>
        </w:tc>
        <w:tc>
          <w:tcPr>
            <w:tcW w:w="7014" w:type="dxa"/>
            <w:tcMar>
              <w:top w:w="60" w:type="dxa"/>
              <w:left w:w="80" w:type="dxa"/>
              <w:bottom w:w="60" w:type="dxa"/>
              <w:right w:w="80" w:type="dxa"/>
            </w:tcMar>
            <w:vAlign w:val="center"/>
          </w:tcPr>
          <w:p w14:paraId="4C0EB3F4" w14:textId="77777777" w:rsidR="00FF69B1" w:rsidRDefault="00000000">
            <w:pPr>
              <w:jc w:val="left"/>
            </w:pPr>
            <w:r>
              <w:rPr>
                <w:rFonts w:ascii="Times New Roman" w:hAnsi="Times New Roman"/>
                <w:sz w:val="12"/>
              </w:rPr>
              <w:t>Examples: symbol resolution, matrix intent, artifact/data flow, failure propagation, trigger intent, concurrency reasoning</w:t>
            </w:r>
          </w:p>
        </w:tc>
      </w:tr>
      <w:tr w:rsidR="00FF69B1" w14:paraId="1F83D735" w14:textId="77777777">
        <w:trPr>
          <w:cantSplit/>
          <w:jc w:val="center"/>
        </w:trPr>
        <w:tc>
          <w:tcPr>
            <w:tcW w:w="2922" w:type="dxa"/>
            <w:tcMar>
              <w:top w:w="60" w:type="dxa"/>
              <w:left w:w="80" w:type="dxa"/>
              <w:bottom w:w="60" w:type="dxa"/>
              <w:right w:w="80" w:type="dxa"/>
            </w:tcMar>
            <w:vAlign w:val="center"/>
          </w:tcPr>
          <w:p w14:paraId="6F669A07" w14:textId="77777777" w:rsidR="00FF69B1" w:rsidRDefault="00000000">
            <w:pPr>
              <w:jc w:val="left"/>
            </w:pPr>
            <w:r>
              <w:rPr>
                <w:rFonts w:ascii="Times New Roman" w:hAnsi="Times New Roman"/>
                <w:sz w:val="12"/>
              </w:rPr>
              <w:t>Observable symptom</w:t>
            </w:r>
          </w:p>
        </w:tc>
        <w:tc>
          <w:tcPr>
            <w:tcW w:w="7014" w:type="dxa"/>
            <w:tcMar>
              <w:top w:w="60" w:type="dxa"/>
              <w:left w:w="80" w:type="dxa"/>
              <w:bottom w:w="60" w:type="dxa"/>
              <w:right w:w="80" w:type="dxa"/>
            </w:tcMar>
            <w:vAlign w:val="center"/>
          </w:tcPr>
          <w:p w14:paraId="4E2FEC2A" w14:textId="77777777" w:rsidR="00FF69B1" w:rsidRDefault="00000000">
            <w:pPr>
              <w:jc w:val="left"/>
            </w:pPr>
            <w:r>
              <w:rPr>
                <w:rFonts w:ascii="Times New Roman" w:hAnsi="Times New Roman"/>
                <w:sz w:val="12"/>
              </w:rPr>
              <w:t>Failure, silent omission, false success, missing diagnostics, serialization, cancellation, or conditional behavior</w:t>
            </w:r>
          </w:p>
        </w:tc>
      </w:tr>
      <w:tr w:rsidR="00FF69B1" w14:paraId="7BDDCE52" w14:textId="77777777">
        <w:trPr>
          <w:cantSplit/>
          <w:jc w:val="center"/>
        </w:trPr>
        <w:tc>
          <w:tcPr>
            <w:tcW w:w="2922" w:type="dxa"/>
            <w:tcMar>
              <w:top w:w="60" w:type="dxa"/>
              <w:left w:w="80" w:type="dxa"/>
              <w:bottom w:w="60" w:type="dxa"/>
              <w:right w:w="80" w:type="dxa"/>
            </w:tcMar>
            <w:vAlign w:val="center"/>
          </w:tcPr>
          <w:p w14:paraId="1FE3DED4" w14:textId="77777777" w:rsidR="00FF69B1" w:rsidRDefault="00000000">
            <w:pPr>
              <w:jc w:val="left"/>
            </w:pPr>
            <w:r>
              <w:rPr>
                <w:rFonts w:ascii="Times New Roman" w:hAnsi="Times New Roman"/>
                <w:sz w:val="12"/>
              </w:rPr>
              <w:t>Silent</w:t>
            </w:r>
            <w:r w:rsidR="00FD5697">
              <w:rPr>
                <w:rFonts w:ascii="Times New Roman" w:hAnsi="Times New Roman"/>
                <w:sz w:val="12"/>
              </w:rPr>
              <w:t>-</w:t>
            </w:r>
            <w:r>
              <w:rPr>
                <w:rFonts w:ascii="Times New Roman" w:hAnsi="Times New Roman"/>
                <w:sz w:val="12"/>
              </w:rPr>
              <w:t>success behavior</w:t>
            </w:r>
          </w:p>
        </w:tc>
        <w:tc>
          <w:tcPr>
            <w:tcW w:w="7014" w:type="dxa"/>
            <w:tcMar>
              <w:top w:w="60" w:type="dxa"/>
              <w:left w:w="80" w:type="dxa"/>
              <w:bottom w:w="60" w:type="dxa"/>
              <w:right w:w="80" w:type="dxa"/>
            </w:tcMar>
            <w:vAlign w:val="center"/>
          </w:tcPr>
          <w:p w14:paraId="03E824F0" w14:textId="77777777" w:rsidR="00FF69B1" w:rsidRDefault="00000000">
            <w:pPr>
              <w:jc w:val="left"/>
            </w:pPr>
            <w:r>
              <w:rPr>
                <w:rFonts w:ascii="Times New Roman" w:hAnsi="Times New Roman"/>
                <w:sz w:val="12"/>
              </w:rPr>
              <w:t>Yes, No, or Conditional</w:t>
            </w:r>
          </w:p>
        </w:tc>
      </w:tr>
      <w:tr w:rsidR="00FF69B1" w14:paraId="4DE51F2B" w14:textId="77777777">
        <w:trPr>
          <w:cantSplit/>
          <w:jc w:val="center"/>
        </w:trPr>
        <w:tc>
          <w:tcPr>
            <w:tcW w:w="2922" w:type="dxa"/>
            <w:tcMar>
              <w:top w:w="60" w:type="dxa"/>
              <w:left w:w="80" w:type="dxa"/>
              <w:bottom w:w="60" w:type="dxa"/>
              <w:right w:w="80" w:type="dxa"/>
            </w:tcMar>
            <w:vAlign w:val="center"/>
          </w:tcPr>
          <w:p w14:paraId="07411668" w14:textId="77777777" w:rsidR="00FF69B1" w:rsidRDefault="00000000">
            <w:pPr>
              <w:jc w:val="left"/>
            </w:pPr>
            <w:r>
              <w:rPr>
                <w:rFonts w:ascii="Times New Roman" w:hAnsi="Times New Roman"/>
                <w:sz w:val="12"/>
              </w:rPr>
              <w:lastRenderedPageBreak/>
              <w:t>Ground</w:t>
            </w:r>
            <w:r w:rsidR="00FD5697">
              <w:rPr>
                <w:rFonts w:ascii="Times New Roman" w:hAnsi="Times New Roman"/>
                <w:sz w:val="12"/>
              </w:rPr>
              <w:t>-</w:t>
            </w:r>
            <w:r>
              <w:rPr>
                <w:rFonts w:ascii="Times New Roman" w:hAnsi="Times New Roman"/>
                <w:sz w:val="12"/>
              </w:rPr>
              <w:t>truth basis</w:t>
            </w:r>
          </w:p>
        </w:tc>
        <w:tc>
          <w:tcPr>
            <w:tcW w:w="7014" w:type="dxa"/>
            <w:tcMar>
              <w:top w:w="60" w:type="dxa"/>
              <w:left w:w="80" w:type="dxa"/>
              <w:bottom w:w="60" w:type="dxa"/>
              <w:right w:w="80" w:type="dxa"/>
            </w:tcMar>
            <w:vAlign w:val="center"/>
          </w:tcPr>
          <w:p w14:paraId="67053592" w14:textId="77777777" w:rsidR="00FF69B1" w:rsidRDefault="00000000">
            <w:pPr>
              <w:jc w:val="left"/>
            </w:pPr>
            <w:r>
              <w:rPr>
                <w:rFonts w:ascii="Times New Roman" w:hAnsi="Times New Roman"/>
                <w:sz w:val="12"/>
              </w:rPr>
              <w:t>Specification, semantic audit, controlled execution, or combination</w:t>
            </w:r>
          </w:p>
        </w:tc>
      </w:tr>
      <w:tr>
        <w:tc>
          <w:tcPr>
            <w:tcW w:type="dxa" w:w="2922"/>
          </w:tcPr>
          <w:p>
            <w:r>
              <w:rPr>
                <w:rFonts w:ascii="Times New Roman" w:hAnsi="Times New Roman"/>
                <w:sz w:val="12"/>
              </w:rPr>
              <w:t>Oracle basis</w:t>
            </w:r>
          </w:p>
        </w:tc>
        <w:tc>
          <w:tcPr>
            <w:tcW w:type="dxa" w:w="7014"/>
          </w:tcPr>
          <w:p>
            <w:r>
              <w:rPr>
                <w:rFonts w:ascii="Times New Roman" w:hAnsi="Times New Roman"/>
                <w:sz w:val="12"/>
              </w:rPr>
              <w:t>Platform-semantic - workflow/platform semantics suffice; Declared-intent - incorrectness depends on an explicit benchmark requirement; Mixed - declared intent must be combined with non-local platform semantics.</w:t>
            </w:r>
          </w:p>
        </w:tc>
      </w:tr>
    </w:tbl>
    <w:p w14:paraId="69E99B7F" w14:textId="77777777" w:rsidR="007E5B84" w:rsidRDefault="007E5B84">
      <w:pPr>
        <w:sectPr w:rsidR="007E5B84" w:rsidSect="007217D5">
          <w:type w:val="continuous"/>
          <w:pgSz w:w="11520" w:h="15660"/>
          <w:pgMar w:top="1300" w:right="740" w:bottom="1040" w:left="740" w:header="360" w:footer="360" w:gutter="0"/>
          <w:cols w:num="1" w:space="720"/>
        </w:sectPr>
      </w:pPr>
    </w:p>
    <w:p w14:paraId="41FF4009" w14:textId="77777777" w:rsidR="00FF69B1" w:rsidRDefault="00FF69B1"/>
    <w:p w14:paraId="78487E7F" w14:textId="77777777" w:rsidR="00FF69B1" w:rsidRDefault="00000000">
      <w:pPr>
        <w:spacing w:before="60" w:after="80"/>
        <w:jc w:val="center"/>
      </w:pPr>
      <w:r>
        <w:t>Table 4. Analytical classification dimensions.</w:t>
      </w:r>
    </w:p>
    <w:p w14:paraId="1029B730" w14:textId="77777777" w:rsidR="00FF69B1" w:rsidRDefault="00000000">
      <w:pPr>
        <w:pStyle w:val="Heading1"/>
        <w:jc w:val="left"/>
      </w:pPr>
      <w:r>
        <w:rPr>
          <w:rFonts w:ascii="Helvetica" w:eastAsia="Helvetica" w:hAnsi="Helvetica"/>
        </w:rPr>
        <w:t>6. Study Method</w:t>
      </w:r>
    </w:p>
    <w:p w14:paraId="2B657964" w14:textId="77777777" w:rsidR="00FF69B1" w:rsidRDefault="00000000">
      <w:pPr>
        <w:pStyle w:val="Heading2"/>
        <w:jc w:val="left"/>
      </w:pPr>
      <w:r>
        <w:rPr>
          <w:rFonts w:ascii="Helvetica" w:eastAsia="Helvetica" w:hAnsi="Helvetica"/>
        </w:rPr>
        <w:t>6.1 Evaluated tools</w:t>
      </w:r>
    </w:p>
    <w:p w14:paraId="6EEEB9B5" w14:textId="77777777" w:rsidR="00FF69B1" w:rsidRDefault="00000000" w:rsidP="00AC3A1B">
      <w:r>
        <w:t>We evaluated actionlint 1.7.12, zizmor 1.28.0, and poutine 1.1.4. The selection spans a correctness-oriented workflow checker and two security/supply-chain analyzers, whose stated primary purposes differ. The experiment therefore does not measure whether each tool succeeds at its intended primary purpose. Instead, it measures whether the analyses already implemented by these representative tools explicitly or incidentally provide oracle-relevant coverage of the operational-semantic relationships represented by the benchmark. Each mutant was scanned independently using recorded command-line configurations.</w:t>
      </w:r>
    </w:p>
    <w:p w14:paraId="5757406D" w14:textId="77777777" w:rsidR="00FF69B1" w:rsidRDefault="00000000">
      <w:pPr>
        <w:pStyle w:val="Heading2"/>
        <w:jc w:val="left"/>
      </w:pPr>
      <w:r>
        <w:rPr>
          <w:rFonts w:ascii="Helvetica" w:eastAsia="Helvetica" w:hAnsi="Helvetica"/>
        </w:rPr>
        <w:t>6.2 Exact baseline differencing</w:t>
      </w:r>
    </w:p>
    <w:p w14:paraId="494F7030" w14:textId="77777777" w:rsidR="00FF69B1" w:rsidRDefault="00000000" w:rsidP="00AC3A1B">
      <w:r>
        <w:t xml:space="preserve">A finding was counted as a detection only when it was new or materially changed relative to the corresponding clean baseline and directly attributable to the injected mutation. Unchanged warnings, unrelated hardening advice, and incidental annotations were excluded. The clean baselines produced no </w:t>
      </w:r>
      <w:proofErr w:type="spellStart"/>
      <w:r>
        <w:t>actionlint</w:t>
      </w:r>
      <w:proofErr w:type="spellEnd"/>
      <w:r>
        <w:t xml:space="preserve"> or poutine findings. </w:t>
      </w:r>
      <w:proofErr w:type="spellStart"/>
      <w:r>
        <w:t>Zizmor</w:t>
      </w:r>
      <w:proofErr w:type="spellEnd"/>
      <w:r>
        <w:t xml:space="preserve"> produced 13 recurring unpinned</w:t>
      </w:r>
      <w:r w:rsidR="00FD5697">
        <w:t>-</w:t>
      </w:r>
      <w:r>
        <w:t>uses findings across the six baseline files; those findings were removed from mutation</w:t>
      </w:r>
      <w:r w:rsidR="00FD5697">
        <w:t>-</w:t>
      </w:r>
      <w:r>
        <w:t>detection counts through exact baseline differencing.</w:t>
      </w:r>
    </w:p>
    <w:p w14:paraId="078FAC12" w14:textId="77777777" w:rsidR="00FF69B1" w:rsidRDefault="00000000">
      <w:pPr>
        <w:pStyle w:val="Heading2"/>
        <w:jc w:val="left"/>
      </w:pPr>
      <w:r>
        <w:rPr>
          <w:rFonts w:ascii="Helvetica" w:eastAsia="Helvetica" w:hAnsi="Helvetica"/>
        </w:rPr>
        <w:t>6.3 Controlled execution</w:t>
      </w:r>
    </w:p>
    <w:p w14:paraId="2DC8DEB8" w14:textId="77777777" w:rsidR="00FF69B1" w:rsidRDefault="00000000" w:rsidP="00AC3A1B">
      <w:r>
        <w:t>Runtime validation covered seven representative misses spanning distinct propagation mechanisms. The original set comprised CE01 artifact availability, CE08 failure masking and diagnostic suppression, and CE11 cross-workflow concurrency interference. A pre-frozen extension added CE12 matrix-coverage loss, CE13 pull-request path-filter suppression, CE14 cross-job failure propagation, and CE15 artifact-identity mismatch. CE01 used a same-commit baseline-mutant comparison, CE11 used repeated order-controlled trials, CE12/CE14/CE15 used paired workflow_dispatch executions on a controlled commit, and CE13 used a tests-only pull request with a frozen 10-minute absence criterion for the mutant trigger. A pre-execution harness amendment removed missing fixture dependencies from CE12 and CE14 without changing case selection, semantic oracles, or expected outcomes. Runtime evidence supplements, rather than replaces, the static semantic oracles (RQ3).</w:t>
      </w:r>
    </w:p>
    <w:p w14:paraId="0E150AD2" w14:textId="77777777" w:rsidR="00FF69B1" w:rsidRDefault="00000000">
      <w:pPr>
        <w:pStyle w:val="Heading2"/>
        <w:jc w:val="left"/>
      </w:pPr>
      <w:r>
        <w:rPr>
          <w:rFonts w:ascii="Helvetica" w:eastAsia="Helvetica" w:hAnsi="Helvetica"/>
        </w:rPr>
        <w:t>6.4 Robustness controls</w:t>
      </w:r>
    </w:p>
    <w:p w14:paraId="584CC2D3" w14:textId="77777777" w:rsidR="00FF69B1" w:rsidRDefault="00000000" w:rsidP="0034461A">
      <w:r>
        <w:t>Two robustness analyses were conducted (RQ3). First, every remote uses reference across 24 workflow files was pinned to a full 40-character commit SHA, eliminating recurring unpinned-action findings. Second, five semantics-preserving negative controls were generated through comment insertion, sequence-style conversion, equivalent quote changes, trigger-key reordering, and explicit success() declaration. Findings were normalized to remove path and location fields before comparison.</w:t>
      </w:r>
    </w:p>
    <w:p w14:paraId="13DAFCC2" w14:textId="77777777" w:rsidR="00FF69B1" w:rsidRDefault="00000000">
      <w:pPr>
        <w:pStyle w:val="Heading2"/>
        <w:jc w:val="left"/>
      </w:pPr>
      <w:r>
        <w:rPr>
          <w:rFonts w:ascii="Helvetica" w:eastAsia="Helvetica" w:hAnsi="Helvetica"/>
        </w:rPr>
        <w:t>6.5 Artifact</w:t>
      </w:r>
      <w:r w:rsidR="00FD5697">
        <w:rPr>
          <w:rFonts w:ascii="Helvetica" w:eastAsia="Helvetica" w:hAnsi="Helvetica"/>
        </w:rPr>
        <w:t>-</w:t>
      </w:r>
      <w:r>
        <w:rPr>
          <w:rFonts w:ascii="Helvetica" w:eastAsia="Helvetica" w:hAnsi="Helvetica"/>
        </w:rPr>
        <w:t>Flow Analysis</w:t>
      </w:r>
    </w:p>
    <w:p w14:paraId="531F6BBA" w14:textId="77777777" w:rsidR="00FF69B1" w:rsidRDefault="00000000" w:rsidP="0034461A">
      <w:r>
        <w:t>The Artifact-Flow Analysis is a proof-of-feasibility derived from benchmark relationships rather than a claim of general detector accuracy. It maps upload-artifact producers to download-artifact consumers through artifact identity, job dependency ancestry, step ordering, and conditions. AF001 reports a consumer without a guaranteed matching producer, and AF002 reports a consumer without a declared producer dependency. The implementation is intentionally narrow and explainable, with each finding traceable to an explicit benchmark oracle. Version 0.1 was evaluated on the development corpus and a first frozen, investigator-designed holdout. Two observed false-positive modes motivated only two v0.2 refinements: same-job upload-before-download ordering and exact normalized condition equivalence. Version 0.2 was frozen before a second investigator-designed holdout was created. The purpose of this evaluation is to test whether selected benchmark relationships can be operationalized as explicit checks, not to estimate population-level accuracy.</w:t>
      </w:r>
    </w:p>
    <w:p w14:paraId="7774A2D2" w14:textId="77777777" w:rsidR="007E5B84" w:rsidRDefault="00000000">
      <w:pPr>
        <w:pStyle w:val="Heading2"/>
        <w:jc w:val="left"/>
      </w:pPr>
      <w:r>
        <w:rPr>
          <w:rFonts w:ascii="Helvetica" w:eastAsia="Helvetica" w:hAnsi="Helvetica"/>
        </w:rPr>
        <w:t>6.6 Language-model response evaluation</w:t>
      </w:r>
    </w:p>
    <w:p w14:paraId="509753D7" w14:textId="77777777" w:rsidR="007E5B84" w:rsidRDefault="00000000">
      <w:r>
        <w:t>The response-level extension used 35 logical workflow cases: 23 public cases (18 released mutants and five logical clean baselines) and 12 contamination-control cases formed from six unreleased baseline-mutant pairs. The six pairs were frozen and hashed before production execution and were used only in the model-evaluation extension. Three models - gpt-5.6-terra, claude-sonnet-5, and gemini-3.6-flash - were evaluated in three independent stateless trials per case, yielding 105 scheduled calls per model and 315 primary calls overall. Each request contained the frozen prompt, a neutral intended-behavior statement, and the relevant workflow configuration, while excluding mutant identifiers, fault-class labels, baseline diffs, benchmark links, and the oracle. Browsing, retrieval, external tools, and conversation memory were disabled. Temperature was set to 0 or the closest supported deterministic setting, with a 1,200-token output ceiling unless provider constraints required otherwise. These response-level experiments supplement rather than replace the static-tool benchmark evaluation (RQ4).</w:t>
      </w:r>
    </w:p>
    <w:p w14:paraId="58783B31" w14:textId="77777777" w:rsidR="007E5B84" w:rsidRDefault="00000000">
      <w:pPr>
        <w:pStyle w:val="Heading2"/>
        <w:jc w:val="left"/>
      </w:pPr>
      <w:r>
        <w:rPr>
          <w:rFonts w:ascii="Helvetica" w:eastAsia="Helvetica" w:hAnsi="Helvetica"/>
        </w:rPr>
        <w:t>6.7 Execution reliability, retries, and canonicalization</w:t>
      </w:r>
    </w:p>
    <w:p w14:paraId="1783A9B5" w14:textId="77777777" w:rsidR="007E5B84" w:rsidRDefault="00000000">
      <w:r>
        <w:t>The frozen protocol permitted retries only for execution failures such as provider 5xx responses, timeouts, explicit rate limits, or responses that exhausted the output allowance without yielding scorable text. All failed attempts were preserved. Canonicalization selected the first complete successful response for each scheduled trial; substantive responses were not rerun merely because their content was poor. Of 315 scheduled primary calls, 256 completed on the original execution and 59 required a later canonical retry, yielding one complete canonical response for every scheduled trial. These execution-reliability data are reported separately from semantic response quality and are not interpreted as provider service-level estimates.</w:t>
      </w:r>
    </w:p>
    <w:p w14:paraId="3112559A" w14:textId="77777777" w:rsidR="007E5B84" w:rsidRDefault="00000000">
      <w:pPr>
        <w:pStyle w:val="Heading2"/>
        <w:jc w:val="left"/>
      </w:pPr>
      <w:r>
        <w:rPr>
          <w:rFonts w:ascii="Helvetica" w:eastAsia="Helvetica" w:hAnsi="Helvetica"/>
        </w:rPr>
        <w:t>6.8 Blinded response scoring and independent human evaluation</w:t>
      </w:r>
    </w:p>
    <w:p w14:paraId="276ACE69" w14:textId="77777777" w:rsidR="007E5B84" w:rsidRDefault="00000000">
      <w:r>
        <w:t>Responses were evaluated using a predefined rubric after model and provider identities were removed; trial and case-status indicators were also withheld, and response order was randomized. The scoring fields were Finding Present, Oracle Match (Yes/Partial/No/Unclear), Specific Enough, Configuration Grounded, and Rater Confidence. Strict response-level correctness counts only Oracle Match = Yes; a lenient sensitivity measure counts Yes or Partial. An independent human evaluator reviewed all 315 primary responses against the supplied intended behavior, workflow configuration, and oracle criterion without access to model identity, preliminary model scores, automated ratings, or the private blind key. The completed human workbooks were frozen and hashed before model identities were joined back to the responses for analysis. A separately generated automated secondary evaluation was retained as a preliminary secondary assessment rather than an independent human judgment. Agreement between the frozen human ratings and the secondary assessment was calculated only after the human evaluation was finalized.</w:t>
      </w:r>
      <w:r>
        <w:t xml:space="preserve"> As a secondary paired sensitivity analysis, Claude and GPT were compared at the logical-case level using the strict 2-of-3 majority outcome for each of the same 35 cases. Case-level aggregation was used rather than treating the three trials per case as independent observations. An exact two-sided McNemar test was applied to the discordant case outcomes; this exploratory comparison was used only to assess whether the small aggregate Claude-GPT difference was supported by paired case-level outcomes.</w:t>
      </w:r>
    </w:p>
    <w:p w14:paraId="477D6756" w14:textId="77777777" w:rsidR="007E5B84" w:rsidRDefault="00000000">
      <w:pPr>
        <w:pStyle w:val="Heading2"/>
        <w:jc w:val="left"/>
      </w:pPr>
      <w:r>
        <w:rPr>
          <w:rFonts w:ascii="Helvetica" w:eastAsia="Helvetica" w:hAnsi="Helvetica"/>
        </w:rPr>
        <w:t>6.9 Gemini replication protocol</w:t>
      </w:r>
    </w:p>
    <w:p w14:paraId="30F23C3D" w14:textId="77777777" w:rsidR="007E5B84" w:rsidRDefault="00000000">
      <w:r>
        <w:t>Because the original Gemini run contained a concentration of transport failures, a full 105-call replication was specified and frozen before rerunning the model. The replication retained the same 35 cases, prompt structure, three-trial design, model identifier, and deterministic settings, while using conservative pacing and non-overwriting output paths. Before comparative scoring, the dataset-role decision was recorded: the original canonical run remains primary, while the clean rerun is a replication and sensitivity analysis. The replication therefore tests response stability after execution reliability is separated from semantic scoring rather than replacing the original dataset.</w:t>
      </w:r>
    </w:p>
    <w:p w14:paraId="57FDBC83" w14:textId="77777777" w:rsidR="007E5B84" w:rsidRDefault="00000000">
      <w:pPr>
        <w:pStyle w:val="Heading2"/>
        <w:jc w:val="left"/>
      </w:pPr>
      <w:r>
        <w:t>6.10 Historical Real-World Defect Validation</w:t>
      </w:r>
    </w:p>
    <w:p w14:paraId="3C35CAF3" w14:textId="77777777" w:rsidR="007E5B84" w:rsidRDefault="00000000">
      <w:r>
        <w:t>To examine whether the controlled benchmark phenomenon also occurs in independently developed workflows, the study assembled a small, purposefully selected historical validation set of six documented GitHub Actions defects from five public repositories [31]-[35], [41]. This set is not a statistically sampled or exhaustive corpus and is not used to estimate defect prevalence or analyzer effectiveness in the population of GitHub Actions repositories. Cases were retained only when public repository history provided an identifiable pre-fix workflow state, a subsequent workflow-level repair, and sufficient evidence to formulate an operational oracle tied to the documented repair. For each case, the affected workflow was preserved before and after the documented repair and analyzed using the same frozen versions used in the controlled benchmark. A tool was credited with detection only when a reported finding specifically identified the documented operational defect under the frozen case oracle; unrelated findings and scanner exit status alone did not count. Because the study does not establish a sampling denominator for all potentially relevant historical defects, the six cases provide external grounding only and no population-level inference is drawn from the 0/6 results.</w:t>
      </w:r>
    </w:p>
    <w:p>
      <w:r>
        <w:t>For each retained case, the oracle was tied to the public defect record and corresponding workflow repair rather than inferred solely from the author's interpretation of the pre-fix YAML. The public issue and pull-request evidence used to ground each case is cited in the case discussion and references; the historical cases are distinguished descriptively between relationships closely related to the benchmark and cases that extend beyond the current synthetic taxonomy. This mapping is descriptive rather than a claim that the historical defects are exact natural counterparts of individual mutants.</w:t>
      </w:r>
    </w:p>
    <w:p>
      <w:pPr>
        <w:pStyle w:val="Heading2"/>
      </w:pPr>
      <w:r>
        <w:t>6.11 Structured Real-World Defect Corpus: A–J Protocol Phase and K–T Supplementary Continuation</w:t>
      </w:r>
    </w:p>
    <w:p>
      <w:r>
        <w:t>To complement the purposefully selected historical set, the study constructed a structured real-world corpus using predefined GitHub Actions defect-oriented query families over public pull requests created from January 1, 2021 through August 31, 2026. The recorded A–J protocol phase used prespecified inclusion, exclusion, duplicate, screening-order, and stopping rules. A later consolidated family summary records yields of 1, 1, 2, 0, 3, 7, 2, 2, 0, and 2 cases for Families A through J, respectively, reaching 20 retained cases after Family J. Eligible cases required a documented operational-semantic defect, a reconstructable immutable pre-fix workflow, an identifiable workflow-level repair, and sufficient repository-primary evidence to define a precise repair-specific oracle. Pure syntax defects, platform defects without erroneous repository workflow configuration, preventive hardening, version-bump-only changes, synthetic/tutorial cases, duplicate defect episodes, and cases without reconstructable pre-fix evidence were excluded. A subsequent protocol-completion audit found that the primary ordered search/freeze provenance was not fully recoverable for every A–J family. Accordingly, the manuscript retains the consolidated 20-case A–J study record and its recorded stopping boundary, but does not treat that record as a probability sample or as independently reverified retrieval provenance.</w:t>
      </w:r>
    </w:p>
    <w:p>
      <w:r>
        <w:t>After the recorded A–J stopping boundary, screening was deliberately continued across Families K–T to broaden defect-class coverage. This continuation retained 10 additional defensible cases, producing a 30-case structured corpus overall. The first 20 cases are therefore reported as the A–J protocol phase and the additional 10 as a supplementary K–T continuation. Complete ranked replay provenance is not available for every family across the two stages, so neither the combined 30-case corpus nor the archived A–J retrieval history is used for population prevalence, probability-sampling, or live-ranking reproducibility claims. Case identity, immutable pre-fix SHA and workflow path, documented repair, taxonomy, and oracle were fixed before the analyzer outcomes used for the respective phase were adjudicated. All retained workflows were evaluated with actionlint 1.7.12, zizmor 1.28.0, and poutine 1.1.4, and a tool was credited only when its output identified the documented defect or an equivalent actionable root cause. Unrelated security, hardening, environment, version, or repository-context findings did not count.</w:t>
      </w:r>
    </w:p>
    <w:p w14:paraId="76B7B28D" w14:textId="77777777" w:rsidR="00FF69B1" w:rsidRDefault="00000000">
      <w:pPr>
        <w:pStyle w:val="Heading1"/>
        <w:jc w:val="left"/>
      </w:pPr>
      <w:r>
        <w:rPr>
          <w:rFonts w:ascii="Helvetica" w:eastAsia="Helvetica" w:hAnsi="Helvetica"/>
        </w:rPr>
        <w:t>7. Results</w:t>
      </w:r>
    </w:p>
    <w:p w14:paraId="0049C91B" w14:textId="77777777" w:rsidR="00FF69B1" w:rsidRDefault="00000000">
      <w:pPr>
        <w:pStyle w:val="Heading2"/>
        <w:jc w:val="left"/>
      </w:pPr>
      <w:r>
        <w:t>7.1 RQ1: Existing-tool coverage and semantic characteristics</w:t>
      </w:r>
    </w:p>
    <w:p w14:paraId="29B4CA48" w14:textId="77777777" w:rsidR="00FF69B1" w:rsidRDefault="00000000">
      <w:r>
        <w:t>Across the 18 mutants, actionlint identified one oracle-relevant mutation and zizmor and poutine identified none, yielding union coverage of 1/18 (5.6%). The sole detection occurred in the one-member undefined_context_reference class: B002_REF02_001 changed a valid matrix reference to matrix.runtime even though the matrix defined only os and python, and actionlint reported that runtime was not defined in the matrix object. No mutation-attributable finding was produced for any of the remaining 17 mutants, spanning artifact data flow, concurrency, coverage intent, job dependency, failure handling, and trigger intent. These class-level values describe coverage of the represented benchmark cases and are not estimates of class-level effectiveness in real repositories.</w:t>
      </w:r>
    </w:p>
    <w:p w14:paraId="17C0EBD9" w14:textId="77777777" w:rsidR="007E5B84" w:rsidRDefault="007E5B84">
      <w:pPr>
        <w:sectPr w:rsidR="007E5B84" w:rsidSect="007217D5">
          <w:type w:val="continuous"/>
          <w:pgSz w:w="11520" w:h="15660"/>
          <w:pgMar w:top="1300" w:right="740" w:bottom="1040" w:left="740" w:header="360" w:footer="360" w:gutter="0"/>
          <w:cols w:num="2" w:space="400"/>
        </w:sectPr>
      </w:pPr>
    </w:p>
    <w:p w14:paraId="5F24B4D4" w14:textId="77777777" w:rsidR="00FF69B1" w:rsidRDefault="00000000" w:rsidP="009C737B">
      <w:pPr>
        <w:jc w:val="center"/>
      </w:pPr>
      <w:r>
        <w:rPr>
          <w:noProof/>
        </w:rPr>
        <w:lastRenderedPageBreak/>
        <w:drawing>
          <wp:inline distT="0" distB="0" distL="0" distR="0" wp14:anchorId="25244D15" wp14:editId="7CADD27A">
            <wp:extent cx="6309360" cy="3455991"/>
            <wp:effectExtent l="0" t="0" r="0" b="0"/>
            <wp:docPr id="2" name="Figure 2" descr="Horizontal bar chart showing benchmark mutants and mutation-attributable detections by fault class after exact baseline differencing. Only the objective-reference class has one detected mutant; all other classes have zero detectio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ool_detection.png"/>
                    <pic:cNvPicPr/>
                  </pic:nvPicPr>
                  <pic:blipFill>
                    <a:blip r:embed="rId11"/>
                    <a:stretch>
                      <a:fillRect/>
                    </a:stretch>
                  </pic:blipFill>
                  <pic:spPr>
                    <a:xfrm>
                      <a:off x="0" y="0"/>
                      <a:ext cx="6309360" cy="3455991"/>
                    </a:xfrm>
                    <a:prstGeom prst="rect">
                      <a:avLst/>
                    </a:prstGeom>
                  </pic:spPr>
                </pic:pic>
              </a:graphicData>
            </a:graphic>
          </wp:inline>
        </w:drawing>
      </w:r>
    </w:p>
    <w:p w14:paraId="1E3A106B" w14:textId="77777777" w:rsidR="00FF69B1" w:rsidRDefault="00000000">
      <w:pPr>
        <w:spacing w:before="60" w:after="80"/>
        <w:jc w:val="center"/>
      </w:pPr>
      <w:r>
        <w:rPr>
          <w:rFonts w:ascii="Helvetica" w:eastAsia="Helvetica" w:hAnsi="Helvetica"/>
          <w:i/>
          <w:sz w:val="16"/>
        </w:rPr>
        <w:t>Figure 2. Mutation-attributable detections by fault class after exact baseline differencing.</w:t>
      </w:r>
    </w:p>
    <w:p w14:paraId="3494A5D3" w14:textId="77777777" w:rsidR="007E5B84" w:rsidRDefault="007E5B84">
      <w:pPr>
        <w:sectPr w:rsidR="007E5B84" w:rsidSect="007217D5">
          <w:type w:val="continuous"/>
          <w:pgSz w:w="11520" w:h="15660"/>
          <w:pgMar w:top="1300" w:right="740" w:bottom="1040" w:left="740" w:header="360" w:footer="360" w:gutter="0"/>
          <w:cols w:num="1" w:space="720"/>
        </w:sectPr>
      </w:pPr>
    </w:p>
    <w:p w14:paraId="45AA5808" w14:textId="77777777" w:rsidR="007E5B84" w:rsidRDefault="007E5B84">
      <w:pPr>
        <w:sectPr w:rsidR="007E5B84" w:rsidSect="007217D5">
          <w:type w:val="continuous"/>
          <w:pgSz w:w="11520" w:h="15660"/>
          <w:pgMar w:top="1300" w:right="740" w:bottom="1040" w:left="740" w:header="360" w:footer="360" w:gutter="0"/>
          <w:cols w:num="2" w:space="400"/>
        </w:sectPr>
      </w:pPr>
    </w:p>
    <w:tbl>
      <w:tblPr>
        <w:tblStyle w:val="TableGrid"/>
        <w:tblW w:w="3871" w:type="dxa"/>
        <w:tblLook w:val="04A0" w:firstRow="1" w:lastRow="0" w:firstColumn="1" w:lastColumn="0" w:noHBand="0" w:noVBand="1"/>
      </w:tblPr>
      <w:tblGrid>
        <w:gridCol w:w="1247"/>
        <w:gridCol w:w="756"/>
        <w:gridCol w:w="507"/>
        <w:gridCol w:w="1361"/>
      </w:tblGrid>
      <w:tr w:rsidR="00FF69B1" w14:paraId="4E294174" w14:textId="77777777" w:rsidTr="00520AE3">
        <w:trPr>
          <w:cantSplit/>
          <w:tblHeader/>
        </w:trPr>
        <w:tc>
          <w:tcPr>
            <w:tcW w:w="1252" w:type="dxa"/>
            <w:shd w:val="clear" w:color="auto" w:fill="D9EAF7"/>
            <w:tcMar>
              <w:top w:w="60" w:type="dxa"/>
              <w:left w:w="80" w:type="dxa"/>
              <w:bottom w:w="60" w:type="dxa"/>
              <w:right w:w="80" w:type="dxa"/>
            </w:tcMar>
            <w:vAlign w:val="center"/>
          </w:tcPr>
          <w:p w14:paraId="33001694" w14:textId="77777777" w:rsidR="00FF69B1" w:rsidRDefault="00000000">
            <w:pPr>
              <w:jc w:val="left"/>
            </w:pPr>
            <w:r>
              <w:rPr>
                <w:b/>
                <w:sz w:val="16"/>
              </w:rPr>
              <w:t>Tool</w:t>
            </w:r>
          </w:p>
        </w:tc>
        <w:tc>
          <w:tcPr>
            <w:tcW w:w="756" w:type="dxa"/>
            <w:shd w:val="clear" w:color="auto" w:fill="D9EAF7"/>
            <w:tcMar>
              <w:top w:w="60" w:type="dxa"/>
              <w:left w:w="80" w:type="dxa"/>
              <w:bottom w:w="60" w:type="dxa"/>
              <w:right w:w="80" w:type="dxa"/>
            </w:tcMar>
            <w:vAlign w:val="center"/>
          </w:tcPr>
          <w:p w14:paraId="256F0648" w14:textId="77777777" w:rsidR="00FF69B1" w:rsidRDefault="00000000">
            <w:pPr>
              <w:jc w:val="left"/>
            </w:pPr>
            <w:r>
              <w:rPr>
                <w:b/>
                <w:sz w:val="16"/>
              </w:rPr>
              <w:t>Detected</w:t>
            </w:r>
          </w:p>
        </w:tc>
        <w:tc>
          <w:tcPr>
            <w:tcW w:w="507" w:type="dxa"/>
            <w:shd w:val="clear" w:color="auto" w:fill="D9EAF7"/>
            <w:tcMar>
              <w:top w:w="60" w:type="dxa"/>
              <w:left w:w="80" w:type="dxa"/>
              <w:bottom w:w="60" w:type="dxa"/>
              <w:right w:w="80" w:type="dxa"/>
            </w:tcMar>
            <w:vAlign w:val="center"/>
          </w:tcPr>
          <w:p w14:paraId="2F50BBD1" w14:textId="77777777" w:rsidR="00FF69B1" w:rsidRDefault="00000000">
            <w:pPr>
              <w:jc w:val="left"/>
            </w:pPr>
            <w:r>
              <w:rPr>
                <w:b/>
                <w:sz w:val="16"/>
              </w:rPr>
              <w:t>Rate</w:t>
            </w:r>
          </w:p>
        </w:tc>
        <w:tc>
          <w:tcPr>
            <w:tcW w:w="1356" w:type="dxa"/>
            <w:shd w:val="clear" w:color="auto" w:fill="D9EAF7"/>
            <w:tcMar>
              <w:top w:w="60" w:type="dxa"/>
              <w:left w:w="80" w:type="dxa"/>
              <w:bottom w:w="60" w:type="dxa"/>
              <w:right w:w="80" w:type="dxa"/>
            </w:tcMar>
            <w:vAlign w:val="center"/>
          </w:tcPr>
          <w:p w14:paraId="47421B97" w14:textId="77777777" w:rsidR="00FF69B1" w:rsidRDefault="00000000">
            <w:pPr>
              <w:jc w:val="left"/>
            </w:pPr>
            <w:r>
              <w:rPr>
                <w:b/>
                <w:sz w:val="16"/>
              </w:rPr>
              <w:t>Detected mutant</w:t>
            </w:r>
          </w:p>
        </w:tc>
      </w:tr>
      <w:tr w:rsidR="00FF69B1" w14:paraId="38BF2716" w14:textId="77777777" w:rsidTr="00520AE3">
        <w:trPr>
          <w:cantSplit/>
        </w:trPr>
        <w:tc>
          <w:tcPr>
            <w:tcW w:w="1252" w:type="dxa"/>
            <w:tcMar>
              <w:top w:w="60" w:type="dxa"/>
              <w:left w:w="80" w:type="dxa"/>
              <w:bottom w:w="60" w:type="dxa"/>
              <w:right w:w="80" w:type="dxa"/>
            </w:tcMar>
            <w:vAlign w:val="center"/>
          </w:tcPr>
          <w:p w14:paraId="1FC0D190" w14:textId="77777777" w:rsidR="00FF69B1" w:rsidRDefault="00000000">
            <w:pPr>
              <w:jc w:val="left"/>
            </w:pPr>
            <w:proofErr w:type="spellStart"/>
            <w:r>
              <w:rPr>
                <w:sz w:val="16"/>
              </w:rPr>
              <w:t>actionlint</w:t>
            </w:r>
            <w:proofErr w:type="spellEnd"/>
            <w:r>
              <w:rPr>
                <w:sz w:val="16"/>
              </w:rPr>
              <w:t xml:space="preserve"> 1.7.12</w:t>
            </w:r>
          </w:p>
        </w:tc>
        <w:tc>
          <w:tcPr>
            <w:tcW w:w="756" w:type="dxa"/>
            <w:tcMar>
              <w:top w:w="60" w:type="dxa"/>
              <w:left w:w="80" w:type="dxa"/>
              <w:bottom w:w="60" w:type="dxa"/>
              <w:right w:w="80" w:type="dxa"/>
            </w:tcMar>
            <w:vAlign w:val="center"/>
          </w:tcPr>
          <w:p w14:paraId="433453A9" w14:textId="77777777" w:rsidR="00FF69B1" w:rsidRDefault="00000000">
            <w:pPr>
              <w:jc w:val="left"/>
            </w:pPr>
            <w:r>
              <w:rPr>
                <w:sz w:val="16"/>
              </w:rPr>
              <w:t>1</w:t>
            </w:r>
          </w:p>
        </w:tc>
        <w:tc>
          <w:tcPr>
            <w:tcW w:w="507" w:type="dxa"/>
            <w:tcMar>
              <w:top w:w="60" w:type="dxa"/>
              <w:left w:w="80" w:type="dxa"/>
              <w:bottom w:w="60" w:type="dxa"/>
              <w:right w:w="80" w:type="dxa"/>
            </w:tcMar>
            <w:vAlign w:val="center"/>
          </w:tcPr>
          <w:p w14:paraId="497A45C6" w14:textId="77777777" w:rsidR="00FF69B1" w:rsidRDefault="00000000">
            <w:pPr>
              <w:jc w:val="left"/>
            </w:pPr>
            <w:r>
              <w:rPr>
                <w:sz w:val="16"/>
              </w:rPr>
              <w:t>5.6%</w:t>
            </w:r>
          </w:p>
        </w:tc>
        <w:tc>
          <w:tcPr>
            <w:tcW w:w="1356" w:type="dxa"/>
            <w:tcMar>
              <w:top w:w="60" w:type="dxa"/>
              <w:left w:w="80" w:type="dxa"/>
              <w:bottom w:w="60" w:type="dxa"/>
              <w:right w:w="80" w:type="dxa"/>
            </w:tcMar>
            <w:vAlign w:val="center"/>
          </w:tcPr>
          <w:p w14:paraId="72D38C6D" w14:textId="77777777" w:rsidR="00FF69B1" w:rsidRDefault="00000000">
            <w:pPr>
              <w:jc w:val="left"/>
            </w:pPr>
            <w:r>
              <w:rPr>
                <w:sz w:val="16"/>
              </w:rPr>
              <w:t>B002_REF02_001</w:t>
            </w:r>
          </w:p>
        </w:tc>
      </w:tr>
      <w:tr w:rsidR="00FF69B1" w14:paraId="44263C2B" w14:textId="77777777" w:rsidTr="00520AE3">
        <w:trPr>
          <w:cantSplit/>
        </w:trPr>
        <w:tc>
          <w:tcPr>
            <w:tcW w:w="1252" w:type="dxa"/>
            <w:tcMar>
              <w:top w:w="60" w:type="dxa"/>
              <w:left w:w="80" w:type="dxa"/>
              <w:bottom w:w="60" w:type="dxa"/>
              <w:right w:w="80" w:type="dxa"/>
            </w:tcMar>
            <w:vAlign w:val="center"/>
          </w:tcPr>
          <w:p w14:paraId="184B49A4" w14:textId="77777777" w:rsidR="00FF69B1" w:rsidRDefault="00000000">
            <w:pPr>
              <w:jc w:val="left"/>
            </w:pPr>
            <w:proofErr w:type="spellStart"/>
            <w:r>
              <w:rPr>
                <w:sz w:val="16"/>
              </w:rPr>
              <w:t>zizmor</w:t>
            </w:r>
            <w:proofErr w:type="spellEnd"/>
            <w:r>
              <w:rPr>
                <w:sz w:val="16"/>
              </w:rPr>
              <w:t xml:space="preserve"> 1.28.0</w:t>
            </w:r>
          </w:p>
        </w:tc>
        <w:tc>
          <w:tcPr>
            <w:tcW w:w="756" w:type="dxa"/>
            <w:tcMar>
              <w:top w:w="60" w:type="dxa"/>
              <w:left w:w="80" w:type="dxa"/>
              <w:bottom w:w="60" w:type="dxa"/>
              <w:right w:w="80" w:type="dxa"/>
            </w:tcMar>
            <w:vAlign w:val="center"/>
          </w:tcPr>
          <w:p w14:paraId="1B54D978" w14:textId="77777777" w:rsidR="00FF69B1" w:rsidRDefault="00000000">
            <w:pPr>
              <w:jc w:val="left"/>
            </w:pPr>
            <w:r>
              <w:rPr>
                <w:sz w:val="16"/>
              </w:rPr>
              <w:t>0</w:t>
            </w:r>
          </w:p>
        </w:tc>
        <w:tc>
          <w:tcPr>
            <w:tcW w:w="507" w:type="dxa"/>
            <w:tcMar>
              <w:top w:w="60" w:type="dxa"/>
              <w:left w:w="80" w:type="dxa"/>
              <w:bottom w:w="60" w:type="dxa"/>
              <w:right w:w="80" w:type="dxa"/>
            </w:tcMar>
            <w:vAlign w:val="center"/>
          </w:tcPr>
          <w:p w14:paraId="21278F9C" w14:textId="77777777" w:rsidR="00FF69B1" w:rsidRDefault="00000000">
            <w:pPr>
              <w:jc w:val="left"/>
            </w:pPr>
            <w:r>
              <w:rPr>
                <w:sz w:val="16"/>
              </w:rPr>
              <w:t>0%</w:t>
            </w:r>
          </w:p>
        </w:tc>
        <w:tc>
          <w:tcPr>
            <w:tcW w:w="1356" w:type="dxa"/>
            <w:tcMar>
              <w:top w:w="60" w:type="dxa"/>
              <w:left w:w="80" w:type="dxa"/>
              <w:bottom w:w="60" w:type="dxa"/>
              <w:right w:w="80" w:type="dxa"/>
            </w:tcMar>
            <w:vAlign w:val="center"/>
          </w:tcPr>
          <w:p w14:paraId="05BD244C" w14:textId="77777777" w:rsidR="00FF69B1" w:rsidRDefault="00FD5697">
            <w:pPr>
              <w:jc w:val="left"/>
            </w:pPr>
            <w:r>
              <w:rPr>
                <w:sz w:val="16"/>
              </w:rPr>
              <w:t>-</w:t>
            </w:r>
          </w:p>
        </w:tc>
      </w:tr>
      <w:tr w:rsidR="00FF69B1" w14:paraId="565D971D" w14:textId="77777777" w:rsidTr="00520AE3">
        <w:trPr>
          <w:cantSplit/>
        </w:trPr>
        <w:tc>
          <w:tcPr>
            <w:tcW w:w="1252" w:type="dxa"/>
            <w:tcMar>
              <w:top w:w="60" w:type="dxa"/>
              <w:left w:w="80" w:type="dxa"/>
              <w:bottom w:w="60" w:type="dxa"/>
              <w:right w:w="80" w:type="dxa"/>
            </w:tcMar>
            <w:vAlign w:val="center"/>
          </w:tcPr>
          <w:p w14:paraId="09DF1F2E" w14:textId="77777777" w:rsidR="00FF69B1" w:rsidRDefault="00000000">
            <w:pPr>
              <w:jc w:val="left"/>
            </w:pPr>
            <w:r>
              <w:rPr>
                <w:sz w:val="16"/>
              </w:rPr>
              <w:t>poutine 1.1.4</w:t>
            </w:r>
          </w:p>
        </w:tc>
        <w:tc>
          <w:tcPr>
            <w:tcW w:w="756" w:type="dxa"/>
            <w:tcMar>
              <w:top w:w="60" w:type="dxa"/>
              <w:left w:w="80" w:type="dxa"/>
              <w:bottom w:w="60" w:type="dxa"/>
              <w:right w:w="80" w:type="dxa"/>
            </w:tcMar>
            <w:vAlign w:val="center"/>
          </w:tcPr>
          <w:p w14:paraId="4FBBEE38" w14:textId="77777777" w:rsidR="00FF69B1" w:rsidRDefault="00000000">
            <w:pPr>
              <w:jc w:val="left"/>
            </w:pPr>
            <w:r>
              <w:rPr>
                <w:sz w:val="16"/>
              </w:rPr>
              <w:t>0</w:t>
            </w:r>
          </w:p>
        </w:tc>
        <w:tc>
          <w:tcPr>
            <w:tcW w:w="507" w:type="dxa"/>
            <w:tcMar>
              <w:top w:w="60" w:type="dxa"/>
              <w:left w:w="80" w:type="dxa"/>
              <w:bottom w:w="60" w:type="dxa"/>
              <w:right w:w="80" w:type="dxa"/>
            </w:tcMar>
            <w:vAlign w:val="center"/>
          </w:tcPr>
          <w:p w14:paraId="77AEB142" w14:textId="77777777" w:rsidR="00FF69B1" w:rsidRDefault="00000000">
            <w:pPr>
              <w:jc w:val="left"/>
            </w:pPr>
            <w:r>
              <w:rPr>
                <w:sz w:val="16"/>
              </w:rPr>
              <w:t>0%</w:t>
            </w:r>
          </w:p>
        </w:tc>
        <w:tc>
          <w:tcPr>
            <w:tcW w:w="1356" w:type="dxa"/>
            <w:tcMar>
              <w:top w:w="60" w:type="dxa"/>
              <w:left w:w="80" w:type="dxa"/>
              <w:bottom w:w="60" w:type="dxa"/>
              <w:right w:w="80" w:type="dxa"/>
            </w:tcMar>
            <w:vAlign w:val="center"/>
          </w:tcPr>
          <w:p w14:paraId="03D325CB" w14:textId="77777777" w:rsidR="00FF69B1" w:rsidRDefault="00FD5697">
            <w:pPr>
              <w:jc w:val="left"/>
            </w:pPr>
            <w:r>
              <w:rPr>
                <w:sz w:val="16"/>
              </w:rPr>
              <w:t>-</w:t>
            </w:r>
          </w:p>
        </w:tc>
      </w:tr>
      <w:tr w:rsidR="00FF69B1" w14:paraId="0C62612C" w14:textId="77777777" w:rsidTr="00520AE3">
        <w:trPr>
          <w:cantSplit/>
        </w:trPr>
        <w:tc>
          <w:tcPr>
            <w:tcW w:w="1252" w:type="dxa"/>
            <w:tcMar>
              <w:top w:w="60" w:type="dxa"/>
              <w:left w:w="80" w:type="dxa"/>
              <w:bottom w:w="60" w:type="dxa"/>
              <w:right w:w="80" w:type="dxa"/>
            </w:tcMar>
            <w:vAlign w:val="center"/>
          </w:tcPr>
          <w:p w14:paraId="5F7B207B" w14:textId="77777777" w:rsidR="00FF69B1" w:rsidRDefault="00000000">
            <w:pPr>
              <w:jc w:val="left"/>
            </w:pPr>
            <w:r>
              <w:rPr>
                <w:sz w:val="16"/>
              </w:rPr>
              <w:t>Union</w:t>
            </w:r>
          </w:p>
        </w:tc>
        <w:tc>
          <w:tcPr>
            <w:tcW w:w="756" w:type="dxa"/>
            <w:tcMar>
              <w:top w:w="60" w:type="dxa"/>
              <w:left w:w="80" w:type="dxa"/>
              <w:bottom w:w="60" w:type="dxa"/>
              <w:right w:w="80" w:type="dxa"/>
            </w:tcMar>
            <w:vAlign w:val="center"/>
          </w:tcPr>
          <w:p w14:paraId="1199EC92" w14:textId="77777777" w:rsidR="00FF69B1" w:rsidRDefault="00000000">
            <w:pPr>
              <w:jc w:val="left"/>
            </w:pPr>
            <w:r>
              <w:rPr>
                <w:sz w:val="16"/>
              </w:rPr>
              <w:t>1</w:t>
            </w:r>
          </w:p>
        </w:tc>
        <w:tc>
          <w:tcPr>
            <w:tcW w:w="507" w:type="dxa"/>
            <w:tcMar>
              <w:top w:w="60" w:type="dxa"/>
              <w:left w:w="80" w:type="dxa"/>
              <w:bottom w:w="60" w:type="dxa"/>
              <w:right w:w="80" w:type="dxa"/>
            </w:tcMar>
            <w:vAlign w:val="center"/>
          </w:tcPr>
          <w:p w14:paraId="5915675E" w14:textId="77777777" w:rsidR="00FF69B1" w:rsidRDefault="00000000">
            <w:pPr>
              <w:jc w:val="left"/>
            </w:pPr>
            <w:r>
              <w:rPr>
                <w:sz w:val="16"/>
              </w:rPr>
              <w:t>5.6%</w:t>
            </w:r>
          </w:p>
        </w:tc>
        <w:tc>
          <w:tcPr>
            <w:tcW w:w="1356" w:type="dxa"/>
            <w:tcMar>
              <w:top w:w="60" w:type="dxa"/>
              <w:left w:w="80" w:type="dxa"/>
              <w:bottom w:w="60" w:type="dxa"/>
              <w:right w:w="80" w:type="dxa"/>
            </w:tcMar>
            <w:vAlign w:val="center"/>
          </w:tcPr>
          <w:p w14:paraId="252B622F" w14:textId="77777777" w:rsidR="00FF69B1" w:rsidRDefault="00000000">
            <w:pPr>
              <w:jc w:val="left"/>
            </w:pPr>
            <w:r>
              <w:rPr>
                <w:sz w:val="16"/>
              </w:rPr>
              <w:t>B002_REF02_001</w:t>
            </w:r>
          </w:p>
        </w:tc>
      </w:tr>
    </w:tbl>
    <w:p w14:paraId="35367C06" w14:textId="77777777" w:rsidR="007E5B84" w:rsidRDefault="007E5B84">
      <w:pPr>
        <w:sectPr w:rsidR="007E5B84" w:rsidSect="007217D5">
          <w:type w:val="continuous"/>
          <w:pgSz w:w="11520" w:h="15660"/>
          <w:pgMar w:top="1300" w:right="740" w:bottom="1040" w:left="740" w:header="360" w:footer="360" w:gutter="0"/>
          <w:cols w:num="1" w:space="720"/>
        </w:sectPr>
      </w:pPr>
    </w:p>
    <w:p w14:paraId="7CC625AB" w14:textId="77777777" w:rsidR="00FF69B1" w:rsidRDefault="00000000" w:rsidP="00520AE3">
      <w:pPr>
        <w:spacing w:before="60" w:after="80"/>
      </w:pPr>
      <w:r>
        <w:t>Table 5. Existing-tool detection results.</w:t>
      </w:r>
    </w:p>
    <w:tbl>
      <w:tblPr>
        <w:tblStyle w:val="TableGrid"/>
        <w:tblW w:type="dxa" w:w="4550"/>
        <w:tblLayout w:type="fixed"/>
        <w:tblLook w:firstColumn="1" w:firstRow="1" w:lastColumn="0" w:lastRow="0" w:noHBand="0" w:noVBand="1" w:val="04A0"/>
      </w:tblPr>
      <w:tblGrid>
        <w:gridCol w:w="2600"/>
        <w:gridCol w:w="800"/>
        <w:gridCol w:w="1150"/>
      </w:tblGrid>
      <w:tr>
        <w:tc>
          <w:tcPr>
            <w:tcW w:type="dxa" w:w="2600"/>
            <w:shd w:fill="D9E2F3"/>
          </w:tcPr>
          <w:p>
            <w:pPr>
              <w:spacing w:after="0"/>
            </w:pPr>
            <w:r>
              <w:rPr>
                <w:rFonts w:ascii="Times New Roman" w:hAnsi="Times New Roman"/>
                <w:b/>
                <w:sz w:val="11"/>
              </w:rPr>
              <w:t>Fault class</w:t>
            </w:r>
          </w:p>
        </w:tc>
        <w:tc>
          <w:tcPr>
            <w:tcW w:type="dxa" w:w="800"/>
            <w:shd w:fill="D9E2F3"/>
          </w:tcPr>
          <w:p>
            <w:pPr>
              <w:spacing w:after="0"/>
            </w:pPr>
            <w:r>
              <w:rPr>
                <w:rFonts w:ascii="Times New Roman" w:hAnsi="Times New Roman"/>
                <w:b/>
                <w:sz w:val="11"/>
              </w:rPr>
              <w:t>Mutants</w:t>
            </w:r>
          </w:p>
        </w:tc>
        <w:tc>
          <w:tcPr>
            <w:tcW w:type="dxa" w:w="1150"/>
            <w:shd w:fill="D9E2F3"/>
          </w:tcPr>
          <w:p>
            <w:pPr>
              <w:spacing w:after="0"/>
            </w:pPr>
            <w:r>
              <w:rPr>
                <w:rFonts w:ascii="Times New Roman" w:hAnsi="Times New Roman"/>
                <w:b/>
                <w:sz w:val="11"/>
              </w:rPr>
              <w:t>Union detected</w:t>
            </w:r>
          </w:p>
        </w:tc>
      </w:tr>
      <w:tr>
        <w:tc>
          <w:tcPr>
            <w:tcW w:type="dxa" w:w="2600"/>
          </w:tcPr>
          <w:p>
            <w:pPr>
              <w:spacing w:after="0"/>
            </w:pPr>
            <w:r>
              <w:rPr>
                <w:rFonts w:ascii="Times New Roman" w:hAnsi="Times New Roman"/>
                <w:sz w:val="11"/>
              </w:rPr>
              <w:t>artifact_dataflow</w:t>
            </w:r>
          </w:p>
        </w:tc>
        <w:tc>
          <w:tcPr>
            <w:tcW w:type="dxa" w:w="800"/>
          </w:tcPr>
          <w:p>
            <w:pPr>
              <w:spacing w:after="0"/>
            </w:pPr>
            <w:r>
              <w:rPr>
                <w:rFonts w:ascii="Times New Roman" w:hAnsi="Times New Roman"/>
                <w:sz w:val="11"/>
              </w:rPr>
              <w:t>3</w:t>
            </w:r>
          </w:p>
        </w:tc>
        <w:tc>
          <w:tcPr>
            <w:tcW w:type="dxa" w:w="1150"/>
          </w:tcPr>
          <w:p>
            <w:pPr>
              <w:spacing w:after="0"/>
            </w:pPr>
            <w:r>
              <w:rPr>
                <w:rFonts w:ascii="Times New Roman" w:hAnsi="Times New Roman"/>
                <w:sz w:val="11"/>
              </w:rPr>
              <w:t>0/3</w:t>
            </w:r>
          </w:p>
        </w:tc>
      </w:tr>
      <w:tr>
        <w:tc>
          <w:tcPr>
            <w:tcW w:type="dxa" w:w="2600"/>
          </w:tcPr>
          <w:p>
            <w:pPr>
              <w:spacing w:after="0"/>
            </w:pPr>
            <w:r>
              <w:rPr>
                <w:rFonts w:ascii="Times New Roman" w:hAnsi="Times New Roman"/>
                <w:sz w:val="11"/>
              </w:rPr>
              <w:t>concurrency</w:t>
            </w:r>
          </w:p>
        </w:tc>
        <w:tc>
          <w:tcPr>
            <w:tcW w:type="dxa" w:w="800"/>
          </w:tcPr>
          <w:p>
            <w:pPr>
              <w:spacing w:after="0"/>
            </w:pPr>
            <w:r>
              <w:rPr>
                <w:rFonts w:ascii="Times New Roman" w:hAnsi="Times New Roman"/>
                <w:sz w:val="11"/>
              </w:rPr>
              <w:t>2</w:t>
            </w:r>
          </w:p>
        </w:tc>
        <w:tc>
          <w:tcPr>
            <w:tcW w:type="dxa" w:w="1150"/>
          </w:tcPr>
          <w:p>
            <w:pPr>
              <w:spacing w:after="0"/>
            </w:pPr>
            <w:r>
              <w:rPr>
                <w:rFonts w:ascii="Times New Roman" w:hAnsi="Times New Roman"/>
                <w:sz w:val="11"/>
              </w:rPr>
              <w:t>0/2</w:t>
            </w:r>
          </w:p>
        </w:tc>
      </w:tr>
      <w:tr>
        <w:tc>
          <w:tcPr>
            <w:tcW w:type="dxa" w:w="2600"/>
          </w:tcPr>
          <w:p>
            <w:pPr>
              <w:spacing w:after="0"/>
            </w:pPr>
            <w:r>
              <w:rPr>
                <w:rFonts w:ascii="Times New Roman" w:hAnsi="Times New Roman"/>
                <w:sz w:val="11"/>
              </w:rPr>
              <w:t>coverage_intent</w:t>
            </w:r>
          </w:p>
        </w:tc>
        <w:tc>
          <w:tcPr>
            <w:tcW w:type="dxa" w:w="800"/>
          </w:tcPr>
          <w:p>
            <w:pPr>
              <w:spacing w:after="0"/>
            </w:pPr>
            <w:r>
              <w:rPr>
                <w:rFonts w:ascii="Times New Roman" w:hAnsi="Times New Roman"/>
                <w:sz w:val="11"/>
              </w:rPr>
              <w:t>3</w:t>
            </w:r>
          </w:p>
        </w:tc>
        <w:tc>
          <w:tcPr>
            <w:tcW w:type="dxa" w:w="1150"/>
          </w:tcPr>
          <w:p>
            <w:pPr>
              <w:spacing w:after="0"/>
            </w:pPr>
            <w:r>
              <w:rPr>
                <w:rFonts w:ascii="Times New Roman" w:hAnsi="Times New Roman"/>
                <w:sz w:val="11"/>
              </w:rPr>
              <w:t>0/3</w:t>
            </w:r>
          </w:p>
        </w:tc>
      </w:tr>
      <w:tr>
        <w:tc>
          <w:tcPr>
            <w:tcW w:type="dxa" w:w="2600"/>
          </w:tcPr>
          <w:p>
            <w:pPr>
              <w:spacing w:after="0"/>
            </w:pPr>
            <w:r>
              <w:rPr>
                <w:rFonts w:ascii="Times New Roman" w:hAnsi="Times New Roman"/>
                <w:sz w:val="11"/>
              </w:rPr>
              <w:t>dependency</w:t>
            </w:r>
          </w:p>
        </w:tc>
        <w:tc>
          <w:tcPr>
            <w:tcW w:type="dxa" w:w="800"/>
          </w:tcPr>
          <w:p>
            <w:pPr>
              <w:spacing w:after="0"/>
            </w:pPr>
            <w:r>
              <w:rPr>
                <w:rFonts w:ascii="Times New Roman" w:hAnsi="Times New Roman"/>
                <w:sz w:val="11"/>
              </w:rPr>
              <w:t>1</w:t>
            </w:r>
          </w:p>
        </w:tc>
        <w:tc>
          <w:tcPr>
            <w:tcW w:type="dxa" w:w="1150"/>
          </w:tcPr>
          <w:p>
            <w:pPr>
              <w:spacing w:after="0"/>
            </w:pPr>
            <w:r>
              <w:rPr>
                <w:rFonts w:ascii="Times New Roman" w:hAnsi="Times New Roman"/>
                <w:sz w:val="11"/>
              </w:rPr>
              <w:t>0/1</w:t>
            </w:r>
          </w:p>
        </w:tc>
      </w:tr>
      <w:tr>
        <w:tc>
          <w:tcPr>
            <w:tcW w:type="dxa" w:w="2600"/>
          </w:tcPr>
          <w:p>
            <w:pPr>
              <w:spacing w:after="0"/>
            </w:pPr>
            <w:r>
              <w:rPr>
                <w:rFonts w:ascii="Times New Roman" w:hAnsi="Times New Roman"/>
                <w:sz w:val="11"/>
              </w:rPr>
              <w:t>failure_handling</w:t>
            </w:r>
          </w:p>
        </w:tc>
        <w:tc>
          <w:tcPr>
            <w:tcW w:type="dxa" w:w="800"/>
          </w:tcPr>
          <w:p>
            <w:pPr>
              <w:spacing w:after="0"/>
            </w:pPr>
            <w:r>
              <w:rPr>
                <w:rFonts w:ascii="Times New Roman" w:hAnsi="Times New Roman"/>
                <w:sz w:val="11"/>
              </w:rPr>
              <w:t>6</w:t>
            </w:r>
          </w:p>
        </w:tc>
        <w:tc>
          <w:tcPr>
            <w:tcW w:type="dxa" w:w="1150"/>
          </w:tcPr>
          <w:p>
            <w:pPr>
              <w:spacing w:after="0"/>
            </w:pPr>
            <w:r>
              <w:rPr>
                <w:rFonts w:ascii="Times New Roman" w:hAnsi="Times New Roman"/>
                <w:sz w:val="11"/>
              </w:rPr>
              <w:t>0/6</w:t>
            </w:r>
          </w:p>
        </w:tc>
      </w:tr>
      <w:tr>
        <w:tc>
          <w:tcPr>
            <w:tcW w:type="dxa" w:w="2600"/>
          </w:tcPr>
          <w:p>
            <w:pPr>
              <w:spacing w:after="0"/>
            </w:pPr>
            <w:r>
              <w:rPr>
                <w:rFonts w:ascii="Times New Roman" w:hAnsi="Times New Roman"/>
                <w:sz w:val="11"/>
              </w:rPr>
              <w:t>undefined_context_reference</w:t>
            </w:r>
          </w:p>
        </w:tc>
        <w:tc>
          <w:tcPr>
            <w:tcW w:type="dxa" w:w="800"/>
          </w:tcPr>
          <w:p>
            <w:pPr>
              <w:spacing w:after="0"/>
            </w:pPr>
            <w:r>
              <w:rPr>
                <w:rFonts w:ascii="Times New Roman" w:hAnsi="Times New Roman"/>
                <w:sz w:val="11"/>
              </w:rPr>
              <w:t>1</w:t>
            </w:r>
          </w:p>
        </w:tc>
        <w:tc>
          <w:tcPr>
            <w:tcW w:type="dxa" w:w="1150"/>
          </w:tcPr>
          <w:p>
            <w:pPr>
              <w:spacing w:after="0"/>
            </w:pPr>
            <w:r>
              <w:rPr>
                <w:rFonts w:ascii="Times New Roman" w:hAnsi="Times New Roman"/>
                <w:sz w:val="11"/>
              </w:rPr>
              <w:t>1/1</w:t>
            </w:r>
          </w:p>
        </w:tc>
      </w:tr>
      <w:tr>
        <w:tc>
          <w:tcPr>
            <w:tcW w:type="dxa" w:w="2600"/>
          </w:tcPr>
          <w:p>
            <w:pPr>
              <w:spacing w:after="0"/>
            </w:pPr>
            <w:r>
              <w:rPr>
                <w:rFonts w:ascii="Times New Roman" w:hAnsi="Times New Roman"/>
                <w:sz w:val="11"/>
              </w:rPr>
              <w:t>trigger_intent</w:t>
            </w:r>
          </w:p>
        </w:tc>
        <w:tc>
          <w:tcPr>
            <w:tcW w:type="dxa" w:w="800"/>
          </w:tcPr>
          <w:p>
            <w:pPr>
              <w:spacing w:after="0"/>
            </w:pPr>
            <w:r>
              <w:rPr>
                <w:rFonts w:ascii="Times New Roman" w:hAnsi="Times New Roman"/>
                <w:sz w:val="11"/>
              </w:rPr>
              <w:t>2</w:t>
            </w:r>
          </w:p>
        </w:tc>
        <w:tc>
          <w:tcPr>
            <w:tcW w:type="dxa" w:w="1150"/>
          </w:tcPr>
          <w:p>
            <w:pPr>
              <w:spacing w:after="0"/>
            </w:pPr>
            <w:r>
              <w:rPr>
                <w:rFonts w:ascii="Times New Roman" w:hAnsi="Times New Roman"/>
                <w:sz w:val="11"/>
              </w:rPr>
              <w:t>0/2</w:t>
            </w:r>
          </w:p>
        </w:tc>
      </w:tr>
      <w:tr>
        <w:tc>
          <w:tcPr>
            <w:tcW w:type="dxa" w:w="2600"/>
          </w:tcPr>
          <w:p>
            <w:pPr>
              <w:spacing w:after="0"/>
            </w:pPr>
            <w:r>
              <w:rPr>
                <w:rFonts w:ascii="Times New Roman" w:hAnsi="Times New Roman"/>
                <w:sz w:val="11"/>
              </w:rPr>
              <w:t>Total</w:t>
            </w:r>
          </w:p>
        </w:tc>
        <w:tc>
          <w:tcPr>
            <w:tcW w:type="dxa" w:w="800"/>
          </w:tcPr>
          <w:p>
            <w:pPr>
              <w:spacing w:after="0"/>
            </w:pPr>
            <w:r>
              <w:rPr>
                <w:rFonts w:ascii="Times New Roman" w:hAnsi="Times New Roman"/>
                <w:sz w:val="11"/>
              </w:rPr>
              <w:t>18</w:t>
            </w:r>
          </w:p>
        </w:tc>
        <w:tc>
          <w:tcPr>
            <w:tcW w:type="dxa" w:w="1150"/>
          </w:tcPr>
          <w:p>
            <w:pPr>
              <w:spacing w:after="0"/>
            </w:pPr>
            <w:r>
              <w:rPr>
                <w:rFonts w:ascii="Times New Roman" w:hAnsi="Times New Roman"/>
                <w:sz w:val="11"/>
              </w:rPr>
              <w:t>1/18</w:t>
            </w:r>
          </w:p>
        </w:tc>
      </w:tr>
    </w:tbl>
    <w:p>
      <w:r>
        <w:t>Table 6. Mutation-attributable detection by fault class after exact baseline differencing.</w:t>
      </w:r>
    </w:p>
    <w:tbl>
      <w:tblPr>
        <w:tblStyle w:val="TableGrid"/>
        <w:tblW w:type="dxa" w:w="4550"/>
        <w:tblLayout w:type="fixed"/>
        <w:tblLook w:firstColumn="1" w:firstRow="1" w:lastColumn="0" w:lastRow="0" w:noHBand="0" w:noVBand="1" w:val="04A0"/>
      </w:tblPr>
      <w:tblGrid>
        <w:gridCol w:w="2200"/>
        <w:gridCol w:w="850"/>
        <w:gridCol w:w="1500"/>
      </w:tblGrid>
      <w:tr>
        <w:tc>
          <w:tcPr>
            <w:tcW w:type="dxa" w:w="2200"/>
            <w:shd w:fill="D9E2F3"/>
          </w:tcPr>
          <w:p>
            <w:pPr>
              <w:spacing w:after="0"/>
            </w:pPr>
            <w:r>
              <w:rPr>
                <w:rFonts w:ascii="Times New Roman" w:hAnsi="Times New Roman"/>
                <w:b/>
                <w:sz w:val="11"/>
              </w:rPr>
              <w:t>Oracle basis</w:t>
            </w:r>
          </w:p>
        </w:tc>
        <w:tc>
          <w:tcPr>
            <w:tcW w:type="dxa" w:w="850"/>
            <w:shd w:fill="D9E2F3"/>
          </w:tcPr>
          <w:p>
            <w:pPr>
              <w:spacing w:after="0"/>
            </w:pPr>
            <w:r>
              <w:rPr>
                <w:rFonts w:ascii="Times New Roman" w:hAnsi="Times New Roman"/>
                <w:b/>
                <w:sz w:val="11"/>
              </w:rPr>
              <w:t>Mutants</w:t>
            </w:r>
          </w:p>
        </w:tc>
        <w:tc>
          <w:tcPr>
            <w:tcW w:type="dxa" w:w="1500"/>
            <w:shd w:fill="D9E2F3"/>
          </w:tcPr>
          <w:p>
            <w:pPr>
              <w:spacing w:after="0"/>
            </w:pPr>
            <w:r>
              <w:rPr>
                <w:rFonts w:ascii="Times New Roman" w:hAnsi="Times New Roman"/>
                <w:b/>
                <w:sz w:val="11"/>
              </w:rPr>
              <w:t>Detected</w:t>
            </w:r>
          </w:p>
        </w:tc>
      </w:tr>
      <w:tr>
        <w:tc>
          <w:tcPr>
            <w:tcW w:type="dxa" w:w="2200"/>
          </w:tcPr>
          <w:p>
            <w:pPr>
              <w:spacing w:after="0"/>
            </w:pPr>
            <w:r>
              <w:rPr>
                <w:rFonts w:ascii="Times New Roman" w:hAnsi="Times New Roman"/>
                <w:sz w:val="11"/>
              </w:rPr>
              <w:t>Platform-semantic</w:t>
            </w:r>
          </w:p>
        </w:tc>
        <w:tc>
          <w:tcPr>
            <w:tcW w:type="dxa" w:w="850"/>
          </w:tcPr>
          <w:p>
            <w:pPr>
              <w:spacing w:after="0"/>
            </w:pPr>
            <w:r>
              <w:rPr>
                <w:rFonts w:ascii="Times New Roman" w:hAnsi="Times New Roman"/>
                <w:sz w:val="11"/>
              </w:rPr>
              <w:t>5</w:t>
            </w:r>
          </w:p>
        </w:tc>
        <w:tc>
          <w:tcPr>
            <w:tcW w:type="dxa" w:w="1500"/>
          </w:tcPr>
          <w:p>
            <w:pPr>
              <w:spacing w:after="0"/>
            </w:pPr>
            <w:r>
              <w:rPr>
                <w:rFonts w:ascii="Times New Roman" w:hAnsi="Times New Roman"/>
                <w:sz w:val="11"/>
              </w:rPr>
              <w:t>1/5</w:t>
            </w:r>
          </w:p>
        </w:tc>
      </w:tr>
      <w:tr>
        <w:tc>
          <w:tcPr>
            <w:tcW w:type="dxa" w:w="2200"/>
          </w:tcPr>
          <w:p>
            <w:pPr>
              <w:spacing w:after="0"/>
            </w:pPr>
            <w:r>
              <w:rPr>
                <w:rFonts w:ascii="Times New Roman" w:hAnsi="Times New Roman"/>
                <w:sz w:val="11"/>
              </w:rPr>
              <w:t>Declared-intent</w:t>
            </w:r>
          </w:p>
        </w:tc>
        <w:tc>
          <w:tcPr>
            <w:tcW w:type="dxa" w:w="850"/>
          </w:tcPr>
          <w:p>
            <w:pPr>
              <w:spacing w:after="0"/>
            </w:pPr>
            <w:r>
              <w:rPr>
                <w:rFonts w:ascii="Times New Roman" w:hAnsi="Times New Roman"/>
                <w:sz w:val="11"/>
              </w:rPr>
              <w:t>8</w:t>
            </w:r>
          </w:p>
        </w:tc>
        <w:tc>
          <w:tcPr>
            <w:tcW w:type="dxa" w:w="1500"/>
          </w:tcPr>
          <w:p>
            <w:pPr>
              <w:spacing w:after="0"/>
            </w:pPr>
            <w:r>
              <w:rPr>
                <w:rFonts w:ascii="Times New Roman" w:hAnsi="Times New Roman"/>
                <w:sz w:val="11"/>
              </w:rPr>
              <w:t>0/8</w:t>
            </w:r>
          </w:p>
        </w:tc>
      </w:tr>
      <w:tr>
        <w:tc>
          <w:tcPr>
            <w:tcW w:type="dxa" w:w="2200"/>
          </w:tcPr>
          <w:p>
            <w:pPr>
              <w:spacing w:after="0"/>
            </w:pPr>
            <w:r>
              <w:rPr>
                <w:rFonts w:ascii="Times New Roman" w:hAnsi="Times New Roman"/>
                <w:sz w:val="11"/>
              </w:rPr>
              <w:t>Mixed</w:t>
            </w:r>
          </w:p>
        </w:tc>
        <w:tc>
          <w:tcPr>
            <w:tcW w:type="dxa" w:w="850"/>
          </w:tcPr>
          <w:p>
            <w:pPr>
              <w:spacing w:after="0"/>
            </w:pPr>
            <w:r>
              <w:rPr>
                <w:rFonts w:ascii="Times New Roman" w:hAnsi="Times New Roman"/>
                <w:sz w:val="11"/>
              </w:rPr>
              <w:t>5</w:t>
            </w:r>
          </w:p>
        </w:tc>
        <w:tc>
          <w:tcPr>
            <w:tcW w:type="dxa" w:w="1500"/>
          </w:tcPr>
          <w:p>
            <w:pPr>
              <w:spacing w:after="0"/>
            </w:pPr>
            <w:r>
              <w:rPr>
                <w:rFonts w:ascii="Times New Roman" w:hAnsi="Times New Roman"/>
                <w:sz w:val="11"/>
              </w:rPr>
              <w:t>0/5</w:t>
            </w:r>
          </w:p>
        </w:tc>
      </w:tr>
      <w:tr>
        <w:tc>
          <w:tcPr>
            <w:tcW w:type="dxa" w:w="2200"/>
          </w:tcPr>
          <w:p>
            <w:pPr>
              <w:spacing w:after="0"/>
            </w:pPr>
            <w:r>
              <w:rPr>
                <w:rFonts w:ascii="Times New Roman" w:hAnsi="Times New Roman"/>
                <w:sz w:val="11"/>
              </w:rPr>
              <w:t>Total</w:t>
            </w:r>
          </w:p>
        </w:tc>
        <w:tc>
          <w:tcPr>
            <w:tcW w:type="dxa" w:w="850"/>
          </w:tcPr>
          <w:p>
            <w:pPr>
              <w:spacing w:after="0"/>
            </w:pPr>
            <w:r>
              <w:rPr>
                <w:rFonts w:ascii="Times New Roman" w:hAnsi="Times New Roman"/>
                <w:sz w:val="11"/>
              </w:rPr>
              <w:t>18</w:t>
            </w:r>
          </w:p>
        </w:tc>
        <w:tc>
          <w:tcPr>
            <w:tcW w:type="dxa" w:w="1500"/>
          </w:tcPr>
          <w:p>
            <w:pPr>
              <w:spacing w:after="0"/>
            </w:pPr>
            <w:r>
              <w:rPr>
                <w:rFonts w:ascii="Times New Roman" w:hAnsi="Times New Roman"/>
                <w:sz w:val="11"/>
              </w:rPr>
              <w:t>1/18</w:t>
            </w:r>
          </w:p>
        </w:tc>
      </w:tr>
    </w:tbl>
    <w:p>
      <w:r>
        <w:t>Table 7. Existing-tool detection by oracle basis.</w:t>
      </w:r>
    </w:p>
    <w:p>
      <w:r>
        <w:t>Oracle-basis analysis separates workflow-inferable relationships from cases that depend on explicit intent. Five mutants were classified as platform-semantic, eight as declared-intent, and five as mixed. The sole existing-tool detection was platform-semantic. Thus the evaluated analyzers detected 1/5 platform-semantic cases, 0/8 declared-intent cases, and 0/5 mixed cases. These subgroup counts are descriptive only; in particular, the declared-intent result should not be interpreted as evidence that the tools failed to infer requirements that were not provided as analyzer input.</w:t>
      </w:r>
    </w:p>
    <w:p w14:paraId="103589EF" w14:textId="77777777" w:rsidR="00FF69B1" w:rsidRDefault="00000000" w:rsidP="0034461A">
      <w:r>
        <w:t>Consistent with the fault-class result in RQ1, detection was confined to the single D0 local-reference mutant. The benchmark contained one D0, three D1, six D2, six D3, and two D4 mutants. None of the D1-D4 mutants was detected. The analysis capabilities assigned to the missed mutants included matrix-intent comparison, artifact and data-flow reasoning, failure/control propagation, trigger-intent reasoning, and cross-workflow concurrency analysis. Twelve mutants were classified with Yes or Conditional silent-success behavior, including omitted executions, false workflow success, missing diagnostics, and interference that may appear only under specific run orderings.</w:t>
      </w:r>
    </w:p>
    <w:p w14:paraId="70F94F84" w14:textId="77777777" w:rsidR="0034461A" w:rsidRDefault="0034461A" w:rsidP="0034461A"/>
    <w:p w14:paraId="276C75EA" w14:textId="77777777" w:rsidR="007E5B84" w:rsidRDefault="007E5B84">
      <w:pPr>
        <w:sectPr w:rsidR="007E5B84" w:rsidSect="007217D5">
          <w:type w:val="continuous"/>
          <w:pgSz w:w="11520" w:h="15660"/>
          <w:pgMar w:top="1300" w:right="740" w:bottom="1040" w:left="740" w:header="360" w:footer="360" w:gutter="0"/>
          <w:cols w:num="2" w:space="400"/>
        </w:sectPr>
      </w:pPr>
    </w:p>
    <w:tbl>
      <w:tblPr>
        <w:tblStyle w:val="TableGrid"/>
        <w:tblW w:w="4585" w:type="dxa"/>
        <w:tblLook w:val="04A0" w:firstRow="1" w:lastRow="0" w:firstColumn="1" w:lastColumn="0" w:noHBand="0" w:noVBand="1"/>
      </w:tblPr>
      <w:tblGrid>
        <w:gridCol w:w="624"/>
        <w:gridCol w:w="738"/>
        <w:gridCol w:w="756"/>
        <w:gridCol w:w="2467"/>
      </w:tblGrid>
      <w:tr w:rsidR="00FF69B1" w14:paraId="1F15E4F5" w14:textId="77777777" w:rsidTr="00520AE3">
        <w:trPr>
          <w:cantSplit/>
          <w:tblHeader/>
        </w:trPr>
        <w:tc>
          <w:tcPr>
            <w:tcW w:w="624" w:type="dxa"/>
            <w:shd w:val="clear" w:color="auto" w:fill="D9EAF7"/>
            <w:tcMar>
              <w:top w:w="60" w:type="dxa"/>
              <w:left w:w="80" w:type="dxa"/>
              <w:bottom w:w="60" w:type="dxa"/>
              <w:right w:w="80" w:type="dxa"/>
            </w:tcMar>
            <w:vAlign w:val="center"/>
          </w:tcPr>
          <w:p w14:paraId="06F44856" w14:textId="77777777" w:rsidR="00FF69B1" w:rsidRDefault="00000000">
            <w:pPr>
              <w:jc w:val="left"/>
            </w:pPr>
            <w:r>
              <w:rPr>
                <w:b/>
                <w:sz w:val="16"/>
              </w:rPr>
              <w:t>Depth</w:t>
            </w:r>
          </w:p>
        </w:tc>
        <w:tc>
          <w:tcPr>
            <w:tcW w:w="738" w:type="dxa"/>
            <w:shd w:val="clear" w:color="auto" w:fill="D9EAF7"/>
            <w:tcMar>
              <w:top w:w="60" w:type="dxa"/>
              <w:left w:w="80" w:type="dxa"/>
              <w:bottom w:w="60" w:type="dxa"/>
              <w:right w:w="80" w:type="dxa"/>
            </w:tcMar>
            <w:vAlign w:val="center"/>
          </w:tcPr>
          <w:p w14:paraId="6487B2CD" w14:textId="77777777" w:rsidR="00FF69B1" w:rsidRDefault="00000000">
            <w:pPr>
              <w:jc w:val="left"/>
            </w:pPr>
            <w:r>
              <w:rPr>
                <w:b/>
                <w:sz w:val="16"/>
              </w:rPr>
              <w:t>Mutants</w:t>
            </w:r>
          </w:p>
        </w:tc>
        <w:tc>
          <w:tcPr>
            <w:tcW w:w="756" w:type="dxa"/>
            <w:shd w:val="clear" w:color="auto" w:fill="D9EAF7"/>
            <w:tcMar>
              <w:top w:w="60" w:type="dxa"/>
              <w:left w:w="80" w:type="dxa"/>
              <w:bottom w:w="60" w:type="dxa"/>
              <w:right w:w="80" w:type="dxa"/>
            </w:tcMar>
            <w:vAlign w:val="center"/>
          </w:tcPr>
          <w:p w14:paraId="44E35F14" w14:textId="77777777" w:rsidR="00FF69B1" w:rsidRDefault="00000000">
            <w:pPr>
              <w:jc w:val="left"/>
            </w:pPr>
            <w:r>
              <w:rPr>
                <w:b/>
                <w:sz w:val="16"/>
              </w:rPr>
              <w:t>Detected</w:t>
            </w:r>
          </w:p>
        </w:tc>
        <w:tc>
          <w:tcPr>
            <w:tcW w:w="2467" w:type="dxa"/>
            <w:shd w:val="clear" w:color="auto" w:fill="D9EAF7"/>
            <w:tcMar>
              <w:top w:w="60" w:type="dxa"/>
              <w:left w:w="80" w:type="dxa"/>
              <w:bottom w:w="60" w:type="dxa"/>
              <w:right w:w="80" w:type="dxa"/>
            </w:tcMar>
            <w:vAlign w:val="center"/>
          </w:tcPr>
          <w:p w14:paraId="61C35EBA" w14:textId="77777777" w:rsidR="00FF69B1" w:rsidRDefault="00000000">
            <w:pPr>
              <w:jc w:val="left"/>
            </w:pPr>
            <w:r>
              <w:rPr>
                <w:b/>
                <w:sz w:val="16"/>
              </w:rPr>
              <w:t>Observed impact scopes</w:t>
            </w:r>
          </w:p>
        </w:tc>
      </w:tr>
      <w:tr w:rsidR="00FF69B1" w14:paraId="249A47CB" w14:textId="77777777" w:rsidTr="00520AE3">
        <w:trPr>
          <w:cantSplit/>
        </w:trPr>
        <w:tc>
          <w:tcPr>
            <w:tcW w:w="624" w:type="dxa"/>
            <w:tcMar>
              <w:top w:w="60" w:type="dxa"/>
              <w:left w:w="80" w:type="dxa"/>
              <w:bottom w:w="60" w:type="dxa"/>
              <w:right w:w="80" w:type="dxa"/>
            </w:tcMar>
            <w:vAlign w:val="center"/>
          </w:tcPr>
          <w:p w14:paraId="25FD4740" w14:textId="77777777" w:rsidR="00FF69B1" w:rsidRDefault="00000000">
            <w:pPr>
              <w:jc w:val="left"/>
            </w:pPr>
            <w:r>
              <w:rPr>
                <w:sz w:val="16"/>
              </w:rPr>
              <w:t>D0</w:t>
            </w:r>
          </w:p>
        </w:tc>
        <w:tc>
          <w:tcPr>
            <w:tcW w:w="738" w:type="dxa"/>
            <w:tcMar>
              <w:top w:w="60" w:type="dxa"/>
              <w:left w:w="80" w:type="dxa"/>
              <w:bottom w:w="60" w:type="dxa"/>
              <w:right w:w="80" w:type="dxa"/>
            </w:tcMar>
            <w:vAlign w:val="center"/>
          </w:tcPr>
          <w:p w14:paraId="00A3173A" w14:textId="77777777" w:rsidR="00FF69B1" w:rsidRDefault="00000000">
            <w:pPr>
              <w:jc w:val="left"/>
            </w:pPr>
            <w:r>
              <w:rPr>
                <w:sz w:val="16"/>
              </w:rPr>
              <w:t>1</w:t>
            </w:r>
          </w:p>
        </w:tc>
        <w:tc>
          <w:tcPr>
            <w:tcW w:w="756" w:type="dxa"/>
            <w:tcMar>
              <w:top w:w="60" w:type="dxa"/>
              <w:left w:w="80" w:type="dxa"/>
              <w:bottom w:w="60" w:type="dxa"/>
              <w:right w:w="80" w:type="dxa"/>
            </w:tcMar>
            <w:vAlign w:val="center"/>
          </w:tcPr>
          <w:p w14:paraId="0BBECFA9" w14:textId="77777777" w:rsidR="00FF69B1" w:rsidRDefault="00000000">
            <w:pPr>
              <w:jc w:val="left"/>
            </w:pPr>
            <w:r>
              <w:rPr>
                <w:sz w:val="16"/>
              </w:rPr>
              <w:t>1</w:t>
            </w:r>
          </w:p>
        </w:tc>
        <w:tc>
          <w:tcPr>
            <w:tcW w:w="2467" w:type="dxa"/>
            <w:tcMar>
              <w:top w:w="60" w:type="dxa"/>
              <w:left w:w="80" w:type="dxa"/>
              <w:bottom w:w="60" w:type="dxa"/>
              <w:right w:w="80" w:type="dxa"/>
            </w:tcMar>
            <w:vAlign w:val="center"/>
          </w:tcPr>
          <w:p w14:paraId="323133BA" w14:textId="77777777" w:rsidR="00FF69B1" w:rsidRDefault="00000000">
            <w:pPr>
              <w:jc w:val="left"/>
            </w:pPr>
            <w:r>
              <w:rPr>
                <w:sz w:val="16"/>
              </w:rPr>
              <w:t>One job</w:t>
            </w:r>
          </w:p>
        </w:tc>
      </w:tr>
      <w:tr w:rsidR="00FF69B1" w14:paraId="1C0A3B8E" w14:textId="77777777" w:rsidTr="00520AE3">
        <w:trPr>
          <w:cantSplit/>
        </w:trPr>
        <w:tc>
          <w:tcPr>
            <w:tcW w:w="624" w:type="dxa"/>
            <w:tcMar>
              <w:top w:w="60" w:type="dxa"/>
              <w:left w:w="80" w:type="dxa"/>
              <w:bottom w:w="60" w:type="dxa"/>
              <w:right w:w="80" w:type="dxa"/>
            </w:tcMar>
            <w:vAlign w:val="center"/>
          </w:tcPr>
          <w:p w14:paraId="4DC0F114" w14:textId="77777777" w:rsidR="00FF69B1" w:rsidRDefault="00000000">
            <w:pPr>
              <w:jc w:val="left"/>
            </w:pPr>
            <w:r>
              <w:rPr>
                <w:sz w:val="16"/>
              </w:rPr>
              <w:t>D1</w:t>
            </w:r>
          </w:p>
        </w:tc>
        <w:tc>
          <w:tcPr>
            <w:tcW w:w="738" w:type="dxa"/>
            <w:tcMar>
              <w:top w:w="60" w:type="dxa"/>
              <w:left w:w="80" w:type="dxa"/>
              <w:bottom w:w="60" w:type="dxa"/>
              <w:right w:w="80" w:type="dxa"/>
            </w:tcMar>
            <w:vAlign w:val="center"/>
          </w:tcPr>
          <w:p w14:paraId="7DED628B" w14:textId="77777777" w:rsidR="00FF69B1" w:rsidRDefault="00000000">
            <w:pPr>
              <w:jc w:val="left"/>
            </w:pPr>
            <w:r>
              <w:rPr>
                <w:sz w:val="16"/>
              </w:rPr>
              <w:t>3</w:t>
            </w:r>
          </w:p>
        </w:tc>
        <w:tc>
          <w:tcPr>
            <w:tcW w:w="756" w:type="dxa"/>
            <w:tcMar>
              <w:top w:w="60" w:type="dxa"/>
              <w:left w:w="80" w:type="dxa"/>
              <w:bottom w:w="60" w:type="dxa"/>
              <w:right w:w="80" w:type="dxa"/>
            </w:tcMar>
            <w:vAlign w:val="center"/>
          </w:tcPr>
          <w:p w14:paraId="16EA6197" w14:textId="77777777" w:rsidR="00FF69B1" w:rsidRDefault="00000000">
            <w:pPr>
              <w:jc w:val="left"/>
            </w:pPr>
            <w:r>
              <w:rPr>
                <w:sz w:val="16"/>
              </w:rPr>
              <w:t>0</w:t>
            </w:r>
          </w:p>
        </w:tc>
        <w:tc>
          <w:tcPr>
            <w:tcW w:w="2467" w:type="dxa"/>
            <w:tcMar>
              <w:top w:w="60" w:type="dxa"/>
              <w:left w:w="80" w:type="dxa"/>
              <w:bottom w:w="60" w:type="dxa"/>
              <w:right w:w="80" w:type="dxa"/>
            </w:tcMar>
            <w:vAlign w:val="center"/>
          </w:tcPr>
          <w:p w14:paraId="38AE9155" w14:textId="77777777" w:rsidR="00FF69B1" w:rsidRDefault="00000000">
            <w:pPr>
              <w:jc w:val="left"/>
            </w:pPr>
            <w:r>
              <w:rPr>
                <w:sz w:val="16"/>
              </w:rPr>
              <w:t>One job, One workflow</w:t>
            </w:r>
          </w:p>
        </w:tc>
      </w:tr>
      <w:tr w:rsidR="00FF69B1" w14:paraId="481D49B2" w14:textId="77777777" w:rsidTr="00520AE3">
        <w:trPr>
          <w:cantSplit/>
        </w:trPr>
        <w:tc>
          <w:tcPr>
            <w:tcW w:w="624" w:type="dxa"/>
            <w:tcMar>
              <w:top w:w="60" w:type="dxa"/>
              <w:left w:w="80" w:type="dxa"/>
              <w:bottom w:w="60" w:type="dxa"/>
              <w:right w:w="80" w:type="dxa"/>
            </w:tcMar>
            <w:vAlign w:val="center"/>
          </w:tcPr>
          <w:p w14:paraId="4F9B699D" w14:textId="77777777" w:rsidR="00FF69B1" w:rsidRDefault="00000000">
            <w:pPr>
              <w:jc w:val="left"/>
            </w:pPr>
            <w:r>
              <w:rPr>
                <w:sz w:val="16"/>
              </w:rPr>
              <w:t>D2</w:t>
            </w:r>
          </w:p>
        </w:tc>
        <w:tc>
          <w:tcPr>
            <w:tcW w:w="738" w:type="dxa"/>
            <w:tcMar>
              <w:top w:w="60" w:type="dxa"/>
              <w:left w:w="80" w:type="dxa"/>
              <w:bottom w:w="60" w:type="dxa"/>
              <w:right w:w="80" w:type="dxa"/>
            </w:tcMar>
            <w:vAlign w:val="center"/>
          </w:tcPr>
          <w:p w14:paraId="182F7A43" w14:textId="77777777" w:rsidR="00FF69B1" w:rsidRDefault="00000000">
            <w:pPr>
              <w:jc w:val="left"/>
            </w:pPr>
            <w:r>
              <w:rPr>
                <w:sz w:val="16"/>
              </w:rPr>
              <w:t>6</w:t>
            </w:r>
          </w:p>
        </w:tc>
        <w:tc>
          <w:tcPr>
            <w:tcW w:w="756" w:type="dxa"/>
            <w:tcMar>
              <w:top w:w="60" w:type="dxa"/>
              <w:left w:w="80" w:type="dxa"/>
              <w:bottom w:w="60" w:type="dxa"/>
              <w:right w:w="80" w:type="dxa"/>
            </w:tcMar>
            <w:vAlign w:val="center"/>
          </w:tcPr>
          <w:p w14:paraId="70722817" w14:textId="77777777" w:rsidR="00FF69B1" w:rsidRDefault="00000000">
            <w:pPr>
              <w:jc w:val="left"/>
            </w:pPr>
            <w:r>
              <w:rPr>
                <w:sz w:val="16"/>
              </w:rPr>
              <w:t>0</w:t>
            </w:r>
          </w:p>
        </w:tc>
        <w:tc>
          <w:tcPr>
            <w:tcW w:w="2467" w:type="dxa"/>
            <w:tcMar>
              <w:top w:w="60" w:type="dxa"/>
              <w:left w:w="80" w:type="dxa"/>
              <w:bottom w:w="60" w:type="dxa"/>
              <w:right w:w="80" w:type="dxa"/>
            </w:tcMar>
            <w:vAlign w:val="center"/>
          </w:tcPr>
          <w:p w14:paraId="6678ECB2" w14:textId="77777777" w:rsidR="00FF69B1" w:rsidRDefault="00000000">
            <w:pPr>
              <w:jc w:val="left"/>
            </w:pPr>
            <w:r>
              <w:rPr>
                <w:sz w:val="16"/>
              </w:rPr>
              <w:t>One job, One workflow</w:t>
            </w:r>
          </w:p>
        </w:tc>
      </w:tr>
      <w:tr w:rsidR="00FF69B1" w14:paraId="38505973" w14:textId="77777777" w:rsidTr="00520AE3">
        <w:trPr>
          <w:cantSplit/>
        </w:trPr>
        <w:tc>
          <w:tcPr>
            <w:tcW w:w="624" w:type="dxa"/>
            <w:tcMar>
              <w:top w:w="60" w:type="dxa"/>
              <w:left w:w="80" w:type="dxa"/>
              <w:bottom w:w="60" w:type="dxa"/>
              <w:right w:w="80" w:type="dxa"/>
            </w:tcMar>
            <w:vAlign w:val="center"/>
          </w:tcPr>
          <w:p w14:paraId="26A1141F" w14:textId="77777777" w:rsidR="00FF69B1" w:rsidRDefault="00000000">
            <w:pPr>
              <w:jc w:val="left"/>
            </w:pPr>
            <w:r>
              <w:rPr>
                <w:sz w:val="16"/>
              </w:rPr>
              <w:t>D3</w:t>
            </w:r>
          </w:p>
        </w:tc>
        <w:tc>
          <w:tcPr>
            <w:tcW w:w="738" w:type="dxa"/>
            <w:tcMar>
              <w:top w:w="60" w:type="dxa"/>
              <w:left w:w="80" w:type="dxa"/>
              <w:bottom w:w="60" w:type="dxa"/>
              <w:right w:w="80" w:type="dxa"/>
            </w:tcMar>
            <w:vAlign w:val="center"/>
          </w:tcPr>
          <w:p w14:paraId="0C8DB6AB" w14:textId="77777777" w:rsidR="00FF69B1" w:rsidRDefault="00000000">
            <w:pPr>
              <w:jc w:val="left"/>
            </w:pPr>
            <w:r>
              <w:rPr>
                <w:sz w:val="16"/>
              </w:rPr>
              <w:t>6</w:t>
            </w:r>
          </w:p>
        </w:tc>
        <w:tc>
          <w:tcPr>
            <w:tcW w:w="756" w:type="dxa"/>
            <w:tcMar>
              <w:top w:w="60" w:type="dxa"/>
              <w:left w:w="80" w:type="dxa"/>
              <w:bottom w:w="60" w:type="dxa"/>
              <w:right w:w="80" w:type="dxa"/>
            </w:tcMar>
            <w:vAlign w:val="center"/>
          </w:tcPr>
          <w:p w14:paraId="33A56396" w14:textId="77777777" w:rsidR="00FF69B1" w:rsidRDefault="00000000">
            <w:pPr>
              <w:jc w:val="left"/>
            </w:pPr>
            <w:r>
              <w:rPr>
                <w:sz w:val="16"/>
              </w:rPr>
              <w:t>0</w:t>
            </w:r>
          </w:p>
        </w:tc>
        <w:tc>
          <w:tcPr>
            <w:tcW w:w="2467" w:type="dxa"/>
            <w:tcMar>
              <w:top w:w="60" w:type="dxa"/>
              <w:left w:w="80" w:type="dxa"/>
              <w:bottom w:w="60" w:type="dxa"/>
              <w:right w:w="80" w:type="dxa"/>
            </w:tcMar>
            <w:vAlign w:val="center"/>
          </w:tcPr>
          <w:p w14:paraId="6AEA446F" w14:textId="77777777" w:rsidR="00FF69B1" w:rsidRDefault="00000000">
            <w:pPr>
              <w:jc w:val="left"/>
            </w:pPr>
            <w:r>
              <w:rPr>
                <w:sz w:val="16"/>
              </w:rPr>
              <w:t>Multiple jobs</w:t>
            </w:r>
          </w:p>
        </w:tc>
      </w:tr>
      <w:tr w:rsidR="00FF69B1" w14:paraId="076BE7DC" w14:textId="77777777" w:rsidTr="00520AE3">
        <w:trPr>
          <w:cantSplit/>
        </w:trPr>
        <w:tc>
          <w:tcPr>
            <w:tcW w:w="624" w:type="dxa"/>
            <w:tcMar>
              <w:top w:w="60" w:type="dxa"/>
              <w:left w:w="80" w:type="dxa"/>
              <w:bottom w:w="60" w:type="dxa"/>
              <w:right w:w="80" w:type="dxa"/>
            </w:tcMar>
            <w:vAlign w:val="center"/>
          </w:tcPr>
          <w:p w14:paraId="7D8465D1" w14:textId="77777777" w:rsidR="00FF69B1" w:rsidRDefault="00000000">
            <w:pPr>
              <w:jc w:val="left"/>
            </w:pPr>
            <w:r>
              <w:rPr>
                <w:sz w:val="16"/>
              </w:rPr>
              <w:t>D4</w:t>
            </w:r>
          </w:p>
        </w:tc>
        <w:tc>
          <w:tcPr>
            <w:tcW w:w="738" w:type="dxa"/>
            <w:tcMar>
              <w:top w:w="60" w:type="dxa"/>
              <w:left w:w="80" w:type="dxa"/>
              <w:bottom w:w="60" w:type="dxa"/>
              <w:right w:w="80" w:type="dxa"/>
            </w:tcMar>
            <w:vAlign w:val="center"/>
          </w:tcPr>
          <w:p w14:paraId="5B430959" w14:textId="77777777" w:rsidR="00FF69B1" w:rsidRDefault="00000000">
            <w:pPr>
              <w:jc w:val="left"/>
            </w:pPr>
            <w:r>
              <w:rPr>
                <w:sz w:val="16"/>
              </w:rPr>
              <w:t>2</w:t>
            </w:r>
          </w:p>
        </w:tc>
        <w:tc>
          <w:tcPr>
            <w:tcW w:w="756" w:type="dxa"/>
            <w:tcMar>
              <w:top w:w="60" w:type="dxa"/>
              <w:left w:w="80" w:type="dxa"/>
              <w:bottom w:w="60" w:type="dxa"/>
              <w:right w:w="80" w:type="dxa"/>
            </w:tcMar>
            <w:vAlign w:val="center"/>
          </w:tcPr>
          <w:p w14:paraId="35CA7014" w14:textId="77777777" w:rsidR="00FF69B1" w:rsidRDefault="00000000">
            <w:pPr>
              <w:jc w:val="left"/>
            </w:pPr>
            <w:r>
              <w:rPr>
                <w:sz w:val="16"/>
              </w:rPr>
              <w:t>0</w:t>
            </w:r>
          </w:p>
        </w:tc>
        <w:tc>
          <w:tcPr>
            <w:tcW w:w="2467" w:type="dxa"/>
            <w:tcMar>
              <w:top w:w="60" w:type="dxa"/>
              <w:left w:w="80" w:type="dxa"/>
              <w:bottom w:w="60" w:type="dxa"/>
              <w:right w:w="80" w:type="dxa"/>
            </w:tcMar>
            <w:vAlign w:val="center"/>
          </w:tcPr>
          <w:p w14:paraId="323A7374" w14:textId="77777777" w:rsidR="00FF69B1" w:rsidRDefault="00000000">
            <w:pPr>
              <w:jc w:val="left"/>
            </w:pPr>
            <w:r>
              <w:rPr>
                <w:sz w:val="16"/>
              </w:rPr>
              <w:t>Multiple workflows, One workflow</w:t>
            </w:r>
          </w:p>
        </w:tc>
      </w:tr>
    </w:tbl>
    <w:p w14:paraId="51AA97AC" w14:textId="77777777" w:rsidR="007E5B84" w:rsidRDefault="007E5B84">
      <w:pPr>
        <w:sectPr w:rsidR="007E5B84" w:rsidSect="007217D5">
          <w:type w:val="continuous"/>
          <w:pgSz w:w="11520" w:h="15660"/>
          <w:pgMar w:top="1300" w:right="740" w:bottom="1040" w:left="740" w:header="360" w:footer="360" w:gutter="0"/>
          <w:cols w:num="1" w:space="720"/>
        </w:sectPr>
      </w:pPr>
    </w:p>
    <w:p w14:paraId="6C94F919" w14:textId="77777777" w:rsidR="00FF69B1" w:rsidRDefault="00000000" w:rsidP="00520AE3">
      <w:pPr>
        <w:spacing w:before="60" w:after="80"/>
      </w:pPr>
      <w:r>
        <w:t>Table 8. Detection by semantic propagation depth.</w:t>
      </w:r>
    </w:p>
    <w:p w14:paraId="2A252F0B" w14:textId="77777777" w:rsidR="00FF69B1" w:rsidRDefault="00000000">
      <w:pPr>
        <w:spacing w:after="120"/>
        <w:ind w:left="360" w:right="360"/>
      </w:pPr>
      <w:r>
        <w:rPr>
          <w:i/>
          <w:sz w:val="18"/>
        </w:rPr>
        <w:t>Note: Propagation depth and operational impact scope are separate dimensions. A D4 mutant may require cross</w:t>
      </w:r>
      <w:r w:rsidR="00FD5697">
        <w:rPr>
          <w:i/>
          <w:sz w:val="18"/>
        </w:rPr>
        <w:t>-</w:t>
      </w:r>
      <w:r>
        <w:rPr>
          <w:i/>
          <w:sz w:val="18"/>
        </w:rPr>
        <w:t>workflow reasoning even when its summarized operational effect is confined to one workflow.</w:t>
      </w:r>
    </w:p>
    <w:p w14:paraId="6F8A6F51" w14:textId="77777777" w:rsidR="00FF69B1" w:rsidRDefault="00000000">
      <w:pPr>
        <w:pStyle w:val="Heading2"/>
        <w:jc w:val="left"/>
      </w:pPr>
      <w:r>
        <w:t>7.2 RQ2: Mutation size versus semantic reach</w:t>
      </w:r>
    </w:p>
    <w:p w14:paraId="2CDD6AB7" w14:textId="77777777" w:rsidR="00FF69B1" w:rsidRDefault="00000000" w:rsidP="0034461A">
      <w:r>
        <w:t>The median normalized mutation changed 1.5 canonical YAML lines and 2.5 lexical tokens. Seventeen of 18 mutants had an approximate YAML-tree edit count of one; only B005_CC02_001 had a count of two. All six D3 cross-job mutants had an approximate YAML-tree edit count of one, as did one D4 cross-workflow mutant. Rank correlations between mutation size and semantic depth or impact scope were negligible to weak (|ρ| ≤ 0.29; n = 18, curated corpus with ties), so diff magnitude carried no useful signal about semantic reach in this corpus.</w:t>
      </w:r>
    </w:p>
    <w:p w14:paraId="4553C4B9" w14:textId="77777777" w:rsidR="007E5B84" w:rsidRDefault="007E5B84">
      <w:pPr>
        <w:sectPr w:rsidR="007E5B84" w:rsidSect="007217D5">
          <w:type w:val="continuous"/>
          <w:pgSz w:w="11520" w:h="15660"/>
          <w:pgMar w:top="1300" w:right="740" w:bottom="1040" w:left="740" w:header="360" w:footer="360" w:gutter="0"/>
          <w:cols w:num="2" w:space="400"/>
        </w:sectPr>
      </w:pPr>
    </w:p>
    <w:p w14:paraId="39AEC9AB" w14:textId="77777777" w:rsidR="00FF69B1" w:rsidRDefault="00000000" w:rsidP="007217D5">
      <w:pPr>
        <w:jc w:val="left"/>
      </w:pPr>
      <w:r>
        <w:rPr>
          <w:noProof/>
        </w:rPr>
        <w:drawing>
          <wp:inline distT="0" distB="0" distL="0" distR="0" wp14:anchorId="337086D6" wp14:editId="6124FCC0">
            <wp:extent cx="4359058" cy="2845496"/>
            <wp:effectExtent l="0" t="0" r="3810" b="0"/>
            <wp:docPr id="3" name="Figure 3 - Mutation size versus semantic depth" descr="Scatter plot of normalized changed tokens against semantic propagation depth for 18 mutants. Several labels overlap because multiple mutants have the same token count and depth; the revised image offsets labels and uses leader lin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ize_depth.png"/>
                    <pic:cNvPicPr/>
                  </pic:nvPicPr>
                  <pic:blipFill>
                    <a:blip r:embed="rId12"/>
                    <a:stretch>
                      <a:fillRect/>
                    </a:stretch>
                  </pic:blipFill>
                  <pic:spPr>
                    <a:xfrm>
                      <a:off x="0" y="0"/>
                      <a:ext cx="4373568" cy="2854968"/>
                    </a:xfrm>
                    <a:prstGeom prst="rect">
                      <a:avLst/>
                    </a:prstGeom>
                  </pic:spPr>
                </pic:pic>
              </a:graphicData>
            </a:graphic>
          </wp:inline>
        </w:drawing>
      </w:r>
    </w:p>
    <w:p w14:paraId="017B8482" w14:textId="77777777" w:rsidR="00FF69B1" w:rsidRDefault="00000000" w:rsidP="007217D5">
      <w:pPr>
        <w:spacing w:before="60" w:after="80"/>
        <w:jc w:val="left"/>
      </w:pPr>
      <w:r>
        <w:rPr>
          <w:rFonts w:ascii="Helvetica" w:eastAsia="Helvetica" w:hAnsi="Helvetica"/>
          <w:i/>
          <w:sz w:val="16"/>
        </w:rPr>
        <w:t>Figure 3. Normalized token change versus semantic propagation depth.</w:t>
      </w:r>
    </w:p>
    <w:p w14:paraId="7A972B77" w14:textId="77777777" w:rsidR="007E5B84" w:rsidRDefault="007E5B84" w:rsidP="007217D5">
      <w:pPr>
        <w:jc w:val="left"/>
        <w:sectPr w:rsidR="007E5B84" w:rsidSect="007217D5">
          <w:type w:val="continuous"/>
          <w:pgSz w:w="11520" w:h="15660"/>
          <w:pgMar w:top="1300" w:right="740" w:bottom="1040" w:left="740" w:header="360" w:footer="360" w:gutter="0"/>
          <w:cols w:num="1" w:space="720"/>
        </w:sectPr>
      </w:pPr>
    </w:p>
    <w:p w14:paraId="146B75EF" w14:textId="77777777" w:rsidR="00FF69B1" w:rsidRDefault="00FF69B1"/>
    <w:p w14:paraId="79982105" w14:textId="77777777" w:rsidR="00FF69B1" w:rsidRDefault="00000000">
      <w:pPr>
        <w:pStyle w:val="Heading2"/>
        <w:jc w:val="left"/>
      </w:pPr>
      <w:r>
        <w:t>7.3 RQ3: Controlled runtime consequences and robustness</w:t>
      </w:r>
    </w:p>
    <w:p w14:paraId="5C37BCCB" w14:textId="77777777" w:rsidR="007E5B84" w:rsidRDefault="007E5B84">
      <w:pPr>
        <w:sectPr w:rsidR="007E5B84" w:rsidSect="007217D5">
          <w:type w:val="continuous"/>
          <w:pgSz w:w="11520" w:h="15660"/>
          <w:pgMar w:top="1300" w:right="740" w:bottom="1040" w:left="740" w:header="360" w:footer="360" w:gutter="0"/>
          <w:cols w:num="2" w:space="400"/>
        </w:sectPr>
      </w:pPr>
    </w:p>
    <w:tbl>
      <w:tblPr>
        <w:tblStyle w:val="TableGrid"/>
        <w:tblW w:w="9936" w:type="dxa"/>
        <w:jc w:val="center"/>
        <w:tblLook w:val="04A0" w:firstRow="1" w:lastRow="0" w:firstColumn="1" w:lastColumn="0" w:noHBand="0" w:noVBand="1"/>
      </w:tblPr>
      <w:tblGrid>
        <w:gridCol w:w="1702"/>
        <w:gridCol w:w="2025"/>
        <w:gridCol w:w="4625"/>
        <w:gridCol w:w="1584"/>
      </w:tblGrid>
      <w:tr w:rsidR="00FF69B1" w14:paraId="10F8D5EB" w14:textId="77777777">
        <w:trPr>
          <w:cantSplit/>
          <w:tblHeader/>
          <w:jc w:val="center"/>
        </w:trPr>
        <w:tc>
          <w:tcPr>
            <w:tcW w:w="1702" w:type="dxa"/>
            <w:shd w:val="clear" w:color="auto" w:fill="D9EAF7"/>
            <w:tcMar>
              <w:top w:w="60" w:type="dxa"/>
              <w:left w:w="80" w:type="dxa"/>
              <w:bottom w:w="60" w:type="dxa"/>
              <w:right w:w="80" w:type="dxa"/>
            </w:tcMar>
            <w:vAlign w:val="center"/>
          </w:tcPr>
          <w:p w14:paraId="61529AE0" w14:textId="77777777" w:rsidR="00FF69B1" w:rsidRDefault="00000000">
            <w:pPr>
              <w:jc w:val="left"/>
            </w:pPr>
            <w:r>
              <w:rPr>
                <w:b/>
                <w:sz w:val="16"/>
              </w:rPr>
              <w:t>Case</w:t>
            </w:r>
          </w:p>
        </w:tc>
        <w:tc>
          <w:tcPr>
            <w:tcW w:w="2025" w:type="dxa"/>
            <w:shd w:val="clear" w:color="auto" w:fill="D9EAF7"/>
            <w:tcMar>
              <w:top w:w="60" w:type="dxa"/>
              <w:left w:w="80" w:type="dxa"/>
              <w:bottom w:w="60" w:type="dxa"/>
              <w:right w:w="80" w:type="dxa"/>
            </w:tcMar>
            <w:vAlign w:val="center"/>
          </w:tcPr>
          <w:p w14:paraId="390C6921" w14:textId="77777777" w:rsidR="00FF69B1" w:rsidRDefault="00000000">
            <w:pPr>
              <w:jc w:val="left"/>
            </w:pPr>
            <w:r>
              <w:rPr>
                <w:b/>
                <w:sz w:val="16"/>
              </w:rPr>
              <w:t>Mechanism</w:t>
            </w:r>
          </w:p>
        </w:tc>
        <w:tc>
          <w:tcPr>
            <w:tcW w:w="4625" w:type="dxa"/>
            <w:shd w:val="clear" w:color="auto" w:fill="D9EAF7"/>
            <w:tcMar>
              <w:top w:w="60" w:type="dxa"/>
              <w:left w:w="80" w:type="dxa"/>
              <w:bottom w:w="60" w:type="dxa"/>
              <w:right w:w="80" w:type="dxa"/>
            </w:tcMar>
            <w:vAlign w:val="center"/>
          </w:tcPr>
          <w:p w14:paraId="2C29E417" w14:textId="77777777" w:rsidR="00FF69B1" w:rsidRDefault="00000000">
            <w:pPr>
              <w:jc w:val="left"/>
            </w:pPr>
            <w:r>
              <w:rPr>
                <w:b/>
                <w:sz w:val="16"/>
              </w:rPr>
              <w:t>Observed result</w:t>
            </w:r>
          </w:p>
        </w:tc>
        <w:tc>
          <w:tcPr>
            <w:tcW w:w="1584" w:type="dxa"/>
            <w:shd w:val="clear" w:color="auto" w:fill="D9EAF7"/>
            <w:tcMar>
              <w:top w:w="60" w:type="dxa"/>
              <w:left w:w="80" w:type="dxa"/>
              <w:bottom w:w="60" w:type="dxa"/>
              <w:right w:w="80" w:type="dxa"/>
            </w:tcMar>
            <w:vAlign w:val="center"/>
          </w:tcPr>
          <w:p w14:paraId="5E201CAC" w14:textId="77777777" w:rsidR="00FF69B1" w:rsidRDefault="00000000">
            <w:pPr>
              <w:jc w:val="left"/>
            </w:pPr>
            <w:r>
              <w:rPr>
                <w:b/>
                <w:sz w:val="16"/>
              </w:rPr>
              <w:t>Design</w:t>
            </w:r>
          </w:p>
        </w:tc>
      </w:tr>
      <w:tr w:rsidR="00FF69B1" w14:paraId="704985F1" w14:textId="77777777">
        <w:trPr>
          <w:cantSplit/>
          <w:jc w:val="center"/>
        </w:trPr>
        <w:tc>
          <w:tcPr>
            <w:tcW w:w="1702" w:type="dxa"/>
            <w:tcMar>
              <w:top w:w="60" w:type="dxa"/>
              <w:left w:w="80" w:type="dxa"/>
              <w:bottom w:w="60" w:type="dxa"/>
              <w:right w:w="80" w:type="dxa"/>
            </w:tcMar>
            <w:vAlign w:val="center"/>
          </w:tcPr>
          <w:p w14:paraId="35334D45" w14:textId="77777777" w:rsidR="00FF69B1" w:rsidRDefault="00000000">
            <w:pPr>
              <w:jc w:val="left"/>
            </w:pPr>
            <w:r>
              <w:rPr>
                <w:sz w:val="16"/>
              </w:rPr>
              <w:t>CE01 / B001_AR03_001</w:t>
            </w:r>
          </w:p>
        </w:tc>
        <w:tc>
          <w:tcPr>
            <w:tcW w:w="2025" w:type="dxa"/>
            <w:tcMar>
              <w:top w:w="60" w:type="dxa"/>
              <w:left w:w="80" w:type="dxa"/>
              <w:bottom w:w="60" w:type="dxa"/>
              <w:right w:w="80" w:type="dxa"/>
            </w:tcMar>
            <w:vAlign w:val="center"/>
          </w:tcPr>
          <w:p w14:paraId="0C28330D" w14:textId="77777777" w:rsidR="00FF69B1" w:rsidRDefault="00000000">
            <w:pPr>
              <w:jc w:val="left"/>
            </w:pPr>
            <w:r>
              <w:rPr>
                <w:sz w:val="16"/>
              </w:rPr>
              <w:t>Artifact producer reachability</w:t>
            </w:r>
          </w:p>
        </w:tc>
        <w:tc>
          <w:tcPr>
            <w:tcW w:w="4625" w:type="dxa"/>
            <w:tcMar>
              <w:top w:w="60" w:type="dxa"/>
              <w:left w:w="80" w:type="dxa"/>
              <w:bottom w:w="60" w:type="dxa"/>
              <w:right w:w="80" w:type="dxa"/>
            </w:tcMar>
            <w:vAlign w:val="center"/>
          </w:tcPr>
          <w:p w14:paraId="7D3B2B2C" w14:textId="77777777" w:rsidR="00FF69B1" w:rsidRDefault="00000000">
            <w:pPr>
              <w:jc w:val="left"/>
            </w:pPr>
            <w:r>
              <w:rPr>
                <w:sz w:val="16"/>
              </w:rPr>
              <w:t>Baseline uploaded and consumed ce01</w:t>
            </w:r>
            <w:r w:rsidR="00FD5697">
              <w:rPr>
                <w:sz w:val="16"/>
              </w:rPr>
              <w:t>-</w:t>
            </w:r>
            <w:r>
              <w:rPr>
                <w:sz w:val="16"/>
              </w:rPr>
              <w:t>package; mutant skipped upload, lacked artifact, and failed downstream download</w:t>
            </w:r>
          </w:p>
        </w:tc>
        <w:tc>
          <w:tcPr>
            <w:tcW w:w="1584" w:type="dxa"/>
            <w:tcMar>
              <w:top w:w="60" w:type="dxa"/>
              <w:left w:w="80" w:type="dxa"/>
              <w:bottom w:w="60" w:type="dxa"/>
              <w:right w:w="80" w:type="dxa"/>
            </w:tcMar>
            <w:vAlign w:val="center"/>
          </w:tcPr>
          <w:p w14:paraId="61F432B0" w14:textId="77777777" w:rsidR="00FF69B1" w:rsidRDefault="00000000">
            <w:pPr>
              <w:jc w:val="left"/>
            </w:pPr>
            <w:r>
              <w:rPr>
                <w:sz w:val="16"/>
              </w:rPr>
              <w:t>Same</w:t>
            </w:r>
            <w:r w:rsidR="00FD5697">
              <w:rPr>
                <w:sz w:val="16"/>
              </w:rPr>
              <w:t>-</w:t>
            </w:r>
            <w:r>
              <w:rPr>
                <w:sz w:val="16"/>
              </w:rPr>
              <w:t>commit baseline and mutant</w:t>
            </w:r>
          </w:p>
        </w:tc>
      </w:tr>
      <w:tr w:rsidR="00FF69B1" w14:paraId="0B9B05B9" w14:textId="77777777">
        <w:trPr>
          <w:cantSplit/>
          <w:jc w:val="center"/>
        </w:trPr>
        <w:tc>
          <w:tcPr>
            <w:tcW w:w="1702" w:type="dxa"/>
            <w:tcMar>
              <w:top w:w="60" w:type="dxa"/>
              <w:left w:w="80" w:type="dxa"/>
              <w:bottom w:w="60" w:type="dxa"/>
              <w:right w:w="80" w:type="dxa"/>
            </w:tcMar>
            <w:vAlign w:val="center"/>
          </w:tcPr>
          <w:p w14:paraId="4FA45FFE" w14:textId="77777777" w:rsidR="00FF69B1" w:rsidRDefault="00000000">
            <w:pPr>
              <w:jc w:val="left"/>
            </w:pPr>
            <w:r>
              <w:rPr>
                <w:sz w:val="16"/>
              </w:rPr>
              <w:t>CE08 / B003_RL02_001</w:t>
            </w:r>
          </w:p>
        </w:tc>
        <w:tc>
          <w:tcPr>
            <w:tcW w:w="2025" w:type="dxa"/>
            <w:tcMar>
              <w:top w:w="60" w:type="dxa"/>
              <w:left w:w="80" w:type="dxa"/>
              <w:bottom w:w="60" w:type="dxa"/>
              <w:right w:w="80" w:type="dxa"/>
            </w:tcMar>
            <w:vAlign w:val="center"/>
          </w:tcPr>
          <w:p w14:paraId="70036D69" w14:textId="77777777" w:rsidR="00FF69B1" w:rsidRDefault="00000000">
            <w:pPr>
              <w:jc w:val="left"/>
            </w:pPr>
            <w:r>
              <w:rPr>
                <w:sz w:val="16"/>
              </w:rPr>
              <w:t>Failure masking and diagnostics</w:t>
            </w:r>
          </w:p>
        </w:tc>
        <w:tc>
          <w:tcPr>
            <w:tcW w:w="4625" w:type="dxa"/>
            <w:tcMar>
              <w:top w:w="60" w:type="dxa"/>
              <w:left w:w="80" w:type="dxa"/>
              <w:bottom w:w="60" w:type="dxa"/>
              <w:right w:w="80" w:type="dxa"/>
            </w:tcMar>
            <w:vAlign w:val="center"/>
          </w:tcPr>
          <w:p w14:paraId="4E8942B0" w14:textId="77777777" w:rsidR="00FF69B1" w:rsidRDefault="00000000">
            <w:pPr>
              <w:jc w:val="left"/>
            </w:pPr>
            <w:r>
              <w:rPr>
                <w:sz w:val="16"/>
              </w:rPr>
              <w:t>Same test failure; baseline failed and uploaded logs; mutant reported success and skipped diagnostic upload</w:t>
            </w:r>
          </w:p>
        </w:tc>
        <w:tc>
          <w:tcPr>
            <w:tcW w:w="1584" w:type="dxa"/>
            <w:tcMar>
              <w:top w:w="60" w:type="dxa"/>
              <w:left w:w="80" w:type="dxa"/>
              <w:bottom w:w="60" w:type="dxa"/>
              <w:right w:w="80" w:type="dxa"/>
            </w:tcMar>
            <w:vAlign w:val="center"/>
          </w:tcPr>
          <w:p w14:paraId="02D0495C" w14:textId="77777777" w:rsidR="00FF69B1" w:rsidRDefault="00000000">
            <w:pPr>
              <w:jc w:val="left"/>
            </w:pPr>
            <w:r>
              <w:rPr>
                <w:sz w:val="16"/>
              </w:rPr>
              <w:t>Controlled pair</w:t>
            </w:r>
          </w:p>
        </w:tc>
      </w:tr>
      <w:tr w:rsidR="00FF69B1" w14:paraId="08B52FAE" w14:textId="77777777">
        <w:trPr>
          <w:cantSplit/>
          <w:jc w:val="center"/>
        </w:trPr>
        <w:tc>
          <w:tcPr>
            <w:tcW w:w="1702" w:type="dxa"/>
            <w:tcMar>
              <w:top w:w="60" w:type="dxa"/>
              <w:left w:w="80" w:type="dxa"/>
              <w:bottom w:w="60" w:type="dxa"/>
              <w:right w:w="80" w:type="dxa"/>
            </w:tcMar>
            <w:vAlign w:val="center"/>
          </w:tcPr>
          <w:p w14:paraId="55373FA2" w14:textId="77777777" w:rsidR="00FF69B1" w:rsidRDefault="00000000">
            <w:pPr>
              <w:jc w:val="left"/>
            </w:pPr>
            <w:r>
              <w:rPr>
                <w:sz w:val="16"/>
              </w:rPr>
              <w:t>CE11 / B005_CC02_001</w:t>
            </w:r>
          </w:p>
        </w:tc>
        <w:tc>
          <w:tcPr>
            <w:tcW w:w="2025" w:type="dxa"/>
            <w:tcMar>
              <w:top w:w="60" w:type="dxa"/>
              <w:left w:w="80" w:type="dxa"/>
              <w:bottom w:w="60" w:type="dxa"/>
              <w:right w:w="80" w:type="dxa"/>
            </w:tcMar>
            <w:vAlign w:val="center"/>
          </w:tcPr>
          <w:p w14:paraId="439107E1" w14:textId="77777777" w:rsidR="00FF69B1" w:rsidRDefault="00000000">
            <w:pPr>
              <w:jc w:val="left"/>
            </w:pPr>
            <w:r>
              <w:rPr>
                <w:sz w:val="16"/>
              </w:rPr>
              <w:t>Cross</w:t>
            </w:r>
            <w:r w:rsidR="00FD5697">
              <w:rPr>
                <w:sz w:val="16"/>
              </w:rPr>
              <w:t>-</w:t>
            </w:r>
            <w:r>
              <w:rPr>
                <w:sz w:val="16"/>
              </w:rPr>
              <w:t>workflow concurrency</w:t>
            </w:r>
          </w:p>
        </w:tc>
        <w:tc>
          <w:tcPr>
            <w:tcW w:w="4625" w:type="dxa"/>
            <w:tcMar>
              <w:top w:w="60" w:type="dxa"/>
              <w:left w:w="80" w:type="dxa"/>
              <w:bottom w:w="60" w:type="dxa"/>
              <w:right w:w="80" w:type="dxa"/>
            </w:tcMar>
            <w:vAlign w:val="center"/>
          </w:tcPr>
          <w:p w14:paraId="2DE80BB8" w14:textId="77777777" w:rsidR="00FF69B1" w:rsidRDefault="00000000">
            <w:pPr>
              <w:jc w:val="left"/>
            </w:pPr>
            <w:r>
              <w:rPr>
                <w:sz w:val="16"/>
              </w:rPr>
              <w:t>3/3 CI→</w:t>
            </w:r>
            <w:r w:rsidR="00D06BAF">
              <w:rPr>
                <w:sz w:val="16"/>
              </w:rPr>
              <w:t xml:space="preserve"> </w:t>
            </w:r>
            <w:r>
              <w:rPr>
                <w:sz w:val="16"/>
              </w:rPr>
              <w:t>release trials serialized release; 3/3 release→</w:t>
            </w:r>
            <w:r w:rsidR="00D06BAF">
              <w:rPr>
                <w:sz w:val="16"/>
              </w:rPr>
              <w:t xml:space="preserve"> </w:t>
            </w:r>
            <w:r>
              <w:rPr>
                <w:sz w:val="16"/>
              </w:rPr>
              <w:t>CI trials cancelled active release</w:t>
            </w:r>
          </w:p>
        </w:tc>
        <w:tc>
          <w:tcPr>
            <w:tcW w:w="1584" w:type="dxa"/>
            <w:tcMar>
              <w:top w:w="60" w:type="dxa"/>
              <w:left w:w="80" w:type="dxa"/>
              <w:bottom w:w="60" w:type="dxa"/>
              <w:right w:w="80" w:type="dxa"/>
            </w:tcMar>
            <w:vAlign w:val="center"/>
          </w:tcPr>
          <w:p w14:paraId="3A166889" w14:textId="77777777" w:rsidR="00FF69B1" w:rsidRDefault="00000000">
            <w:pPr>
              <w:jc w:val="left"/>
            </w:pPr>
            <w:r>
              <w:rPr>
                <w:sz w:val="16"/>
              </w:rPr>
              <w:t>Six valid trials</w:t>
            </w:r>
          </w:p>
        </w:tc>
      </w:tr>
      <w:tr>
        <w:trPr>
          <w:cantSplit/>
        </w:trPr>
        <w:tc>
          <w:tcPr>
            <w:tcW w:type="dxa" w:w="1702"/>
          </w:tcPr>
          <w:p>
            <w:r>
              <w:t>CE12 / B002_MX01_001</w:t>
            </w:r>
          </w:p>
        </w:tc>
        <w:tc>
          <w:tcPr>
            <w:tcW w:type="dxa" w:w="2025"/>
          </w:tcPr>
          <w:p>
            <w:r>
              <w:t>Matrix coverage intent</w:t>
            </w:r>
          </w:p>
        </w:tc>
        <w:tc>
          <w:tcPr>
            <w:tcW w:type="dxa" w:w="4625"/>
          </w:tcPr>
          <w:p>
            <w:r>
              <w:t>Baseline instantiated four jobs (Ubuntu/Windows x Python 3.11/3.12); mutant instantiated only two Ubuntu jobs</w:t>
            </w:r>
          </w:p>
        </w:tc>
        <w:tc>
          <w:tcPr>
            <w:tcW w:type="dxa" w:w="1584"/>
          </w:tcPr>
          <w:p>
            <w:r>
              <w:t>Same-commit paired dispatch</w:t>
            </w:r>
          </w:p>
        </w:tc>
      </w:tr>
      <w:tr>
        <w:trPr>
          <w:cantSplit/>
        </w:trPr>
        <w:tc>
          <w:tcPr>
            <w:tcW w:type="dxa" w:w="1702"/>
          </w:tcPr>
          <w:p>
            <w:r>
              <w:t>CE13 / B004_TR02_001</w:t>
            </w:r>
          </w:p>
        </w:tc>
        <w:tc>
          <w:tcPr>
            <w:tcW w:type="dxa" w:w="2025"/>
          </w:tcPr>
          <w:p>
            <w:r>
              <w:t>Pull-request trigger path filtering</w:t>
            </w:r>
          </w:p>
        </w:tc>
        <w:tc>
          <w:tcPr>
            <w:tcW w:type="dxa" w:w="4625"/>
          </w:tcPr>
          <w:p>
            <w:r>
              <w:t>Tests-only PR triggered baseline successfully; no mutant run was created during the frozen &gt;=10-minute observation window</w:t>
            </w:r>
          </w:p>
        </w:tc>
        <w:tc>
          <w:tcPr>
            <w:tcW w:type="dxa" w:w="1584"/>
          </w:tcPr>
          <w:p>
            <w:r>
              <w:t>Single PR, frozen absence criterion</w:t>
            </w:r>
          </w:p>
        </w:tc>
      </w:tr>
      <w:tr>
        <w:trPr>
          <w:cantSplit/>
        </w:trPr>
        <w:tc>
          <w:tcPr>
            <w:tcW w:type="dxa" w:w="1702"/>
          </w:tcPr>
          <w:p>
            <w:r>
              <w:t>CE14 / B003_CF02_001</w:t>
            </w:r>
          </w:p>
        </w:tc>
        <w:tc>
          <w:tcPr>
            <w:tcW w:type="dxa" w:w="2025"/>
          </w:tcPr>
          <w:p>
            <w:r>
              <w:t>Cross-job failure propagation</w:t>
            </w:r>
          </w:p>
        </w:tc>
        <w:tc>
          <w:tcPr>
            <w:tcW w:type="dxa" w:w="4625"/>
          </w:tcPr>
          <w:p>
            <w:r>
              <w:t>Both test jobs failed on the same deterministic probe; baseline summarize ran via always(), mutant summarize was skipped</w:t>
            </w:r>
          </w:p>
        </w:tc>
        <w:tc>
          <w:tcPr>
            <w:tcW w:type="dxa" w:w="1584"/>
          </w:tcPr>
          <w:p>
            <w:r>
              <w:t>Same-commit paired dispatch</w:t>
            </w:r>
          </w:p>
        </w:tc>
      </w:tr>
      <w:tr>
        <w:trPr>
          <w:cantSplit/>
        </w:trPr>
        <w:tc>
          <w:tcPr>
            <w:tcW w:type="dxa" w:w="1702"/>
          </w:tcPr>
          <w:p>
            <w:r>
              <w:t>CE15 / B001_AR01_001</w:t>
            </w:r>
          </w:p>
        </w:tc>
        <w:tc>
          <w:tcPr>
            <w:tcW w:type="dxa" w:w="2025"/>
          </w:tcPr>
          <w:p>
            <w:r>
              <w:t>Artifact identity</w:t>
            </w:r>
          </w:p>
        </w:tc>
        <w:tc>
          <w:tcPr>
            <w:tcW w:type="dxa" w:w="4625"/>
          </w:tcPr>
          <w:p>
            <w:r>
              <w:t>Both producers succeeded; baseline verifier downloaded the expected artifact, mutant verifier failed because the producer uploaded a mutated artifact name</w:t>
            </w:r>
          </w:p>
        </w:tc>
        <w:tc>
          <w:tcPr>
            <w:tcW w:type="dxa" w:w="1584"/>
          </w:tcPr>
          <w:p>
            <w:r>
              <w:t>Same-commit paired dispatch</w:t>
            </w:r>
          </w:p>
        </w:tc>
      </w:tr>
    </w:tbl>
    <w:p w14:paraId="6775E580" w14:textId="77777777" w:rsidR="00FF69B1" w:rsidRDefault="00FF69B1"/>
    <w:p w14:paraId="30F24C13" w14:textId="77777777" w:rsidR="00FF69B1" w:rsidRDefault="00000000">
      <w:pPr>
        <w:spacing w:before="60" w:after="80"/>
        <w:jc w:val="center"/>
      </w:pPr>
      <w:r>
        <w:t>Table 9. Controlled runtime validation.</w:t>
      </w:r>
    </w:p>
    <w:p w14:paraId="5A5D2FF2" w14:textId="77777777" w:rsidR="00FF69B1" w:rsidRDefault="00000000" w:rsidP="0034461A">
      <w:r>
        <w:t xml:space="preserve">CE01 provides strict version parity: both workflows were executed from commit </w:t>
      </w:r>
      <w:r>
        <w:rPr>
          <w:rFonts w:ascii="Courier New" w:eastAsia="Courier New" w:hAnsi="Courier New"/>
          <w:sz w:val="18"/>
        </w:rPr>
        <w:t>a09033845e777332340f52784f6cebbd02adc088</w:t>
      </w:r>
      <w:r>
        <w:t xml:space="preserve">. The baseline run succeeded with artifact upload and download. The mutant run skipped the producer and failed with “Artifact not found for name: </w:t>
      </w:r>
      <w:r>
        <w:rPr>
          <w:rFonts w:ascii="Courier New" w:eastAsia="Courier New" w:hAnsi="Courier New"/>
          <w:sz w:val="18"/>
        </w:rPr>
        <w:t>ce01</w:t>
      </w:r>
      <w:r w:rsidR="00FD5697">
        <w:rPr>
          <w:rFonts w:ascii="Courier New" w:eastAsia="Courier New" w:hAnsi="Courier New"/>
          <w:sz w:val="18"/>
        </w:rPr>
        <w:t>-</w:t>
      </w:r>
      <w:r>
        <w:rPr>
          <w:rFonts w:ascii="Courier New" w:eastAsia="Courier New" w:hAnsi="Courier New"/>
          <w:sz w:val="18"/>
        </w:rPr>
        <w:t>package</w:t>
      </w:r>
      <w:r>
        <w:t xml:space="preserve">.” In CE08, </w:t>
      </w:r>
      <w:r>
        <w:rPr>
          <w:rFonts w:ascii="Courier New" w:eastAsia="Courier New" w:hAnsi="Courier New"/>
          <w:sz w:val="18"/>
        </w:rPr>
        <w:t>continue</w:t>
      </w:r>
      <w:r w:rsidR="00FD5697">
        <w:rPr>
          <w:rFonts w:ascii="Courier New" w:eastAsia="Courier New" w:hAnsi="Courier New"/>
          <w:sz w:val="18"/>
        </w:rPr>
        <w:t>-</w:t>
      </w:r>
      <w:r>
        <w:rPr>
          <w:rFonts w:ascii="Courier New" w:eastAsia="Courier New" w:hAnsi="Courier New"/>
          <w:sz w:val="18"/>
        </w:rPr>
        <w:t>on</w:t>
      </w:r>
      <w:r w:rsidR="00FD5697">
        <w:rPr>
          <w:rFonts w:ascii="Courier New" w:eastAsia="Courier New" w:hAnsi="Courier New"/>
          <w:sz w:val="18"/>
        </w:rPr>
        <w:t>-</w:t>
      </w:r>
      <w:r>
        <w:rPr>
          <w:rFonts w:ascii="Courier New" w:eastAsia="Courier New" w:hAnsi="Courier New"/>
          <w:sz w:val="18"/>
        </w:rPr>
        <w:t>error</w:t>
      </w:r>
      <w:r>
        <w:t xml:space="preserve"> caused the workflow to report success for the same underlying test failure while suppressing failure</w:t>
      </w:r>
      <w:r w:rsidR="00FD5697">
        <w:t>-</w:t>
      </w:r>
      <w:r>
        <w:t>only diagnostics. CE11 confirmed that a shared concurrency group can produce either serialization or cancellation depending on dispatch order.</w:t>
      </w:r>
    </w:p>
    <w:p>
      <w:pPr/>
      <w:r>
        <w:t>The four-case extension broadened runtime coverage across additional semantic mechanisms. CE12 confirmed silent matrix-coverage loss: the baseline instantiated four Ubuntu/Windows x Python-version jobs, whereas the mutant instantiated only two Ubuntu jobs, with both workflows otherwise succeeding. CE13 used PR #1 (head SHA 12fc75c1047f8a72ad7e459de1013d66ee46f7b3): the tests-only change triggered the baseline run (33900274485), while no mutant run appeared during the frozen 10-minute observation window. CE14 held the deterministic test failure constant; the baseline summary job executed under always(), whereas the mutant summary job was skipped. CE15 held the producer payload constant but changed the uploaded artifact identity; the baseline verifier succeeded and the mutant verifier failed at artifact download. All three paired dispatch cases used commit c8fcd726ed5ccd64cc428fd663d24070766492f0.</w:t>
      </w:r>
    </w:p>
    <w:p w14:paraId="440535D9" w14:textId="77777777" w:rsidR="00FF69B1" w:rsidRDefault="00000000">
      <w:pPr>
        <w:pStyle w:val="Heading3"/>
        <w:jc w:val="left"/>
      </w:pPr>
      <w:r>
        <w:t>7.3.1 Robustness analyses</w:t>
      </w:r>
    </w:p>
    <w:p w14:paraId="16EFA4FE" w14:textId="77777777" w:rsidR="00FF69B1" w:rsidRDefault="00000000" w:rsidP="0034461A">
      <w:r>
        <w:t xml:space="preserve">Pinning all 60 remote action references eliminated the 13 recurring </w:t>
      </w:r>
      <w:proofErr w:type="spellStart"/>
      <w:r>
        <w:t>zizmor</w:t>
      </w:r>
      <w:proofErr w:type="spellEnd"/>
      <w:r>
        <w:t xml:space="preserve"> </w:t>
      </w:r>
      <w:r>
        <w:rPr>
          <w:rFonts w:ascii="Courier New" w:eastAsia="Courier New" w:hAnsi="Courier New"/>
          <w:sz w:val="18"/>
        </w:rPr>
        <w:t>unpinned</w:t>
      </w:r>
      <w:r w:rsidR="00FD5697">
        <w:rPr>
          <w:rFonts w:ascii="Courier New" w:eastAsia="Courier New" w:hAnsi="Courier New"/>
          <w:sz w:val="18"/>
        </w:rPr>
        <w:t>-</w:t>
      </w:r>
      <w:r>
        <w:rPr>
          <w:rFonts w:ascii="Courier New" w:eastAsia="Courier New" w:hAnsi="Courier New"/>
          <w:sz w:val="18"/>
        </w:rPr>
        <w:t>uses</w:t>
      </w:r>
      <w:r>
        <w:t xml:space="preserve"> findings and left all pinned baselines finding</w:t>
      </w:r>
      <w:r w:rsidR="00FD5697">
        <w:t>-</w:t>
      </w:r>
      <w:r>
        <w:t xml:space="preserve">free. The mutant result was unchanged: </w:t>
      </w:r>
      <w:proofErr w:type="spellStart"/>
      <w:r>
        <w:t>actionlint</w:t>
      </w:r>
      <w:proofErr w:type="spellEnd"/>
      <w:r>
        <w:t xml:space="preserve"> detected only </w:t>
      </w:r>
      <w:r>
        <w:rPr>
          <w:rFonts w:ascii="Courier New" w:eastAsia="Courier New" w:hAnsi="Courier New"/>
          <w:sz w:val="18"/>
        </w:rPr>
        <w:t>B002_REF02_001</w:t>
      </w:r>
      <w:r>
        <w:t xml:space="preserve">, while </w:t>
      </w:r>
      <w:proofErr w:type="spellStart"/>
      <w:r>
        <w:t>zizmor</w:t>
      </w:r>
      <w:proofErr w:type="spellEnd"/>
      <w:r>
        <w:t xml:space="preserve"> and poutine detected none. The union remained </w:t>
      </w:r>
      <w:r w:rsidR="0026000E" w:rsidRPr="0026000E">
        <w:t>1 of 18</w:t>
      </w:r>
      <w:r>
        <w:t>.</w:t>
      </w:r>
    </w:p>
    <w:p w14:paraId="029971FA" w14:textId="77777777" w:rsidR="00FF69B1" w:rsidRDefault="00000000" w:rsidP="0034461A">
      <w:r>
        <w:t>All five controls passed semantic</w:t>
      </w:r>
      <w:r w:rsidR="00FD5697">
        <w:t>-</w:t>
      </w:r>
      <w:r>
        <w:t>equivalence validation. Across five baseline</w:t>
      </w:r>
      <w:r w:rsidR="00FD5697">
        <w:t>-</w:t>
      </w:r>
      <w:r>
        <w:t>control pairs and three tools, all 15 normalized finding comparisons were invariant. The controls support stability for the selected transformations; they do not establish invariance under all harmless workflow rewrites.</w:t>
      </w:r>
    </w:p>
    <w:p w14:paraId="53B64528" w14:textId="77777777" w:rsidR="00FF69B1" w:rsidRDefault="00000000">
      <w:pPr>
        <w:pStyle w:val="Heading2"/>
        <w:jc w:val="left"/>
      </w:pPr>
      <w:r>
        <w:t>7.4 RQ4: Artifact-Flow Analysis and intent-aware model reasoning</w:t>
      </w:r>
    </w:p>
    <w:p w14:paraId="1287F85D" w14:textId="77777777" w:rsidR="007E5B84" w:rsidRDefault="007E5B84">
      <w:pPr>
        <w:sectPr w:rsidR="007E5B84" w:rsidSect="007217D5">
          <w:type w:val="continuous"/>
          <w:pgSz w:w="11520" w:h="15660"/>
          <w:pgMar w:top="1300" w:right="740" w:bottom="1040" w:left="740" w:header="360" w:footer="360" w:gutter="0"/>
          <w:cols w:num="1" w:space="720"/>
        </w:sectPr>
      </w:pPr>
    </w:p>
    <w:p w14:paraId="054FB053" w14:textId="77777777" w:rsidR="00FF69B1" w:rsidRDefault="00000000" w:rsidP="007217D5">
      <w:pPr>
        <w:jc w:val="left"/>
      </w:pPr>
      <w:r>
        <w:rPr>
          <w:noProof/>
        </w:rPr>
        <w:lastRenderedPageBreak/>
        <w:drawing>
          <wp:inline distT="0" distB="0" distL="0" distR="0" wp14:anchorId="121A9BAF" wp14:editId="2AD169AE">
            <wp:extent cx="4830871" cy="2233083"/>
            <wp:effectExtent l="0" t="0" r="8255" b="0"/>
            <wp:docPr id="4" name="Figure 4 - Artifact-Flow Analysis model and decision logic" descr="Two-part diagram. The artifact-flow model connects producer context to consumer context through matching artifact identity, ordering or job-dependency ancestry, and condition compatibility. The decision logic reports AF001 when no guaranteed matching producer exists and AF002 when a cross-job producer is not in the consumer needs ancestry; otherwise the relationship is acce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hybrid_preview.png"/>
                    <pic:cNvPicPr/>
                  </pic:nvPicPr>
                  <pic:blipFill>
                    <a:blip r:embed="rId13"/>
                    <a:stretch>
                      <a:fillRect/>
                    </a:stretch>
                  </pic:blipFill>
                  <pic:spPr>
                    <a:xfrm>
                      <a:off x="0" y="0"/>
                      <a:ext cx="4864987" cy="2248853"/>
                    </a:xfrm>
                    <a:prstGeom prst="rect">
                      <a:avLst/>
                    </a:prstGeom>
                  </pic:spPr>
                </pic:pic>
              </a:graphicData>
            </a:graphic>
          </wp:inline>
        </w:drawing>
      </w:r>
    </w:p>
    <w:p w14:paraId="5D2C1DE4" w14:textId="77777777" w:rsidR="00FF69B1" w:rsidRDefault="00000000" w:rsidP="007217D5">
      <w:pPr>
        <w:spacing w:before="60" w:after="80"/>
      </w:pPr>
      <w:r>
        <w:rPr>
          <w:rFonts w:ascii="Helvetica" w:eastAsia="Helvetica" w:hAnsi="Helvetica"/>
          <w:i/>
          <w:sz w:val="16"/>
        </w:rPr>
        <w:t>Figure 4. Artifact-Flow Analysis model and decision logic.</w:t>
      </w:r>
    </w:p>
    <w:p w14:paraId="7B81CBC8" w14:textId="77777777" w:rsidR="007E5B84" w:rsidRDefault="007E5B84"/>
    <w:p w14:paraId="0083A772" w14:textId="77777777" w:rsidR="007217D5" w:rsidRDefault="007217D5">
      <w:pPr>
        <w:sectPr w:rsidR="007217D5" w:rsidSect="007217D5">
          <w:type w:val="continuous"/>
          <w:pgSz w:w="11520" w:h="15660"/>
          <w:pgMar w:top="1300" w:right="740" w:bottom="1040" w:left="740" w:header="360" w:footer="360" w:gutter="0"/>
          <w:cols w:num="2" w:space="400"/>
        </w:sectPr>
      </w:pPr>
    </w:p>
    <w:p w14:paraId="55BB7E4E" w14:textId="77777777" w:rsidR="00FF69B1" w:rsidRDefault="00000000" w:rsidP="0034461A">
      <w:r>
        <w:t>On the 28</w:t>
      </w:r>
      <w:r w:rsidR="00FD5697">
        <w:t>-</w:t>
      </w:r>
      <w:r>
        <w:t>case development corpus, v0.1 detected all four artifact</w:t>
      </w:r>
      <w:r w:rsidR="00FD5697">
        <w:t>-</w:t>
      </w:r>
      <w:r>
        <w:t>flow mutants and produced no findings on the five clean baselines or five negative controls. A first frozen holdout of 14 workflows retained full recall but produced two false positives: same</w:t>
      </w:r>
      <w:r w:rsidR="00FD5697">
        <w:t>-</w:t>
      </w:r>
      <w:r>
        <w:t>job artifact reuse and identical producer</w:t>
      </w:r>
      <w:r w:rsidR="00FD5697">
        <w:t>-</w:t>
      </w:r>
      <w:r>
        <w:t>consumer conditions. Version 0.2 introduced only the corresponding refinements and preserved the development oracles. The analyzer was frozen before Holdout 2 was created.</w:t>
      </w:r>
    </w:p>
    <w:p w14:paraId="14E95187" w14:textId="77777777" w:rsidR="007E5B84" w:rsidRDefault="007E5B84">
      <w:pPr>
        <w:sectPr w:rsidR="007E5B84" w:rsidSect="007217D5">
          <w:type w:val="continuous"/>
          <w:pgSz w:w="11520" w:h="15660"/>
          <w:pgMar w:top="1300" w:right="740" w:bottom="1040" w:left="740" w:header="360" w:footer="360" w:gutter="0"/>
          <w:cols w:num="1" w:space="720"/>
        </w:sectPr>
      </w:pPr>
    </w:p>
    <w:tbl>
      <w:tblPr>
        <w:tblStyle w:val="TableGrid"/>
        <w:tblpPr w:leftFromText="180" w:rightFromText="180" w:vertAnchor="text" w:tblpY="1"/>
        <w:tblOverlap w:val="never"/>
        <w:tblW w:w="5485" w:type="dxa"/>
        <w:tblLook w:val="04A0" w:firstRow="1" w:lastRow="0" w:firstColumn="1" w:lastColumn="0" w:noHBand="0" w:noVBand="1"/>
      </w:tblPr>
      <w:tblGrid>
        <w:gridCol w:w="1240"/>
        <w:gridCol w:w="503"/>
        <w:gridCol w:w="339"/>
        <w:gridCol w:w="343"/>
        <w:gridCol w:w="360"/>
        <w:gridCol w:w="360"/>
        <w:gridCol w:w="1170"/>
        <w:gridCol w:w="1170"/>
      </w:tblGrid>
      <w:tr w:rsidR="007E5B84" w14:paraId="61B42D2E" w14:textId="77777777" w:rsidTr="00520AE3">
        <w:tc>
          <w:tcPr>
            <w:tcW w:w="1240" w:type="dxa"/>
            <w:tcMar>
              <w:top w:w="60" w:type="dxa"/>
              <w:left w:w="80" w:type="dxa"/>
              <w:bottom w:w="60" w:type="dxa"/>
              <w:right w:w="80" w:type="dxa"/>
            </w:tcMar>
            <w:vAlign w:val="center"/>
          </w:tcPr>
          <w:p w14:paraId="55E96928" w14:textId="77777777" w:rsidR="007E5B84" w:rsidRDefault="00000000" w:rsidP="00520AE3">
            <w:pPr>
              <w:jc w:val="left"/>
            </w:pPr>
            <w:r>
              <w:rPr>
                <w:b/>
                <w:sz w:val="14"/>
              </w:rPr>
              <w:t>Stage</w:t>
            </w:r>
          </w:p>
        </w:tc>
        <w:tc>
          <w:tcPr>
            <w:tcW w:w="503" w:type="dxa"/>
            <w:tcMar>
              <w:top w:w="60" w:type="dxa"/>
              <w:left w:w="80" w:type="dxa"/>
              <w:bottom w:w="60" w:type="dxa"/>
              <w:right w:w="80" w:type="dxa"/>
            </w:tcMar>
            <w:vAlign w:val="center"/>
          </w:tcPr>
          <w:p w14:paraId="7673F773" w14:textId="77777777" w:rsidR="007E5B84" w:rsidRDefault="00000000" w:rsidP="00520AE3">
            <w:pPr>
              <w:jc w:val="left"/>
            </w:pPr>
            <w:r>
              <w:rPr>
                <w:b/>
                <w:sz w:val="14"/>
              </w:rPr>
              <w:t>Cases</w:t>
            </w:r>
          </w:p>
        </w:tc>
        <w:tc>
          <w:tcPr>
            <w:tcW w:w="339" w:type="dxa"/>
            <w:tcMar>
              <w:top w:w="60" w:type="dxa"/>
              <w:left w:w="80" w:type="dxa"/>
              <w:bottom w:w="60" w:type="dxa"/>
              <w:right w:w="80" w:type="dxa"/>
            </w:tcMar>
            <w:vAlign w:val="center"/>
          </w:tcPr>
          <w:p w14:paraId="59E8E166" w14:textId="77777777" w:rsidR="007E5B84" w:rsidRDefault="00000000" w:rsidP="00520AE3">
            <w:pPr>
              <w:jc w:val="left"/>
            </w:pPr>
            <w:r>
              <w:rPr>
                <w:b/>
                <w:sz w:val="14"/>
              </w:rPr>
              <w:t>TP</w:t>
            </w:r>
          </w:p>
        </w:tc>
        <w:tc>
          <w:tcPr>
            <w:tcW w:w="343" w:type="dxa"/>
            <w:tcMar>
              <w:top w:w="60" w:type="dxa"/>
              <w:left w:w="80" w:type="dxa"/>
              <w:bottom w:w="60" w:type="dxa"/>
              <w:right w:w="80" w:type="dxa"/>
            </w:tcMar>
            <w:vAlign w:val="center"/>
          </w:tcPr>
          <w:p w14:paraId="561BF22D" w14:textId="77777777" w:rsidR="007E5B84" w:rsidRDefault="00000000" w:rsidP="00520AE3">
            <w:pPr>
              <w:jc w:val="left"/>
            </w:pPr>
            <w:r>
              <w:rPr>
                <w:b/>
                <w:sz w:val="14"/>
              </w:rPr>
              <w:t>FP</w:t>
            </w:r>
          </w:p>
        </w:tc>
        <w:tc>
          <w:tcPr>
            <w:tcW w:w="360" w:type="dxa"/>
            <w:tcMar>
              <w:top w:w="60" w:type="dxa"/>
              <w:left w:w="80" w:type="dxa"/>
              <w:bottom w:w="60" w:type="dxa"/>
              <w:right w:w="80" w:type="dxa"/>
            </w:tcMar>
            <w:vAlign w:val="center"/>
          </w:tcPr>
          <w:p w14:paraId="09268650" w14:textId="77777777" w:rsidR="007E5B84" w:rsidRDefault="00000000" w:rsidP="00520AE3">
            <w:pPr>
              <w:jc w:val="left"/>
            </w:pPr>
            <w:r>
              <w:rPr>
                <w:b/>
                <w:sz w:val="14"/>
              </w:rPr>
              <w:t>TN</w:t>
            </w:r>
          </w:p>
        </w:tc>
        <w:tc>
          <w:tcPr>
            <w:tcW w:w="360" w:type="dxa"/>
            <w:tcMar>
              <w:top w:w="60" w:type="dxa"/>
              <w:left w:w="80" w:type="dxa"/>
              <w:bottom w:w="60" w:type="dxa"/>
              <w:right w:w="80" w:type="dxa"/>
            </w:tcMar>
            <w:vAlign w:val="center"/>
          </w:tcPr>
          <w:p w14:paraId="25FB5600" w14:textId="77777777" w:rsidR="007E5B84" w:rsidRDefault="00000000" w:rsidP="00520AE3">
            <w:pPr>
              <w:jc w:val="left"/>
            </w:pPr>
            <w:r>
              <w:rPr>
                <w:b/>
                <w:sz w:val="14"/>
              </w:rPr>
              <w:t>FN</w:t>
            </w:r>
          </w:p>
        </w:tc>
        <w:tc>
          <w:tcPr>
            <w:tcW w:w="1170" w:type="dxa"/>
            <w:tcMar>
              <w:top w:w="60" w:type="dxa"/>
              <w:left w:w="80" w:type="dxa"/>
              <w:bottom w:w="60" w:type="dxa"/>
              <w:right w:w="80" w:type="dxa"/>
            </w:tcMar>
            <w:vAlign w:val="center"/>
          </w:tcPr>
          <w:p w14:paraId="361EF48C" w14:textId="77777777" w:rsidR="007E5B84" w:rsidRDefault="00000000" w:rsidP="00520AE3">
            <w:pPr>
              <w:jc w:val="left"/>
            </w:pPr>
            <w:r>
              <w:rPr>
                <w:b/>
                <w:sz w:val="14"/>
              </w:rPr>
              <w:t>Holdout author</w:t>
            </w:r>
          </w:p>
        </w:tc>
        <w:tc>
          <w:tcPr>
            <w:tcW w:w="1170" w:type="dxa"/>
            <w:tcMar>
              <w:top w:w="60" w:type="dxa"/>
              <w:left w:w="80" w:type="dxa"/>
              <w:bottom w:w="60" w:type="dxa"/>
              <w:right w:w="80" w:type="dxa"/>
            </w:tcMar>
            <w:vAlign w:val="center"/>
          </w:tcPr>
          <w:p w14:paraId="5C9881B0" w14:textId="77777777" w:rsidR="007E5B84" w:rsidRDefault="00000000" w:rsidP="00520AE3">
            <w:pPr>
              <w:jc w:val="left"/>
            </w:pPr>
            <w:r>
              <w:rPr>
                <w:b/>
                <w:sz w:val="14"/>
              </w:rPr>
              <w:t>Interpretation</w:t>
            </w:r>
          </w:p>
        </w:tc>
      </w:tr>
      <w:tr w:rsidR="007E5B84" w14:paraId="1464BE32" w14:textId="77777777" w:rsidTr="00520AE3">
        <w:tc>
          <w:tcPr>
            <w:tcW w:w="1240" w:type="dxa"/>
            <w:tcMar>
              <w:top w:w="60" w:type="dxa"/>
              <w:left w:w="80" w:type="dxa"/>
              <w:bottom w:w="60" w:type="dxa"/>
              <w:right w:w="80" w:type="dxa"/>
            </w:tcMar>
            <w:vAlign w:val="center"/>
          </w:tcPr>
          <w:p w14:paraId="58361B4C" w14:textId="77777777" w:rsidR="007E5B84" w:rsidRDefault="00000000" w:rsidP="00520AE3">
            <w:pPr>
              <w:jc w:val="left"/>
            </w:pPr>
            <w:r>
              <w:rPr>
                <w:sz w:val="14"/>
              </w:rPr>
              <w:t>Development</w:t>
            </w:r>
          </w:p>
        </w:tc>
        <w:tc>
          <w:tcPr>
            <w:tcW w:w="503" w:type="dxa"/>
            <w:tcMar>
              <w:top w:w="60" w:type="dxa"/>
              <w:left w:w="80" w:type="dxa"/>
              <w:bottom w:w="60" w:type="dxa"/>
              <w:right w:w="80" w:type="dxa"/>
            </w:tcMar>
            <w:vAlign w:val="center"/>
          </w:tcPr>
          <w:p w14:paraId="2EC2076E" w14:textId="77777777" w:rsidR="007E5B84" w:rsidRDefault="00000000" w:rsidP="00520AE3">
            <w:pPr>
              <w:jc w:val="left"/>
            </w:pPr>
            <w:r>
              <w:rPr>
                <w:sz w:val="14"/>
              </w:rPr>
              <w:t>28</w:t>
            </w:r>
          </w:p>
        </w:tc>
        <w:tc>
          <w:tcPr>
            <w:tcW w:w="339" w:type="dxa"/>
            <w:tcMar>
              <w:top w:w="60" w:type="dxa"/>
              <w:left w:w="80" w:type="dxa"/>
              <w:bottom w:w="60" w:type="dxa"/>
              <w:right w:w="80" w:type="dxa"/>
            </w:tcMar>
            <w:vAlign w:val="center"/>
          </w:tcPr>
          <w:p w14:paraId="64A3D21D" w14:textId="77777777" w:rsidR="007E5B84" w:rsidRDefault="00000000" w:rsidP="00520AE3">
            <w:pPr>
              <w:jc w:val="left"/>
            </w:pPr>
            <w:r>
              <w:rPr>
                <w:sz w:val="14"/>
              </w:rPr>
              <w:t>4</w:t>
            </w:r>
          </w:p>
        </w:tc>
        <w:tc>
          <w:tcPr>
            <w:tcW w:w="343" w:type="dxa"/>
            <w:tcMar>
              <w:top w:w="60" w:type="dxa"/>
              <w:left w:w="80" w:type="dxa"/>
              <w:bottom w:w="60" w:type="dxa"/>
              <w:right w:w="80" w:type="dxa"/>
            </w:tcMar>
            <w:vAlign w:val="center"/>
          </w:tcPr>
          <w:p w14:paraId="7BC0837D" w14:textId="77777777" w:rsidR="007E5B84" w:rsidRDefault="00000000" w:rsidP="00520AE3">
            <w:pPr>
              <w:jc w:val="left"/>
            </w:pPr>
            <w:r>
              <w:rPr>
                <w:sz w:val="14"/>
              </w:rPr>
              <w:t>0</w:t>
            </w:r>
          </w:p>
        </w:tc>
        <w:tc>
          <w:tcPr>
            <w:tcW w:w="360" w:type="dxa"/>
            <w:tcMar>
              <w:top w:w="60" w:type="dxa"/>
              <w:left w:w="80" w:type="dxa"/>
              <w:bottom w:w="60" w:type="dxa"/>
              <w:right w:w="80" w:type="dxa"/>
            </w:tcMar>
            <w:vAlign w:val="center"/>
          </w:tcPr>
          <w:p w14:paraId="23815443" w14:textId="77777777" w:rsidR="007E5B84" w:rsidRDefault="00000000" w:rsidP="00520AE3">
            <w:pPr>
              <w:jc w:val="left"/>
            </w:pPr>
            <w:r>
              <w:rPr>
                <w:sz w:val="14"/>
              </w:rPr>
              <w:t>24</w:t>
            </w:r>
          </w:p>
        </w:tc>
        <w:tc>
          <w:tcPr>
            <w:tcW w:w="360" w:type="dxa"/>
            <w:tcMar>
              <w:top w:w="60" w:type="dxa"/>
              <w:left w:w="80" w:type="dxa"/>
              <w:bottom w:w="60" w:type="dxa"/>
              <w:right w:w="80" w:type="dxa"/>
            </w:tcMar>
            <w:vAlign w:val="center"/>
          </w:tcPr>
          <w:p w14:paraId="338A5FF0" w14:textId="77777777" w:rsidR="007E5B84" w:rsidRDefault="00000000" w:rsidP="00520AE3">
            <w:pPr>
              <w:jc w:val="left"/>
            </w:pPr>
            <w:r>
              <w:rPr>
                <w:sz w:val="14"/>
              </w:rPr>
              <w:t>0</w:t>
            </w:r>
          </w:p>
        </w:tc>
        <w:tc>
          <w:tcPr>
            <w:tcW w:w="1170" w:type="dxa"/>
            <w:tcMar>
              <w:top w:w="60" w:type="dxa"/>
              <w:left w:w="80" w:type="dxa"/>
              <w:bottom w:w="60" w:type="dxa"/>
              <w:right w:w="80" w:type="dxa"/>
            </w:tcMar>
            <w:vAlign w:val="center"/>
          </w:tcPr>
          <w:p w14:paraId="5E8F4C9B" w14:textId="77777777" w:rsidR="007E5B84" w:rsidRDefault="00000000" w:rsidP="00520AE3">
            <w:pPr>
              <w:jc w:val="left"/>
            </w:pPr>
            <w:r>
              <w:rPr>
                <w:sz w:val="14"/>
              </w:rPr>
              <w:t>Study author</w:t>
            </w:r>
          </w:p>
        </w:tc>
        <w:tc>
          <w:tcPr>
            <w:tcW w:w="1170" w:type="dxa"/>
            <w:tcMar>
              <w:top w:w="60" w:type="dxa"/>
              <w:left w:w="80" w:type="dxa"/>
              <w:bottom w:w="60" w:type="dxa"/>
              <w:right w:w="80" w:type="dxa"/>
            </w:tcMar>
            <w:vAlign w:val="center"/>
          </w:tcPr>
          <w:p w14:paraId="3A7ACF05" w14:textId="77777777" w:rsidR="007E5B84" w:rsidRDefault="00000000" w:rsidP="00520AE3">
            <w:pPr>
              <w:jc w:val="left"/>
            </w:pPr>
            <w:r>
              <w:rPr>
                <w:sz w:val="14"/>
              </w:rPr>
              <w:t>In-sample</w:t>
            </w:r>
          </w:p>
        </w:tc>
      </w:tr>
      <w:tr w:rsidR="007E5B84" w14:paraId="16F274EB" w14:textId="77777777" w:rsidTr="00520AE3">
        <w:tc>
          <w:tcPr>
            <w:tcW w:w="1240" w:type="dxa"/>
            <w:tcMar>
              <w:top w:w="60" w:type="dxa"/>
              <w:left w:w="80" w:type="dxa"/>
              <w:bottom w:w="60" w:type="dxa"/>
              <w:right w:w="80" w:type="dxa"/>
            </w:tcMar>
            <w:vAlign w:val="center"/>
          </w:tcPr>
          <w:p w14:paraId="77E153A9" w14:textId="77777777" w:rsidR="007E5B84" w:rsidRDefault="00000000" w:rsidP="00520AE3">
            <w:pPr>
              <w:jc w:val="left"/>
            </w:pPr>
            <w:r>
              <w:rPr>
                <w:sz w:val="14"/>
              </w:rPr>
              <w:t>Holdout 1 (v0.1)</w:t>
            </w:r>
          </w:p>
        </w:tc>
        <w:tc>
          <w:tcPr>
            <w:tcW w:w="503" w:type="dxa"/>
            <w:tcMar>
              <w:top w:w="60" w:type="dxa"/>
              <w:left w:w="80" w:type="dxa"/>
              <w:bottom w:w="60" w:type="dxa"/>
              <w:right w:w="80" w:type="dxa"/>
            </w:tcMar>
            <w:vAlign w:val="center"/>
          </w:tcPr>
          <w:p w14:paraId="1A536FE2" w14:textId="77777777" w:rsidR="007E5B84" w:rsidRDefault="00000000" w:rsidP="00520AE3">
            <w:pPr>
              <w:jc w:val="left"/>
            </w:pPr>
            <w:r>
              <w:rPr>
                <w:sz w:val="14"/>
              </w:rPr>
              <w:t>14</w:t>
            </w:r>
          </w:p>
        </w:tc>
        <w:tc>
          <w:tcPr>
            <w:tcW w:w="339" w:type="dxa"/>
            <w:tcMar>
              <w:top w:w="60" w:type="dxa"/>
              <w:left w:w="80" w:type="dxa"/>
              <w:bottom w:w="60" w:type="dxa"/>
              <w:right w:w="80" w:type="dxa"/>
            </w:tcMar>
            <w:vAlign w:val="center"/>
          </w:tcPr>
          <w:p w14:paraId="0DF803C0" w14:textId="77777777" w:rsidR="007E5B84" w:rsidRDefault="00000000" w:rsidP="00520AE3">
            <w:pPr>
              <w:jc w:val="left"/>
            </w:pPr>
            <w:r>
              <w:rPr>
                <w:sz w:val="14"/>
              </w:rPr>
              <w:t>6</w:t>
            </w:r>
          </w:p>
        </w:tc>
        <w:tc>
          <w:tcPr>
            <w:tcW w:w="343" w:type="dxa"/>
            <w:tcMar>
              <w:top w:w="60" w:type="dxa"/>
              <w:left w:w="80" w:type="dxa"/>
              <w:bottom w:w="60" w:type="dxa"/>
              <w:right w:w="80" w:type="dxa"/>
            </w:tcMar>
            <w:vAlign w:val="center"/>
          </w:tcPr>
          <w:p w14:paraId="7EB49DA2" w14:textId="77777777" w:rsidR="007E5B84" w:rsidRDefault="00000000" w:rsidP="00520AE3">
            <w:pPr>
              <w:jc w:val="left"/>
            </w:pPr>
            <w:r>
              <w:rPr>
                <w:sz w:val="14"/>
              </w:rPr>
              <w:t>2</w:t>
            </w:r>
          </w:p>
        </w:tc>
        <w:tc>
          <w:tcPr>
            <w:tcW w:w="360" w:type="dxa"/>
            <w:tcMar>
              <w:top w:w="60" w:type="dxa"/>
              <w:left w:w="80" w:type="dxa"/>
              <w:bottom w:w="60" w:type="dxa"/>
              <w:right w:w="80" w:type="dxa"/>
            </w:tcMar>
            <w:vAlign w:val="center"/>
          </w:tcPr>
          <w:p w14:paraId="72105B97" w14:textId="77777777" w:rsidR="007E5B84" w:rsidRDefault="00000000" w:rsidP="00520AE3">
            <w:pPr>
              <w:jc w:val="left"/>
            </w:pPr>
            <w:r>
              <w:rPr>
                <w:sz w:val="14"/>
              </w:rPr>
              <w:t>6</w:t>
            </w:r>
          </w:p>
        </w:tc>
        <w:tc>
          <w:tcPr>
            <w:tcW w:w="360" w:type="dxa"/>
            <w:tcMar>
              <w:top w:w="60" w:type="dxa"/>
              <w:left w:w="80" w:type="dxa"/>
              <w:bottom w:w="60" w:type="dxa"/>
              <w:right w:w="80" w:type="dxa"/>
            </w:tcMar>
            <w:vAlign w:val="center"/>
          </w:tcPr>
          <w:p w14:paraId="7896A6EA" w14:textId="77777777" w:rsidR="007E5B84" w:rsidRDefault="00000000" w:rsidP="00520AE3">
            <w:pPr>
              <w:jc w:val="left"/>
            </w:pPr>
            <w:r>
              <w:rPr>
                <w:sz w:val="14"/>
              </w:rPr>
              <w:t>0</w:t>
            </w:r>
          </w:p>
        </w:tc>
        <w:tc>
          <w:tcPr>
            <w:tcW w:w="1170" w:type="dxa"/>
            <w:tcMar>
              <w:top w:w="60" w:type="dxa"/>
              <w:left w:w="80" w:type="dxa"/>
              <w:bottom w:w="60" w:type="dxa"/>
              <w:right w:w="80" w:type="dxa"/>
            </w:tcMar>
            <w:vAlign w:val="center"/>
          </w:tcPr>
          <w:p w14:paraId="468E50F9" w14:textId="77777777" w:rsidR="007E5B84" w:rsidRDefault="00000000" w:rsidP="00520AE3">
            <w:pPr>
              <w:jc w:val="left"/>
            </w:pPr>
            <w:r>
              <w:rPr>
                <w:sz w:val="14"/>
              </w:rPr>
              <w:t>Study author</w:t>
            </w:r>
          </w:p>
        </w:tc>
        <w:tc>
          <w:tcPr>
            <w:tcW w:w="1170" w:type="dxa"/>
            <w:tcMar>
              <w:top w:w="60" w:type="dxa"/>
              <w:left w:w="80" w:type="dxa"/>
              <w:bottom w:w="60" w:type="dxa"/>
              <w:right w:w="80" w:type="dxa"/>
            </w:tcMar>
            <w:vAlign w:val="center"/>
          </w:tcPr>
          <w:p w14:paraId="5CC544EF" w14:textId="77777777" w:rsidR="007E5B84" w:rsidRDefault="00000000" w:rsidP="00520AE3">
            <w:pPr>
              <w:jc w:val="left"/>
            </w:pPr>
            <w:r>
              <w:rPr>
                <w:sz w:val="14"/>
              </w:rPr>
              <w:t>Error-analysis</w:t>
            </w:r>
          </w:p>
        </w:tc>
      </w:tr>
      <w:tr w:rsidR="007E5B84" w14:paraId="2F71B9B6" w14:textId="77777777" w:rsidTr="00520AE3">
        <w:tc>
          <w:tcPr>
            <w:tcW w:w="1240" w:type="dxa"/>
            <w:tcMar>
              <w:top w:w="60" w:type="dxa"/>
              <w:left w:w="80" w:type="dxa"/>
              <w:bottom w:w="60" w:type="dxa"/>
              <w:right w:w="80" w:type="dxa"/>
            </w:tcMar>
            <w:vAlign w:val="center"/>
          </w:tcPr>
          <w:p w14:paraId="6E7C2B04" w14:textId="77777777" w:rsidR="007E5B84" w:rsidRDefault="00000000" w:rsidP="00520AE3">
            <w:pPr>
              <w:jc w:val="left"/>
            </w:pPr>
            <w:r>
              <w:rPr>
                <w:sz w:val="14"/>
              </w:rPr>
              <w:t>Holdout 1 regression</w:t>
            </w:r>
          </w:p>
        </w:tc>
        <w:tc>
          <w:tcPr>
            <w:tcW w:w="503" w:type="dxa"/>
            <w:tcMar>
              <w:top w:w="60" w:type="dxa"/>
              <w:left w:w="80" w:type="dxa"/>
              <w:bottom w:w="60" w:type="dxa"/>
              <w:right w:w="80" w:type="dxa"/>
            </w:tcMar>
            <w:vAlign w:val="center"/>
          </w:tcPr>
          <w:p w14:paraId="2C8B3BE1" w14:textId="77777777" w:rsidR="007E5B84" w:rsidRDefault="00000000" w:rsidP="00520AE3">
            <w:pPr>
              <w:jc w:val="left"/>
            </w:pPr>
            <w:r>
              <w:rPr>
                <w:sz w:val="14"/>
              </w:rPr>
              <w:t>14</w:t>
            </w:r>
          </w:p>
        </w:tc>
        <w:tc>
          <w:tcPr>
            <w:tcW w:w="339" w:type="dxa"/>
            <w:tcMar>
              <w:top w:w="60" w:type="dxa"/>
              <w:left w:w="80" w:type="dxa"/>
              <w:bottom w:w="60" w:type="dxa"/>
              <w:right w:w="80" w:type="dxa"/>
            </w:tcMar>
            <w:vAlign w:val="center"/>
          </w:tcPr>
          <w:p w14:paraId="7484F14A" w14:textId="77777777" w:rsidR="007E5B84" w:rsidRDefault="00000000" w:rsidP="00520AE3">
            <w:pPr>
              <w:jc w:val="left"/>
            </w:pPr>
            <w:r>
              <w:rPr>
                <w:sz w:val="14"/>
              </w:rPr>
              <w:t>6</w:t>
            </w:r>
          </w:p>
        </w:tc>
        <w:tc>
          <w:tcPr>
            <w:tcW w:w="343" w:type="dxa"/>
            <w:tcMar>
              <w:top w:w="60" w:type="dxa"/>
              <w:left w:w="80" w:type="dxa"/>
              <w:bottom w:w="60" w:type="dxa"/>
              <w:right w:w="80" w:type="dxa"/>
            </w:tcMar>
            <w:vAlign w:val="center"/>
          </w:tcPr>
          <w:p w14:paraId="2B2999D2" w14:textId="77777777" w:rsidR="007E5B84" w:rsidRDefault="00000000" w:rsidP="00520AE3">
            <w:pPr>
              <w:jc w:val="left"/>
            </w:pPr>
            <w:r>
              <w:rPr>
                <w:sz w:val="14"/>
              </w:rPr>
              <w:t>0</w:t>
            </w:r>
          </w:p>
        </w:tc>
        <w:tc>
          <w:tcPr>
            <w:tcW w:w="360" w:type="dxa"/>
            <w:tcMar>
              <w:top w:w="60" w:type="dxa"/>
              <w:left w:w="80" w:type="dxa"/>
              <w:bottom w:w="60" w:type="dxa"/>
              <w:right w:w="80" w:type="dxa"/>
            </w:tcMar>
            <w:vAlign w:val="center"/>
          </w:tcPr>
          <w:p w14:paraId="75FEE387" w14:textId="77777777" w:rsidR="007E5B84" w:rsidRDefault="00000000" w:rsidP="00520AE3">
            <w:pPr>
              <w:jc w:val="left"/>
            </w:pPr>
            <w:r>
              <w:rPr>
                <w:sz w:val="14"/>
              </w:rPr>
              <w:t>8</w:t>
            </w:r>
          </w:p>
        </w:tc>
        <w:tc>
          <w:tcPr>
            <w:tcW w:w="360" w:type="dxa"/>
            <w:tcMar>
              <w:top w:w="60" w:type="dxa"/>
              <w:left w:w="80" w:type="dxa"/>
              <w:bottom w:w="60" w:type="dxa"/>
              <w:right w:w="80" w:type="dxa"/>
            </w:tcMar>
            <w:vAlign w:val="center"/>
          </w:tcPr>
          <w:p w14:paraId="4E6BB4DE" w14:textId="77777777" w:rsidR="007E5B84" w:rsidRDefault="00000000" w:rsidP="00520AE3">
            <w:pPr>
              <w:jc w:val="left"/>
            </w:pPr>
            <w:r>
              <w:rPr>
                <w:sz w:val="14"/>
              </w:rPr>
              <w:t>0</w:t>
            </w:r>
          </w:p>
        </w:tc>
        <w:tc>
          <w:tcPr>
            <w:tcW w:w="1170" w:type="dxa"/>
            <w:tcMar>
              <w:top w:w="60" w:type="dxa"/>
              <w:left w:w="80" w:type="dxa"/>
              <w:bottom w:w="60" w:type="dxa"/>
              <w:right w:w="80" w:type="dxa"/>
            </w:tcMar>
            <w:vAlign w:val="center"/>
          </w:tcPr>
          <w:p w14:paraId="1506882F" w14:textId="77777777" w:rsidR="007E5B84" w:rsidRDefault="00000000" w:rsidP="00520AE3">
            <w:pPr>
              <w:jc w:val="left"/>
            </w:pPr>
            <w:r>
              <w:rPr>
                <w:sz w:val="14"/>
              </w:rPr>
              <w:t>Study author</w:t>
            </w:r>
          </w:p>
        </w:tc>
        <w:tc>
          <w:tcPr>
            <w:tcW w:w="1170" w:type="dxa"/>
            <w:tcMar>
              <w:top w:w="60" w:type="dxa"/>
              <w:left w:w="80" w:type="dxa"/>
              <w:bottom w:w="60" w:type="dxa"/>
              <w:right w:w="80" w:type="dxa"/>
            </w:tcMar>
            <w:vAlign w:val="center"/>
          </w:tcPr>
          <w:p w14:paraId="36A33D41" w14:textId="77777777" w:rsidR="007E5B84" w:rsidRDefault="00000000" w:rsidP="00520AE3">
            <w:pPr>
              <w:jc w:val="left"/>
            </w:pPr>
            <w:r>
              <w:rPr>
                <w:sz w:val="14"/>
              </w:rPr>
              <w:t>Regression</w:t>
            </w:r>
          </w:p>
        </w:tc>
      </w:tr>
      <w:tr w:rsidR="007E5B84" w14:paraId="37A44A88" w14:textId="77777777" w:rsidTr="00520AE3">
        <w:tc>
          <w:tcPr>
            <w:tcW w:w="1240" w:type="dxa"/>
            <w:tcMar>
              <w:top w:w="60" w:type="dxa"/>
              <w:left w:w="80" w:type="dxa"/>
              <w:bottom w:w="60" w:type="dxa"/>
              <w:right w:w="80" w:type="dxa"/>
            </w:tcMar>
            <w:vAlign w:val="center"/>
          </w:tcPr>
          <w:p w14:paraId="38EE3F74" w14:textId="77777777" w:rsidR="007E5B84" w:rsidRDefault="00000000" w:rsidP="00520AE3">
            <w:pPr>
              <w:jc w:val="left"/>
            </w:pPr>
            <w:r>
              <w:rPr>
                <w:sz w:val="14"/>
              </w:rPr>
              <w:t>Holdout 2 (v0.2)</w:t>
            </w:r>
          </w:p>
        </w:tc>
        <w:tc>
          <w:tcPr>
            <w:tcW w:w="503" w:type="dxa"/>
            <w:tcMar>
              <w:top w:w="60" w:type="dxa"/>
              <w:left w:w="80" w:type="dxa"/>
              <w:bottom w:w="60" w:type="dxa"/>
              <w:right w:w="80" w:type="dxa"/>
            </w:tcMar>
            <w:vAlign w:val="center"/>
          </w:tcPr>
          <w:p w14:paraId="270511CB" w14:textId="77777777" w:rsidR="007E5B84" w:rsidRDefault="00000000" w:rsidP="00520AE3">
            <w:pPr>
              <w:jc w:val="left"/>
            </w:pPr>
            <w:r>
              <w:rPr>
                <w:sz w:val="14"/>
              </w:rPr>
              <w:t>16</w:t>
            </w:r>
          </w:p>
        </w:tc>
        <w:tc>
          <w:tcPr>
            <w:tcW w:w="339" w:type="dxa"/>
            <w:tcMar>
              <w:top w:w="60" w:type="dxa"/>
              <w:left w:w="80" w:type="dxa"/>
              <w:bottom w:w="60" w:type="dxa"/>
              <w:right w:w="80" w:type="dxa"/>
            </w:tcMar>
            <w:vAlign w:val="center"/>
          </w:tcPr>
          <w:p w14:paraId="08886B9F" w14:textId="77777777" w:rsidR="007E5B84" w:rsidRDefault="00000000" w:rsidP="00520AE3">
            <w:pPr>
              <w:jc w:val="left"/>
            </w:pPr>
            <w:r>
              <w:rPr>
                <w:sz w:val="14"/>
              </w:rPr>
              <w:t>7</w:t>
            </w:r>
          </w:p>
        </w:tc>
        <w:tc>
          <w:tcPr>
            <w:tcW w:w="343" w:type="dxa"/>
            <w:tcMar>
              <w:top w:w="60" w:type="dxa"/>
              <w:left w:w="80" w:type="dxa"/>
              <w:bottom w:w="60" w:type="dxa"/>
              <w:right w:w="80" w:type="dxa"/>
            </w:tcMar>
            <w:vAlign w:val="center"/>
          </w:tcPr>
          <w:p w14:paraId="74956230" w14:textId="77777777" w:rsidR="007E5B84" w:rsidRDefault="00000000" w:rsidP="00520AE3">
            <w:pPr>
              <w:jc w:val="left"/>
            </w:pPr>
            <w:r>
              <w:rPr>
                <w:sz w:val="14"/>
              </w:rPr>
              <w:t>0</w:t>
            </w:r>
          </w:p>
        </w:tc>
        <w:tc>
          <w:tcPr>
            <w:tcW w:w="360" w:type="dxa"/>
            <w:tcMar>
              <w:top w:w="60" w:type="dxa"/>
              <w:left w:w="80" w:type="dxa"/>
              <w:bottom w:w="60" w:type="dxa"/>
              <w:right w:w="80" w:type="dxa"/>
            </w:tcMar>
            <w:vAlign w:val="center"/>
          </w:tcPr>
          <w:p w14:paraId="21E4CAD1" w14:textId="77777777" w:rsidR="007E5B84" w:rsidRDefault="00000000" w:rsidP="00520AE3">
            <w:pPr>
              <w:jc w:val="left"/>
            </w:pPr>
            <w:r>
              <w:rPr>
                <w:sz w:val="14"/>
              </w:rPr>
              <w:t>9</w:t>
            </w:r>
          </w:p>
        </w:tc>
        <w:tc>
          <w:tcPr>
            <w:tcW w:w="360" w:type="dxa"/>
            <w:tcMar>
              <w:top w:w="60" w:type="dxa"/>
              <w:left w:w="80" w:type="dxa"/>
              <w:bottom w:w="60" w:type="dxa"/>
              <w:right w:w="80" w:type="dxa"/>
            </w:tcMar>
            <w:vAlign w:val="center"/>
          </w:tcPr>
          <w:p w14:paraId="614585AC" w14:textId="77777777" w:rsidR="007E5B84" w:rsidRDefault="00000000" w:rsidP="00520AE3">
            <w:pPr>
              <w:jc w:val="left"/>
            </w:pPr>
            <w:r>
              <w:rPr>
                <w:sz w:val="14"/>
              </w:rPr>
              <w:t>0</w:t>
            </w:r>
          </w:p>
        </w:tc>
        <w:tc>
          <w:tcPr>
            <w:tcW w:w="1170" w:type="dxa"/>
            <w:tcMar>
              <w:top w:w="60" w:type="dxa"/>
              <w:left w:w="80" w:type="dxa"/>
              <w:bottom w:w="60" w:type="dxa"/>
              <w:right w:w="80" w:type="dxa"/>
            </w:tcMar>
            <w:vAlign w:val="center"/>
          </w:tcPr>
          <w:p w14:paraId="4325F7D8" w14:textId="77777777" w:rsidR="007E5B84" w:rsidRDefault="00000000" w:rsidP="00520AE3">
            <w:pPr>
              <w:jc w:val="left"/>
            </w:pPr>
            <w:r>
              <w:rPr>
                <w:sz w:val="14"/>
              </w:rPr>
              <w:t>Study author</w:t>
            </w:r>
          </w:p>
        </w:tc>
        <w:tc>
          <w:tcPr>
            <w:tcW w:w="1170" w:type="dxa"/>
            <w:tcMar>
              <w:top w:w="60" w:type="dxa"/>
              <w:left w:w="80" w:type="dxa"/>
              <w:bottom w:w="60" w:type="dxa"/>
              <w:right w:w="80" w:type="dxa"/>
            </w:tcMar>
            <w:vAlign w:val="center"/>
          </w:tcPr>
          <w:p w14:paraId="22A1E393" w14:textId="77777777" w:rsidR="007E5B84" w:rsidRDefault="00000000" w:rsidP="00520AE3">
            <w:pPr>
              <w:jc w:val="left"/>
            </w:pPr>
            <w:r>
              <w:rPr>
                <w:sz w:val="14"/>
              </w:rPr>
              <w:t>Designed holdout</w:t>
            </w:r>
          </w:p>
        </w:tc>
      </w:tr>
    </w:tbl>
    <w:p w14:paraId="34CC0BDD" w14:textId="3203B932" w:rsidR="007E5B84" w:rsidRDefault="00520AE3">
      <w:pPr>
        <w:sectPr w:rsidR="007E5B84" w:rsidSect="007217D5">
          <w:type w:val="continuous"/>
          <w:pgSz w:w="11520" w:h="15660"/>
          <w:pgMar w:top="1300" w:right="740" w:bottom="1040" w:left="740" w:header="360" w:footer="360" w:gutter="0"/>
          <w:cols w:num="2" w:space="400"/>
        </w:sectPr>
      </w:pPr>
      <w:r>
        <w:br w:type="textWrapping" w:clear="all"/>
      </w:r>
    </w:p>
    <w:p w14:paraId="12EFE991" w14:textId="77777777" w:rsidR="00FF69B1" w:rsidRDefault="00FF69B1" w:rsidP="00520AE3">
      <w:pPr>
        <w:jc w:val="left"/>
      </w:pPr>
    </w:p>
    <w:p w14:paraId="18E00FB5" w14:textId="77777777" w:rsidR="00FF69B1" w:rsidRDefault="00000000" w:rsidP="00520AE3">
      <w:pPr>
        <w:spacing w:before="60" w:after="80"/>
        <w:jc w:val="left"/>
      </w:pPr>
      <w:r>
        <w:t>Table 10. Artifact-Flow Analysis evaluation history.</w:t>
      </w:r>
    </w:p>
    <w:p w14:paraId="66C756C9" w14:textId="77777777" w:rsidR="00FF69B1" w:rsidRDefault="00000000" w:rsidP="0034461A">
      <w:r>
        <w:t>Frozen v0.2 agreed with the investigator-authored Holdout 2 oracle on all 16 cases (7 true positives and 9 true negatives). This result demonstrates feasibility for converting selected benchmark-derived artifact relationships into explicit checks on the evaluated, investigator-designed cases. Because the same investigator defined the analysis, its supported semantics, and the holdout oracles, the 16/16 result is not an independent detector-accuracy estimate, a population-level performance claim, or evidence of complete GitHub Actions semantic coverage.</w:t>
      </w:r>
    </w:p>
    <w:p w14:paraId="08595A87" w14:textId="77777777" w:rsidR="007E5B84" w:rsidRDefault="00000000">
      <w:pPr>
        <w:pStyle w:val="Heading3"/>
        <w:jc w:val="left"/>
      </w:pPr>
      <w:r>
        <w:t>7.4.1 Language-model response evaluation</w:t>
      </w:r>
    </w:p>
    <w:p w14:paraId="66F2AA08" w14:textId="77777777" w:rsidR="007E5B84" w:rsidRDefault="00000000">
      <w:r>
        <w:t>The independent human evaluator scored all 315 primary responses. Under the strict Oracle Match rule, claude-sonnet-5 matched 85 of 105 responses (80.95%), gpt-5.6-terra matched 81 of 105 (77.14%), and gemini-3.6-flash matched 39 of 105 (37.14%). Across all three models, 205 of 315 responses (65.08%) received a strict Yes rating. Under the lenient Yes-or-Partial criterion, Claude and GPT retained the same 85/105 (80.95%) and 81/105 (77.14%) rates, while Gemini reached 60/105 (57.14%); the overall lenient result was 226/315 (71.75%). The human evaluation preserved the principal model-level pattern observed in the preliminary automated secondary assessment: Claude and GPT performed similarly and substantially above Gemini under the strict oracle criterion. After the human ratings were frozen, they were joined to the secondary ratings using the private blind key. The evaluations assigned the same four-category Oracle Match label to 303 of 315 responses (96.19%; Cohen's kappa = 0.929). Agreement was 98.41% (kappa = 0.965) under the strict Yes-versus-other collapse and 99.05% (kappa = 0.976) under the lenient Yes/Partial-versus-No/Unclear collapse. All 12 remaining four-category disagreements occurred among Gemini responses and primarily involved boundaries among Yes, Partial, No, and Unclear for incomplete responses.</w:t>
      </w:r>
    </w:p>
    <w:p>
      <w:r>
        <w:t>At the case level, Claude satisfied the strict 2-of-3 majority criterion on 29 of 35 cases, while GPT satisfied it on 27 of 35. The models agreed on 31 cases. Among the four discordant cases, Claude alone satisfied the majority criterion on three cases and GPT alone on one. An exact two-sided McNemar test found no evidence of a difference in paired case-level strict performance (p = 0.625). The 80.95% versus 77.14% trial-level strict rates should therefore not be interpreted as establishing a performance ordering between Claude and GPT in this experiment.</w:t>
      </w:r>
    </w:p>
    <w:p w14:paraId="0671EF91" w14:textId="77777777" w:rsidR="007E5B84" w:rsidRDefault="007E5B84">
      <w:pPr>
        <w:sectPr w:rsidR="007E5B84" w:rsidSect="007217D5">
          <w:type w:val="continuous"/>
          <w:pgSz w:w="11520" w:h="15660"/>
          <w:pgMar w:top="1300" w:right="740" w:bottom="1040" w:left="740" w:header="360" w:footer="360" w:gutter="0"/>
          <w:cols w:num="1" w:space="720"/>
        </w:sectPr>
      </w:pPr>
    </w:p>
    <w:p w14:paraId="5C004E6A" w14:textId="77777777" w:rsidR="007E5B84" w:rsidRDefault="00000000" w:rsidP="00520AE3">
      <w:pPr>
        <w:spacing w:before="60" w:after="80"/>
        <w:jc w:val="left"/>
      </w:pPr>
      <w:r>
        <w:t>Table 11. Independent human response evaluation.</w:t>
      </w:r>
    </w:p>
    <w:tbl>
      <w:tblPr>
        <w:tblStyle w:val="TableGrid"/>
        <w:tblW w:w="4405" w:type="dxa"/>
        <w:tblLook w:val="04A0" w:firstRow="1" w:lastRow="0" w:firstColumn="1" w:lastColumn="0" w:noHBand="0" w:noVBand="1"/>
      </w:tblPr>
      <w:tblGrid>
        <w:gridCol w:w="1222"/>
        <w:gridCol w:w="717"/>
        <w:gridCol w:w="592"/>
      </w:tblGrid>
      <w:tr w:rsidR="007E5B84" w14:paraId="32671E25" w14:textId="77777777" w:rsidTr="00520AE3">
        <w:trPr>
          <w:tblHeader/>
        </w:trPr>
        <w:tc>
          <w:tcPr>
            <w:tcW w:w="1222" w:type="dxa"/>
            <w:tcMar>
              <w:top w:w="60" w:type="dxa"/>
              <w:left w:w="80" w:type="dxa"/>
              <w:bottom w:w="60" w:type="dxa"/>
              <w:right w:w="80" w:type="dxa"/>
            </w:tcMar>
            <w:vAlign w:val="center"/>
          </w:tcPr>
          <w:p>
            <w:pPr>
              <w:spacing w:before="0" w:after="0"/>
            </w:pPr>
            <w:r>
              <w:rPr>
                <w:sz w:val="15"/>
              </w:rPr>
              <w:t>Model</w:t>
            </w:r>
          </w:p>
        </w:tc>
        <w:tc>
          <w:tcPr>
            <w:tcW w:w="717" w:type="dxa"/>
            <w:tcMar>
              <w:top w:w="60" w:type="dxa"/>
              <w:left w:w="80" w:type="dxa"/>
              <w:bottom w:w="60" w:type="dxa"/>
              <w:right w:w="80" w:type="dxa"/>
            </w:tcMar>
            <w:vAlign w:val="center"/>
          </w:tcPr>
          <w:p>
            <w:pPr>
              <w:spacing w:before="0" w:after="0"/>
            </w:pPr>
            <w:r>
              <w:rPr>
                <w:sz w:val="15"/>
              </w:rPr>
              <w:t>Strict</w:t>
            </w:r>
          </w:p>
        </w:tc>
        <w:tc>
          <w:tcPr>
            <w:tcW w:w="592" w:type="dxa"/>
            <w:tcMar>
              <w:top w:w="60" w:type="dxa"/>
              <w:left w:w="80" w:type="dxa"/>
              <w:bottom w:w="60" w:type="dxa"/>
              <w:right w:w="80" w:type="dxa"/>
            </w:tcMar>
            <w:vAlign w:val="center"/>
          </w:tcPr>
          <w:p>
            <w:pPr>
              <w:spacing w:before="0" w:after="0"/>
            </w:pPr>
            <w:r>
              <w:rPr>
                <w:sz w:val="15"/>
              </w:rPr>
              <w:t>Lenient</w:t>
            </w:r>
          </w:p>
        </w:tc>
      </w:tr>
      <w:tr w:rsidR="007E5B84" w14:paraId="13631B54" w14:textId="77777777" w:rsidTr="00520AE3">
        <w:tc>
          <w:tcPr>
            <w:tcW w:w="1222" w:type="dxa"/>
            <w:tcMar>
              <w:top w:w="60" w:type="dxa"/>
              <w:left w:w="80" w:type="dxa"/>
              <w:bottom w:w="60" w:type="dxa"/>
              <w:right w:w="80" w:type="dxa"/>
            </w:tcMar>
            <w:vAlign w:val="center"/>
          </w:tcPr>
          <w:p>
            <w:pPr>
              <w:spacing w:before="0" w:after="0"/>
            </w:pPr>
            <w:r>
              <w:rPr>
                <w:sz w:val="15"/>
              </w:rPr>
              <w:t>claude-sonnet-5</w:t>
            </w:r>
          </w:p>
        </w:tc>
        <w:tc>
          <w:tcPr>
            <w:tcW w:w="717" w:type="dxa"/>
            <w:tcMar>
              <w:top w:w="60" w:type="dxa"/>
              <w:left w:w="80" w:type="dxa"/>
              <w:bottom w:w="60" w:type="dxa"/>
              <w:right w:w="80" w:type="dxa"/>
            </w:tcMar>
            <w:vAlign w:val="center"/>
          </w:tcPr>
          <w:p>
            <w:pPr>
              <w:spacing w:before="0" w:after="0"/>
            </w:pPr>
            <w:r>
              <w:rPr>
                <w:sz w:val="15"/>
              </w:rPr>
              <w:t>85/105 (80.95%)</w:t>
            </w:r>
          </w:p>
        </w:tc>
        <w:tc>
          <w:tcPr>
            <w:tcW w:w="592" w:type="dxa"/>
            <w:tcMar>
              <w:top w:w="60" w:type="dxa"/>
              <w:left w:w="80" w:type="dxa"/>
              <w:bottom w:w="60" w:type="dxa"/>
              <w:right w:w="80" w:type="dxa"/>
            </w:tcMar>
            <w:vAlign w:val="center"/>
          </w:tcPr>
          <w:p>
            <w:pPr>
              <w:spacing w:before="0" w:after="0"/>
            </w:pPr>
            <w:r>
              <w:rPr>
                <w:sz w:val="15"/>
              </w:rPr>
              <w:t>85/105 (80.95%)</w:t>
            </w:r>
          </w:p>
        </w:tc>
      </w:tr>
      <w:tr w:rsidR="007E5B84" w14:paraId="503EE1B2" w14:textId="77777777" w:rsidTr="00520AE3">
        <w:tc>
          <w:tcPr>
            <w:tcW w:w="1222" w:type="dxa"/>
            <w:tcMar>
              <w:top w:w="60" w:type="dxa"/>
              <w:left w:w="80" w:type="dxa"/>
              <w:bottom w:w="60" w:type="dxa"/>
              <w:right w:w="80" w:type="dxa"/>
            </w:tcMar>
            <w:vAlign w:val="center"/>
          </w:tcPr>
          <w:p>
            <w:pPr>
              <w:spacing w:before="0" w:after="0"/>
            </w:pPr>
            <w:r>
              <w:rPr>
                <w:sz w:val="15"/>
              </w:rPr>
              <w:t>gpt-5.6-terra</w:t>
            </w:r>
          </w:p>
        </w:tc>
        <w:tc>
          <w:tcPr>
            <w:tcW w:w="717" w:type="dxa"/>
            <w:tcMar>
              <w:top w:w="60" w:type="dxa"/>
              <w:left w:w="80" w:type="dxa"/>
              <w:bottom w:w="60" w:type="dxa"/>
              <w:right w:w="80" w:type="dxa"/>
            </w:tcMar>
            <w:vAlign w:val="center"/>
          </w:tcPr>
          <w:p>
            <w:pPr>
              <w:spacing w:before="0" w:after="0"/>
            </w:pPr>
            <w:r>
              <w:rPr>
                <w:sz w:val="15"/>
              </w:rPr>
              <w:t>81/105 (77.14%)</w:t>
            </w:r>
          </w:p>
        </w:tc>
        <w:tc>
          <w:tcPr>
            <w:tcW w:w="592" w:type="dxa"/>
            <w:tcMar>
              <w:top w:w="60" w:type="dxa"/>
              <w:left w:w="80" w:type="dxa"/>
              <w:bottom w:w="60" w:type="dxa"/>
              <w:right w:w="80" w:type="dxa"/>
            </w:tcMar>
            <w:vAlign w:val="center"/>
          </w:tcPr>
          <w:p>
            <w:pPr>
              <w:spacing w:before="0" w:after="0"/>
            </w:pPr>
            <w:r>
              <w:rPr>
                <w:sz w:val="15"/>
              </w:rPr>
              <w:t>81/105 (77.14%)</w:t>
            </w:r>
          </w:p>
        </w:tc>
      </w:tr>
      <w:tr w:rsidR="007E5B84" w14:paraId="5FBEFDD1" w14:textId="77777777" w:rsidTr="00520AE3">
        <w:tc>
          <w:tcPr>
            <w:tcW w:w="1222" w:type="dxa"/>
            <w:tcMar>
              <w:top w:w="60" w:type="dxa"/>
              <w:left w:w="80" w:type="dxa"/>
              <w:bottom w:w="60" w:type="dxa"/>
              <w:right w:w="80" w:type="dxa"/>
            </w:tcMar>
            <w:vAlign w:val="center"/>
          </w:tcPr>
          <w:p>
            <w:pPr>
              <w:spacing w:before="0" w:after="0"/>
            </w:pPr>
            <w:r>
              <w:rPr>
                <w:sz w:val="15"/>
              </w:rPr>
              <w:t>gemini-3.6-flash</w:t>
            </w:r>
          </w:p>
        </w:tc>
        <w:tc>
          <w:tcPr>
            <w:tcW w:w="717" w:type="dxa"/>
            <w:tcMar>
              <w:top w:w="60" w:type="dxa"/>
              <w:left w:w="80" w:type="dxa"/>
              <w:bottom w:w="60" w:type="dxa"/>
              <w:right w:w="80" w:type="dxa"/>
            </w:tcMar>
            <w:vAlign w:val="center"/>
          </w:tcPr>
          <w:p>
            <w:pPr>
              <w:spacing w:before="0" w:after="0"/>
            </w:pPr>
            <w:r>
              <w:rPr>
                <w:sz w:val="15"/>
              </w:rPr>
              <w:t>39/105 (37.14%)</w:t>
            </w:r>
          </w:p>
        </w:tc>
        <w:tc>
          <w:tcPr>
            <w:tcW w:w="592" w:type="dxa"/>
            <w:tcMar>
              <w:top w:w="60" w:type="dxa"/>
              <w:left w:w="80" w:type="dxa"/>
              <w:bottom w:w="60" w:type="dxa"/>
              <w:right w:w="80" w:type="dxa"/>
            </w:tcMar>
            <w:vAlign w:val="center"/>
          </w:tcPr>
          <w:p>
            <w:pPr>
              <w:spacing w:before="0" w:after="0"/>
            </w:pPr>
            <w:r>
              <w:rPr>
                <w:sz w:val="15"/>
              </w:rPr>
              <w:t>60/105 (57.14%)</w:t>
            </w:r>
          </w:p>
        </w:tc>
      </w:tr>
    </w:tbl>
    <w:p w14:paraId="3D1C1AD6" w14:textId="77777777" w:rsidR="007E5B84" w:rsidRDefault="007E5B84" w:rsidP="00520AE3">
      <w:pPr>
        <w:jc w:val="left"/>
        <w:sectPr w:rsidR="007E5B84" w:rsidSect="007217D5">
          <w:type w:val="continuous"/>
          <w:pgSz w:w="11520" w:h="15660"/>
          <w:pgMar w:top="1300" w:right="740" w:bottom="1040" w:left="740" w:header="360" w:footer="360" w:gutter="0"/>
          <w:cols w:num="2" w:space="400"/>
        </w:sectPr>
      </w:pPr>
    </w:p>
    <w:p w14:paraId="7A3E4A65" w14:textId="77777777" w:rsidR="007E5B84" w:rsidRDefault="00000000">
      <w:pPr>
        <w:pStyle w:val="Heading3"/>
        <w:jc w:val="left"/>
      </w:pPr>
      <w:r>
        <w:t>7.4.2 Execution reliability of the primary model runs</w:t>
      </w:r>
    </w:p>
    <w:p w14:paraId="42B90FE9" w14:textId="77777777" w:rsidR="007E5B84" w:rsidRDefault="00000000">
      <w:r>
        <w:t>Across the 315 scheduled primary calls, 256 (81.3%) completed on the original execution and 59 (18.7%) were resolved through the frozen retry protocol. OpenAI completed all 105 original trials; 31 Anthropic and 28 Google canonical responses came from permitted retries. All 315 scheduled slots were ultimately resolved. Failed API execution attempts were not scored as semantic misses, and the observed transport failures are reported only as properties of the recorded runs rather than as provider reliability estimates. Detailed retry types and depths are preserved in the reproducibility artifacts.</w:t>
      </w:r>
    </w:p>
    <w:p w14:paraId="50A42400" w14:textId="77777777" w:rsidR="007E5B84" w:rsidRDefault="007E5B84">
      <w:pPr>
        <w:sectPr w:rsidR="007E5B84" w:rsidSect="007217D5">
          <w:type w:val="continuous"/>
          <w:pgSz w:w="11520" w:h="15660"/>
          <w:pgMar w:top="1300" w:right="740" w:bottom="1040" w:left="740" w:header="360" w:footer="360" w:gutter="0"/>
          <w:cols w:num="1" w:space="720"/>
        </w:sectPr>
      </w:pPr>
    </w:p>
    <w:p w14:paraId="44060358" w14:textId="77777777" w:rsidR="007E5B84" w:rsidRDefault="00000000" w:rsidP="00520AE3">
      <w:pPr>
        <w:spacing w:before="60" w:after="80"/>
      </w:pPr>
      <w:r>
        <w:t>Table 12. Primary execution completeness and canonical retries.</w:t>
      </w:r>
    </w:p>
    <w:tbl>
      <w:tblPr>
        <w:tblStyle w:val="TableGrid"/>
        <w:tblW w:w="5215" w:type="dxa"/>
        <w:tblLook w:val="04A0" w:firstRow="1" w:lastRow="0" w:firstColumn="1" w:lastColumn="0" w:noHBand="0" w:noVBand="1"/>
      </w:tblPr>
      <w:tblGrid>
        <w:gridCol w:w="1255"/>
        <w:gridCol w:w="1350"/>
        <w:gridCol w:w="720"/>
        <w:gridCol w:w="810"/>
        <w:gridCol w:w="1080"/>
      </w:tblGrid>
      <w:tr w:rsidR="007E5B84" w14:paraId="029C5E93" w14:textId="77777777" w:rsidTr="00520AE3">
        <w:trPr>
          <w:tblHeader/>
        </w:trPr>
        <w:tc>
          <w:tcPr>
            <w:tcW w:w="1255" w:type="dxa"/>
            <w:tcMar>
              <w:top w:w="60" w:type="dxa"/>
              <w:left w:w="80" w:type="dxa"/>
              <w:bottom w:w="60" w:type="dxa"/>
              <w:right w:w="80" w:type="dxa"/>
            </w:tcMar>
            <w:vAlign w:val="center"/>
          </w:tcPr>
          <w:p w14:paraId="35BB1DA9" w14:textId="77777777" w:rsidR="007E5B84" w:rsidRDefault="00000000">
            <w:pPr>
              <w:jc w:val="left"/>
            </w:pPr>
            <w:r>
              <w:rPr>
                <w:b/>
                <w:sz w:val="16"/>
              </w:rPr>
              <w:t>Model</w:t>
            </w:r>
          </w:p>
        </w:tc>
        <w:tc>
          <w:tcPr>
            <w:tcW w:w="1350" w:type="dxa"/>
            <w:tcMar>
              <w:top w:w="60" w:type="dxa"/>
              <w:left w:w="80" w:type="dxa"/>
              <w:bottom w:w="60" w:type="dxa"/>
              <w:right w:w="80" w:type="dxa"/>
            </w:tcMar>
            <w:vAlign w:val="center"/>
          </w:tcPr>
          <w:p w14:paraId="666DBC4D" w14:textId="77777777" w:rsidR="007E5B84" w:rsidRDefault="00000000">
            <w:pPr>
              <w:jc w:val="left"/>
            </w:pPr>
            <w:r>
              <w:rPr>
                <w:b/>
                <w:sz w:val="16"/>
              </w:rPr>
              <w:t>Original complete</w:t>
            </w:r>
          </w:p>
        </w:tc>
        <w:tc>
          <w:tcPr>
            <w:tcW w:w="720" w:type="dxa"/>
            <w:tcMar>
              <w:top w:w="60" w:type="dxa"/>
              <w:left w:w="80" w:type="dxa"/>
              <w:bottom w:w="60" w:type="dxa"/>
              <w:right w:w="80" w:type="dxa"/>
            </w:tcMar>
            <w:vAlign w:val="center"/>
          </w:tcPr>
          <w:p w14:paraId="1ADDC2FF" w14:textId="77777777" w:rsidR="007E5B84" w:rsidRDefault="00000000">
            <w:pPr>
              <w:jc w:val="left"/>
            </w:pPr>
            <w:r>
              <w:rPr>
                <w:b/>
                <w:sz w:val="16"/>
              </w:rPr>
              <w:t>Retry selected</w:t>
            </w:r>
          </w:p>
        </w:tc>
        <w:tc>
          <w:tcPr>
            <w:tcW w:w="810" w:type="dxa"/>
            <w:tcMar>
              <w:top w:w="60" w:type="dxa"/>
              <w:left w:w="80" w:type="dxa"/>
              <w:bottom w:w="60" w:type="dxa"/>
              <w:right w:w="80" w:type="dxa"/>
            </w:tcMar>
            <w:vAlign w:val="center"/>
          </w:tcPr>
          <w:p w14:paraId="488E6F20" w14:textId="77777777" w:rsidR="007E5B84" w:rsidRDefault="00000000">
            <w:pPr>
              <w:jc w:val="left"/>
            </w:pPr>
            <w:r>
              <w:rPr>
                <w:b/>
                <w:sz w:val="16"/>
              </w:rPr>
              <w:t>Final complete</w:t>
            </w:r>
          </w:p>
        </w:tc>
        <w:tc>
          <w:tcPr>
            <w:tcW w:w="1080" w:type="dxa"/>
            <w:tcMar>
              <w:top w:w="60" w:type="dxa"/>
              <w:left w:w="80" w:type="dxa"/>
              <w:bottom w:w="60" w:type="dxa"/>
              <w:right w:w="80" w:type="dxa"/>
            </w:tcMar>
            <w:vAlign w:val="center"/>
          </w:tcPr>
          <w:p w14:paraId="1B4A0B33" w14:textId="77777777" w:rsidR="007E5B84" w:rsidRDefault="00000000">
            <w:pPr>
              <w:jc w:val="left"/>
            </w:pPr>
            <w:r>
              <w:rPr>
                <w:b/>
                <w:sz w:val="16"/>
              </w:rPr>
              <w:t>Max selected retry depth</w:t>
            </w:r>
          </w:p>
        </w:tc>
      </w:tr>
      <w:tr w:rsidR="007E5B84" w14:paraId="77015531" w14:textId="77777777" w:rsidTr="00520AE3">
        <w:tc>
          <w:tcPr>
            <w:tcW w:w="1255" w:type="dxa"/>
            <w:tcMar>
              <w:top w:w="60" w:type="dxa"/>
              <w:left w:w="80" w:type="dxa"/>
              <w:bottom w:w="60" w:type="dxa"/>
              <w:right w:w="80" w:type="dxa"/>
            </w:tcMar>
            <w:vAlign w:val="center"/>
          </w:tcPr>
          <w:p w14:paraId="43E4E5F9" w14:textId="77777777" w:rsidR="007E5B84" w:rsidRDefault="00000000">
            <w:pPr>
              <w:jc w:val="left"/>
            </w:pPr>
            <w:r>
              <w:rPr>
                <w:sz w:val="16"/>
              </w:rPr>
              <w:t>claude-sonnet-5</w:t>
            </w:r>
          </w:p>
        </w:tc>
        <w:tc>
          <w:tcPr>
            <w:tcW w:w="1350" w:type="dxa"/>
            <w:tcMar>
              <w:top w:w="60" w:type="dxa"/>
              <w:left w:w="80" w:type="dxa"/>
              <w:bottom w:w="60" w:type="dxa"/>
              <w:right w:w="80" w:type="dxa"/>
            </w:tcMar>
            <w:vAlign w:val="center"/>
          </w:tcPr>
          <w:p w14:paraId="3F57609E" w14:textId="77777777" w:rsidR="007E5B84" w:rsidRDefault="00000000">
            <w:pPr>
              <w:jc w:val="left"/>
            </w:pPr>
            <w:r>
              <w:rPr>
                <w:sz w:val="16"/>
              </w:rPr>
              <w:t>74/105 (70.5%)</w:t>
            </w:r>
          </w:p>
        </w:tc>
        <w:tc>
          <w:tcPr>
            <w:tcW w:w="720" w:type="dxa"/>
            <w:tcMar>
              <w:top w:w="60" w:type="dxa"/>
              <w:left w:w="80" w:type="dxa"/>
              <w:bottom w:w="60" w:type="dxa"/>
              <w:right w:w="80" w:type="dxa"/>
            </w:tcMar>
            <w:vAlign w:val="center"/>
          </w:tcPr>
          <w:p w14:paraId="1622721B" w14:textId="77777777" w:rsidR="007E5B84" w:rsidRDefault="00000000">
            <w:pPr>
              <w:jc w:val="left"/>
            </w:pPr>
            <w:r>
              <w:rPr>
                <w:sz w:val="16"/>
              </w:rPr>
              <w:t>31</w:t>
            </w:r>
          </w:p>
        </w:tc>
        <w:tc>
          <w:tcPr>
            <w:tcW w:w="810" w:type="dxa"/>
            <w:tcMar>
              <w:top w:w="60" w:type="dxa"/>
              <w:left w:w="80" w:type="dxa"/>
              <w:bottom w:w="60" w:type="dxa"/>
              <w:right w:w="80" w:type="dxa"/>
            </w:tcMar>
            <w:vAlign w:val="center"/>
          </w:tcPr>
          <w:p w14:paraId="42802E14" w14:textId="77777777" w:rsidR="007E5B84" w:rsidRDefault="00000000">
            <w:pPr>
              <w:jc w:val="left"/>
            </w:pPr>
            <w:r>
              <w:rPr>
                <w:sz w:val="16"/>
              </w:rPr>
              <w:t>105/105</w:t>
            </w:r>
          </w:p>
        </w:tc>
        <w:tc>
          <w:tcPr>
            <w:tcW w:w="1080" w:type="dxa"/>
            <w:tcMar>
              <w:top w:w="60" w:type="dxa"/>
              <w:left w:w="80" w:type="dxa"/>
              <w:bottom w:w="60" w:type="dxa"/>
              <w:right w:w="80" w:type="dxa"/>
            </w:tcMar>
            <w:vAlign w:val="center"/>
          </w:tcPr>
          <w:p w14:paraId="4A749EEA" w14:textId="77777777" w:rsidR="007E5B84" w:rsidRDefault="00000000">
            <w:pPr>
              <w:jc w:val="left"/>
            </w:pPr>
            <w:r>
              <w:rPr>
                <w:sz w:val="16"/>
              </w:rPr>
              <w:t>3</w:t>
            </w:r>
          </w:p>
        </w:tc>
      </w:tr>
      <w:tr w:rsidR="007E5B84" w14:paraId="2C14C666" w14:textId="77777777" w:rsidTr="00520AE3">
        <w:tc>
          <w:tcPr>
            <w:tcW w:w="1255" w:type="dxa"/>
            <w:tcMar>
              <w:top w:w="60" w:type="dxa"/>
              <w:left w:w="80" w:type="dxa"/>
              <w:bottom w:w="60" w:type="dxa"/>
              <w:right w:w="80" w:type="dxa"/>
            </w:tcMar>
            <w:vAlign w:val="center"/>
          </w:tcPr>
          <w:p w14:paraId="092E1F02" w14:textId="77777777" w:rsidR="007E5B84" w:rsidRDefault="00000000">
            <w:pPr>
              <w:jc w:val="left"/>
            </w:pPr>
            <w:r>
              <w:rPr>
                <w:sz w:val="16"/>
              </w:rPr>
              <w:t>gemini-3.6-flash</w:t>
            </w:r>
          </w:p>
        </w:tc>
        <w:tc>
          <w:tcPr>
            <w:tcW w:w="1350" w:type="dxa"/>
            <w:tcMar>
              <w:top w:w="60" w:type="dxa"/>
              <w:left w:w="80" w:type="dxa"/>
              <w:bottom w:w="60" w:type="dxa"/>
              <w:right w:w="80" w:type="dxa"/>
            </w:tcMar>
            <w:vAlign w:val="center"/>
          </w:tcPr>
          <w:p w14:paraId="496839E9" w14:textId="77777777" w:rsidR="007E5B84" w:rsidRDefault="00000000">
            <w:pPr>
              <w:jc w:val="left"/>
            </w:pPr>
            <w:r>
              <w:rPr>
                <w:sz w:val="16"/>
              </w:rPr>
              <w:t>77/105 (73.3%)</w:t>
            </w:r>
          </w:p>
        </w:tc>
        <w:tc>
          <w:tcPr>
            <w:tcW w:w="720" w:type="dxa"/>
            <w:tcMar>
              <w:top w:w="60" w:type="dxa"/>
              <w:left w:w="80" w:type="dxa"/>
              <w:bottom w:w="60" w:type="dxa"/>
              <w:right w:w="80" w:type="dxa"/>
            </w:tcMar>
            <w:vAlign w:val="center"/>
          </w:tcPr>
          <w:p w14:paraId="3E828399" w14:textId="77777777" w:rsidR="007E5B84" w:rsidRDefault="00000000">
            <w:pPr>
              <w:jc w:val="left"/>
            </w:pPr>
            <w:r>
              <w:rPr>
                <w:sz w:val="16"/>
              </w:rPr>
              <w:t>28</w:t>
            </w:r>
          </w:p>
        </w:tc>
        <w:tc>
          <w:tcPr>
            <w:tcW w:w="810" w:type="dxa"/>
            <w:tcMar>
              <w:top w:w="60" w:type="dxa"/>
              <w:left w:w="80" w:type="dxa"/>
              <w:bottom w:w="60" w:type="dxa"/>
              <w:right w:w="80" w:type="dxa"/>
            </w:tcMar>
            <w:vAlign w:val="center"/>
          </w:tcPr>
          <w:p w14:paraId="2FFF6A43" w14:textId="77777777" w:rsidR="007E5B84" w:rsidRDefault="00000000">
            <w:pPr>
              <w:jc w:val="left"/>
            </w:pPr>
            <w:r>
              <w:rPr>
                <w:sz w:val="16"/>
              </w:rPr>
              <w:t>105/105</w:t>
            </w:r>
          </w:p>
        </w:tc>
        <w:tc>
          <w:tcPr>
            <w:tcW w:w="1080" w:type="dxa"/>
            <w:tcMar>
              <w:top w:w="60" w:type="dxa"/>
              <w:left w:w="80" w:type="dxa"/>
              <w:bottom w:w="60" w:type="dxa"/>
              <w:right w:w="80" w:type="dxa"/>
            </w:tcMar>
            <w:vAlign w:val="center"/>
          </w:tcPr>
          <w:p w14:paraId="749C5278" w14:textId="77777777" w:rsidR="007E5B84" w:rsidRDefault="00000000">
            <w:pPr>
              <w:jc w:val="left"/>
            </w:pPr>
            <w:r>
              <w:rPr>
                <w:sz w:val="16"/>
              </w:rPr>
              <w:t>1</w:t>
            </w:r>
          </w:p>
        </w:tc>
      </w:tr>
      <w:tr w:rsidR="007E5B84" w14:paraId="4E985D62" w14:textId="77777777" w:rsidTr="00520AE3">
        <w:tc>
          <w:tcPr>
            <w:tcW w:w="1255" w:type="dxa"/>
            <w:tcMar>
              <w:top w:w="60" w:type="dxa"/>
              <w:left w:w="80" w:type="dxa"/>
              <w:bottom w:w="60" w:type="dxa"/>
              <w:right w:w="80" w:type="dxa"/>
            </w:tcMar>
            <w:vAlign w:val="center"/>
          </w:tcPr>
          <w:p w14:paraId="340BF3D3" w14:textId="77777777" w:rsidR="007E5B84" w:rsidRDefault="00000000">
            <w:pPr>
              <w:jc w:val="left"/>
            </w:pPr>
            <w:r>
              <w:rPr>
                <w:sz w:val="16"/>
              </w:rPr>
              <w:t>gpt-5.6-terra</w:t>
            </w:r>
          </w:p>
        </w:tc>
        <w:tc>
          <w:tcPr>
            <w:tcW w:w="1350" w:type="dxa"/>
            <w:tcMar>
              <w:top w:w="60" w:type="dxa"/>
              <w:left w:w="80" w:type="dxa"/>
              <w:bottom w:w="60" w:type="dxa"/>
              <w:right w:w="80" w:type="dxa"/>
            </w:tcMar>
            <w:vAlign w:val="center"/>
          </w:tcPr>
          <w:p w14:paraId="4995A50B" w14:textId="77777777" w:rsidR="007E5B84" w:rsidRDefault="00000000">
            <w:pPr>
              <w:jc w:val="left"/>
            </w:pPr>
            <w:r>
              <w:rPr>
                <w:sz w:val="16"/>
              </w:rPr>
              <w:t>105/105 (100%)</w:t>
            </w:r>
          </w:p>
        </w:tc>
        <w:tc>
          <w:tcPr>
            <w:tcW w:w="720" w:type="dxa"/>
            <w:tcMar>
              <w:top w:w="60" w:type="dxa"/>
              <w:left w:w="80" w:type="dxa"/>
              <w:bottom w:w="60" w:type="dxa"/>
              <w:right w:w="80" w:type="dxa"/>
            </w:tcMar>
            <w:vAlign w:val="center"/>
          </w:tcPr>
          <w:p w14:paraId="0CE9641A" w14:textId="77777777" w:rsidR="007E5B84" w:rsidRDefault="00000000">
            <w:pPr>
              <w:jc w:val="left"/>
            </w:pPr>
            <w:r>
              <w:rPr>
                <w:sz w:val="16"/>
              </w:rPr>
              <w:t>0</w:t>
            </w:r>
          </w:p>
        </w:tc>
        <w:tc>
          <w:tcPr>
            <w:tcW w:w="810" w:type="dxa"/>
            <w:tcMar>
              <w:top w:w="60" w:type="dxa"/>
              <w:left w:w="80" w:type="dxa"/>
              <w:bottom w:w="60" w:type="dxa"/>
              <w:right w:w="80" w:type="dxa"/>
            </w:tcMar>
            <w:vAlign w:val="center"/>
          </w:tcPr>
          <w:p w14:paraId="70B1E966" w14:textId="77777777" w:rsidR="007E5B84" w:rsidRDefault="00000000">
            <w:pPr>
              <w:jc w:val="left"/>
            </w:pPr>
            <w:r>
              <w:rPr>
                <w:sz w:val="16"/>
              </w:rPr>
              <w:t>105/105</w:t>
            </w:r>
          </w:p>
        </w:tc>
        <w:tc>
          <w:tcPr>
            <w:tcW w:w="1080" w:type="dxa"/>
            <w:tcMar>
              <w:top w:w="60" w:type="dxa"/>
              <w:left w:w="80" w:type="dxa"/>
              <w:bottom w:w="60" w:type="dxa"/>
              <w:right w:w="80" w:type="dxa"/>
            </w:tcMar>
            <w:vAlign w:val="center"/>
          </w:tcPr>
          <w:p w14:paraId="7453D17B" w14:textId="77777777" w:rsidR="007E5B84" w:rsidRDefault="00000000">
            <w:pPr>
              <w:jc w:val="left"/>
            </w:pPr>
            <w:r>
              <w:rPr>
                <w:sz w:val="16"/>
              </w:rPr>
              <w:t>0</w:t>
            </w:r>
          </w:p>
        </w:tc>
      </w:tr>
    </w:tbl>
    <w:p w14:paraId="464362A0" w14:textId="77777777" w:rsidR="007E5B84" w:rsidRDefault="007E5B84">
      <w:pPr>
        <w:sectPr w:rsidR="007E5B84" w:rsidSect="007217D5">
          <w:type w:val="continuous"/>
          <w:pgSz w:w="11520" w:h="15660"/>
          <w:pgMar w:top="1300" w:right="740" w:bottom="1040" w:left="740" w:header="360" w:footer="360" w:gutter="0"/>
          <w:cols w:num="2" w:space="400"/>
        </w:sectPr>
      </w:pPr>
    </w:p>
    <w:p w14:paraId="222B6ECA" w14:textId="77777777" w:rsidR="007E5B84" w:rsidRDefault="00000000">
      <w:pPr>
        <w:pStyle w:val="Heading3"/>
        <w:jc w:val="left"/>
      </w:pPr>
      <w:r>
        <w:t>7.4.3 Gemini replication and sensitivity analysis</w:t>
      </w:r>
    </w:p>
    <w:p w14:paraId="77460CFA" w14:textId="77777777" w:rsidR="007E5B84" w:rsidRDefault="00000000">
      <w:r>
        <w:t>The clean Gemini replication completed all 105 scheduled calls without terminal errors. Under the same automated secondary evaluator, strict oracle match increased from 34 of 105 (32.38%) in the primary run to 51 of 105 (48.57%) in the replication. Strict paired agreement between the two runs was 74.3% (Cohen's κ = 0.480). The lenient Yes-or-Partial result changed from 61 of 105 (58.10%) to 67 of 105 (63.81%), with 86.7% paired agreement (κ = 0.721). At the case level, strict 2-of-3 majority increased from 12 of 35 to 16 of 35, but strict 3-of-3 stability remained 8 of 35 in both runs. Lenient 2-of-3 majority remained 21 of 35, and lenient 3-of-3 stability remained 17 of 35. The replication therefore indicates meaningful response-level sensitivity under the strict rubric while leaving several aggregate case-level measures unchanged. The original run remains primary by the pre-comparison dataset-role decision.</w:t>
      </w:r>
    </w:p>
    <w:p w14:paraId="556CCB9B" w14:textId="77777777" w:rsidR="007E5B84" w:rsidRDefault="007E5B84">
      <w:pPr>
        <w:sectPr w:rsidR="007E5B84" w:rsidSect="007217D5">
          <w:type w:val="continuous"/>
          <w:pgSz w:w="11520" w:h="15660"/>
          <w:pgMar w:top="1300" w:right="740" w:bottom="1040" w:left="740" w:header="360" w:footer="360" w:gutter="0"/>
          <w:cols w:num="1" w:space="720"/>
        </w:sectPr>
      </w:pPr>
    </w:p>
    <w:p w14:paraId="49CBCBA8" w14:textId="77777777" w:rsidR="007E5B84" w:rsidRDefault="00000000" w:rsidP="00520AE3">
      <w:pPr>
        <w:spacing w:before="60" w:after="80"/>
        <w:jc w:val="left"/>
      </w:pPr>
      <w:r>
        <w:t>Table 13. Gemini primary-versus-replication sensitivity under the same automated rubric.</w:t>
      </w:r>
    </w:p>
    <w:tbl>
      <w:tblPr>
        <w:tblStyle w:val="TableGrid"/>
        <w:tblW w:w="4585" w:type="dxa"/>
        <w:tblLook w:val="04A0" w:firstRow="1" w:lastRow="0" w:firstColumn="1" w:lastColumn="0" w:noHBand="0" w:noVBand="1"/>
      </w:tblPr>
      <w:tblGrid>
        <w:gridCol w:w="2065"/>
        <w:gridCol w:w="1260"/>
        <w:gridCol w:w="1260"/>
      </w:tblGrid>
      <w:tr w:rsidR="007E5B84" w14:paraId="529BD9D2" w14:textId="77777777" w:rsidTr="00520AE3">
        <w:trPr>
          <w:tblHeader/>
        </w:trPr>
        <w:tc>
          <w:tcPr>
            <w:tcW w:w="2065" w:type="dxa"/>
            <w:tcMar>
              <w:top w:w="60" w:type="dxa"/>
              <w:left w:w="80" w:type="dxa"/>
              <w:bottom w:w="60" w:type="dxa"/>
              <w:right w:w="80" w:type="dxa"/>
            </w:tcMar>
            <w:vAlign w:val="center"/>
          </w:tcPr>
          <w:p w14:paraId="2A50B769" w14:textId="77777777" w:rsidR="007E5B84" w:rsidRDefault="00000000">
            <w:pPr>
              <w:jc w:val="left"/>
            </w:pPr>
            <w:r>
              <w:rPr>
                <w:b/>
                <w:sz w:val="16"/>
              </w:rPr>
              <w:t>Metric</w:t>
            </w:r>
          </w:p>
        </w:tc>
        <w:tc>
          <w:tcPr>
            <w:tcW w:w="1260" w:type="dxa"/>
            <w:tcMar>
              <w:top w:w="60" w:type="dxa"/>
              <w:left w:w="80" w:type="dxa"/>
              <w:bottom w:w="60" w:type="dxa"/>
              <w:right w:w="80" w:type="dxa"/>
            </w:tcMar>
            <w:vAlign w:val="center"/>
          </w:tcPr>
          <w:p w14:paraId="759906A4" w14:textId="77777777" w:rsidR="007E5B84" w:rsidRDefault="00000000">
            <w:pPr>
              <w:jc w:val="left"/>
            </w:pPr>
            <w:r>
              <w:rPr>
                <w:b/>
                <w:sz w:val="16"/>
              </w:rPr>
              <w:t>Primary</w:t>
            </w:r>
          </w:p>
        </w:tc>
        <w:tc>
          <w:tcPr>
            <w:tcW w:w="1260" w:type="dxa"/>
            <w:tcMar>
              <w:top w:w="60" w:type="dxa"/>
              <w:left w:w="80" w:type="dxa"/>
              <w:bottom w:w="60" w:type="dxa"/>
              <w:right w:w="80" w:type="dxa"/>
            </w:tcMar>
            <w:vAlign w:val="center"/>
          </w:tcPr>
          <w:p w14:paraId="0AA0B712" w14:textId="77777777" w:rsidR="007E5B84" w:rsidRDefault="00000000">
            <w:pPr>
              <w:jc w:val="left"/>
            </w:pPr>
            <w:r>
              <w:rPr>
                <w:b/>
                <w:sz w:val="16"/>
              </w:rPr>
              <w:t>Replication</w:t>
            </w:r>
          </w:p>
        </w:tc>
      </w:tr>
      <w:tr w:rsidR="007E5B84" w14:paraId="4F4EDB8A" w14:textId="77777777" w:rsidTr="00520AE3">
        <w:tc>
          <w:tcPr>
            <w:tcW w:w="2065" w:type="dxa"/>
            <w:tcMar>
              <w:top w:w="60" w:type="dxa"/>
              <w:left w:w="80" w:type="dxa"/>
              <w:bottom w:w="60" w:type="dxa"/>
              <w:right w:w="80" w:type="dxa"/>
            </w:tcMar>
            <w:vAlign w:val="center"/>
          </w:tcPr>
          <w:p w14:paraId="4000348A" w14:textId="77777777" w:rsidR="007E5B84" w:rsidRDefault="00000000">
            <w:pPr>
              <w:jc w:val="left"/>
            </w:pPr>
            <w:r>
              <w:rPr>
                <w:sz w:val="16"/>
              </w:rPr>
              <w:t>Strict trial-level oracle match</w:t>
            </w:r>
          </w:p>
        </w:tc>
        <w:tc>
          <w:tcPr>
            <w:tcW w:w="1260" w:type="dxa"/>
            <w:tcMar>
              <w:top w:w="60" w:type="dxa"/>
              <w:left w:w="80" w:type="dxa"/>
              <w:bottom w:w="60" w:type="dxa"/>
              <w:right w:w="80" w:type="dxa"/>
            </w:tcMar>
            <w:vAlign w:val="center"/>
          </w:tcPr>
          <w:p w14:paraId="62EC7782" w14:textId="77777777" w:rsidR="007E5B84" w:rsidRDefault="00000000">
            <w:pPr>
              <w:jc w:val="left"/>
            </w:pPr>
            <w:r>
              <w:rPr>
                <w:sz w:val="16"/>
              </w:rPr>
              <w:t>34/105 (32.38%)</w:t>
            </w:r>
          </w:p>
        </w:tc>
        <w:tc>
          <w:tcPr>
            <w:tcW w:w="1260" w:type="dxa"/>
            <w:tcMar>
              <w:top w:w="60" w:type="dxa"/>
              <w:left w:w="80" w:type="dxa"/>
              <w:bottom w:w="60" w:type="dxa"/>
              <w:right w:w="80" w:type="dxa"/>
            </w:tcMar>
            <w:vAlign w:val="center"/>
          </w:tcPr>
          <w:p w14:paraId="24B1AD37" w14:textId="77777777" w:rsidR="007E5B84" w:rsidRDefault="00000000">
            <w:pPr>
              <w:jc w:val="left"/>
            </w:pPr>
            <w:r>
              <w:rPr>
                <w:sz w:val="16"/>
              </w:rPr>
              <w:t>51/105 (48.57%)</w:t>
            </w:r>
          </w:p>
        </w:tc>
      </w:tr>
      <w:tr w:rsidR="007E5B84" w14:paraId="7B7C7B58" w14:textId="77777777" w:rsidTr="00520AE3">
        <w:tc>
          <w:tcPr>
            <w:tcW w:w="2065" w:type="dxa"/>
            <w:tcMar>
              <w:top w:w="60" w:type="dxa"/>
              <w:left w:w="80" w:type="dxa"/>
              <w:bottom w:w="60" w:type="dxa"/>
              <w:right w:w="80" w:type="dxa"/>
            </w:tcMar>
            <w:vAlign w:val="center"/>
          </w:tcPr>
          <w:p w14:paraId="1F491EB1" w14:textId="77777777" w:rsidR="007E5B84" w:rsidRDefault="00000000">
            <w:pPr>
              <w:jc w:val="left"/>
            </w:pPr>
            <w:r>
              <w:rPr>
                <w:sz w:val="16"/>
              </w:rPr>
              <w:t>Lenient trial-level match</w:t>
            </w:r>
          </w:p>
        </w:tc>
        <w:tc>
          <w:tcPr>
            <w:tcW w:w="1260" w:type="dxa"/>
            <w:tcMar>
              <w:top w:w="60" w:type="dxa"/>
              <w:left w:w="80" w:type="dxa"/>
              <w:bottom w:w="60" w:type="dxa"/>
              <w:right w:w="80" w:type="dxa"/>
            </w:tcMar>
            <w:vAlign w:val="center"/>
          </w:tcPr>
          <w:p w14:paraId="532B32CF" w14:textId="77777777" w:rsidR="007E5B84" w:rsidRDefault="00000000">
            <w:pPr>
              <w:jc w:val="left"/>
            </w:pPr>
            <w:r>
              <w:rPr>
                <w:sz w:val="16"/>
              </w:rPr>
              <w:t>61/105 (58.10%)</w:t>
            </w:r>
          </w:p>
        </w:tc>
        <w:tc>
          <w:tcPr>
            <w:tcW w:w="1260" w:type="dxa"/>
            <w:tcMar>
              <w:top w:w="60" w:type="dxa"/>
              <w:left w:w="80" w:type="dxa"/>
              <w:bottom w:w="60" w:type="dxa"/>
              <w:right w:w="80" w:type="dxa"/>
            </w:tcMar>
            <w:vAlign w:val="center"/>
          </w:tcPr>
          <w:p w14:paraId="3B49061E" w14:textId="77777777" w:rsidR="007E5B84" w:rsidRDefault="00000000">
            <w:pPr>
              <w:jc w:val="left"/>
            </w:pPr>
            <w:r>
              <w:rPr>
                <w:sz w:val="16"/>
              </w:rPr>
              <w:t>67/105 (63.81%)</w:t>
            </w:r>
          </w:p>
        </w:tc>
      </w:tr>
      <w:tr w:rsidR="007E5B84" w14:paraId="66642DA3" w14:textId="77777777" w:rsidTr="00520AE3">
        <w:tc>
          <w:tcPr>
            <w:tcW w:w="2065" w:type="dxa"/>
            <w:tcMar>
              <w:top w:w="60" w:type="dxa"/>
              <w:left w:w="80" w:type="dxa"/>
              <w:bottom w:w="60" w:type="dxa"/>
              <w:right w:w="80" w:type="dxa"/>
            </w:tcMar>
            <w:vAlign w:val="center"/>
          </w:tcPr>
          <w:p w14:paraId="7194E5FD" w14:textId="77777777" w:rsidR="007E5B84" w:rsidRDefault="00000000">
            <w:pPr>
              <w:jc w:val="left"/>
            </w:pPr>
            <w:r>
              <w:rPr>
                <w:sz w:val="16"/>
              </w:rPr>
              <w:t>Strict 2-of-3 majority cases</w:t>
            </w:r>
          </w:p>
        </w:tc>
        <w:tc>
          <w:tcPr>
            <w:tcW w:w="1260" w:type="dxa"/>
            <w:tcMar>
              <w:top w:w="60" w:type="dxa"/>
              <w:left w:w="80" w:type="dxa"/>
              <w:bottom w:w="60" w:type="dxa"/>
              <w:right w:w="80" w:type="dxa"/>
            </w:tcMar>
            <w:vAlign w:val="center"/>
          </w:tcPr>
          <w:p w14:paraId="78480109" w14:textId="77777777" w:rsidR="007E5B84" w:rsidRDefault="00000000">
            <w:pPr>
              <w:jc w:val="left"/>
            </w:pPr>
            <w:r>
              <w:rPr>
                <w:sz w:val="16"/>
              </w:rPr>
              <w:t>12/35</w:t>
            </w:r>
          </w:p>
        </w:tc>
        <w:tc>
          <w:tcPr>
            <w:tcW w:w="1260" w:type="dxa"/>
            <w:tcMar>
              <w:top w:w="60" w:type="dxa"/>
              <w:left w:w="80" w:type="dxa"/>
              <w:bottom w:w="60" w:type="dxa"/>
              <w:right w:w="80" w:type="dxa"/>
            </w:tcMar>
            <w:vAlign w:val="center"/>
          </w:tcPr>
          <w:p w14:paraId="7D5CA649" w14:textId="77777777" w:rsidR="007E5B84" w:rsidRDefault="00000000">
            <w:pPr>
              <w:jc w:val="left"/>
            </w:pPr>
            <w:r>
              <w:rPr>
                <w:sz w:val="16"/>
              </w:rPr>
              <w:t>16/35</w:t>
            </w:r>
          </w:p>
        </w:tc>
      </w:tr>
      <w:tr w:rsidR="007E5B84" w14:paraId="351472E1" w14:textId="77777777" w:rsidTr="00520AE3">
        <w:tc>
          <w:tcPr>
            <w:tcW w:w="2065" w:type="dxa"/>
            <w:tcMar>
              <w:top w:w="60" w:type="dxa"/>
              <w:left w:w="80" w:type="dxa"/>
              <w:bottom w:w="60" w:type="dxa"/>
              <w:right w:w="80" w:type="dxa"/>
            </w:tcMar>
            <w:vAlign w:val="center"/>
          </w:tcPr>
          <w:p w14:paraId="2C37AE71" w14:textId="77777777" w:rsidR="007E5B84" w:rsidRDefault="00000000">
            <w:pPr>
              <w:jc w:val="left"/>
            </w:pPr>
            <w:r>
              <w:rPr>
                <w:sz w:val="16"/>
              </w:rPr>
              <w:t>Strict 3-of-3 stable cases</w:t>
            </w:r>
          </w:p>
        </w:tc>
        <w:tc>
          <w:tcPr>
            <w:tcW w:w="1260" w:type="dxa"/>
            <w:tcMar>
              <w:top w:w="60" w:type="dxa"/>
              <w:left w:w="80" w:type="dxa"/>
              <w:bottom w:w="60" w:type="dxa"/>
              <w:right w:w="80" w:type="dxa"/>
            </w:tcMar>
            <w:vAlign w:val="center"/>
          </w:tcPr>
          <w:p w14:paraId="6F2BF1ED" w14:textId="77777777" w:rsidR="007E5B84" w:rsidRDefault="00000000">
            <w:pPr>
              <w:jc w:val="left"/>
            </w:pPr>
            <w:r>
              <w:rPr>
                <w:sz w:val="16"/>
              </w:rPr>
              <w:t>8/35</w:t>
            </w:r>
          </w:p>
        </w:tc>
        <w:tc>
          <w:tcPr>
            <w:tcW w:w="1260" w:type="dxa"/>
            <w:tcMar>
              <w:top w:w="60" w:type="dxa"/>
              <w:left w:w="80" w:type="dxa"/>
              <w:bottom w:w="60" w:type="dxa"/>
              <w:right w:w="80" w:type="dxa"/>
            </w:tcMar>
            <w:vAlign w:val="center"/>
          </w:tcPr>
          <w:p w14:paraId="03ECF8E1" w14:textId="77777777" w:rsidR="007E5B84" w:rsidRDefault="00000000">
            <w:pPr>
              <w:jc w:val="left"/>
            </w:pPr>
            <w:r>
              <w:rPr>
                <w:sz w:val="16"/>
              </w:rPr>
              <w:t>8/35</w:t>
            </w:r>
          </w:p>
        </w:tc>
      </w:tr>
    </w:tbl>
    <w:p w14:paraId="6C8802D8" w14:textId="77777777" w:rsidR="007E5B84" w:rsidRDefault="007E5B84">
      <w:pPr>
        <w:sectPr w:rsidR="007E5B84" w:rsidSect="007217D5">
          <w:type w:val="continuous"/>
          <w:pgSz w:w="11520" w:h="15660"/>
          <w:pgMar w:top="1300" w:right="740" w:bottom="1040" w:left="740" w:header="360" w:footer="360" w:gutter="0"/>
          <w:cols w:num="2" w:space="400"/>
        </w:sectPr>
      </w:pPr>
    </w:p>
    <w:p w14:paraId="38E201E5" w14:textId="77777777" w:rsidR="007E5B84" w:rsidRDefault="00000000">
      <w:pPr>
        <w:pStyle w:val="Heading2"/>
        <w:jc w:val="left"/>
      </w:pPr>
      <w:r>
        <w:t>7.5 RQ5: Historical Real-World Defect Evaluation</w:t>
      </w:r>
    </w:p>
    <w:p w14:paraId="516F778C" w14:textId="77777777" w:rsidR="007E5B84" w:rsidRDefault="00000000">
      <w:r>
        <w:t>None of the six documented operational-semantic defects was identified by actionlint, zizmor, or poutine under the oracle-specific criterion: each analyzer detected 0 of 6 cases, yielding 0 oracle-specific detections across 18 case–tool evaluations. The tools frequently produced other findings, but those findings did not identify the behavior that motivated the historical repair. Cases 2 and 3 provide the cleanest examples. In the FastAPI case, actionlint produced no findings before or after the repair, while the other analyzers reported findings unrelated to the skipped-job acceptance defect [32]. In the op-succinct transitive-skip case, actionlint again produced no findings before or after the repair, while the other analyzers did not identify the documented skip-propagation defect; the repository history further records that an initial plausible fix using success() remained insufficient and was replaced with always() plus explicit needs-result checks after direct verification [33]. Case 6 adds a distinct artifact-flow mechanism: actionlint and poutine produced no oracle-specific finding in either version, while zizmor reported the same two unrelated ad-hoc package findings before and after the one-line artifact-preservation repair [41]. These results provide limited real-world grounding for the controlled benchmark’s detection gap, but they do not support a population-level estimate of real-world analyzer effectiveness (RQ5).</w:t>
      </w:r>
    </w:p>
    <w:p>
      <w:r>
        <w:t>The six cases do not map one-to-one onto the synthetic mutation operators. Instead, they provide two forms of external grounding. Cases involving skipped-job acceptance, transitive skip propagation, deployment conditions, and artifact preservation exercise relationships closely related to the benchmark's condition, dependency, trigger-intent, and artifact-flow reasoning requirements. Other cases extend the current taxonomy: required-check materialization, for example, depends on the interaction between workflow-generated check names and repository merge requirements. The historical evaluation therefore tests both recurrence of represented semantic mechanisms and the presence of adjacent operational relationships not yet encoded as synthetic mutants.</w:t>
      </w:r>
    </w:p>
    <w:p>
      <w:r>
        <w:t>Case 3 is particularly informative because repository history records an intermediate repair that remained insufficient, followed by a second repair using always() and explicit needs-result checks. This sequence illustrates that transitive skip behavior is not merely a syntactic defect but an execution-semantic relationship whose correction required direct verification.</w:t>
      </w:r>
    </w:p>
    <w:p w14:paraId="3C4A0908" w14:textId="77777777" w:rsidR="007E5B84" w:rsidRDefault="007E5B84">
      <w:pPr>
        <w:sectPr w:rsidR="007E5B84" w:rsidSect="007217D5">
          <w:type w:val="continuous"/>
          <w:pgSz w:w="11520" w:h="15660"/>
          <w:pgMar w:top="1300" w:right="740" w:bottom="1040" w:left="740" w:header="360" w:footer="360" w:gutter="0"/>
          <w:cols w:num="1" w:space="720"/>
        </w:sectPr>
      </w:pPr>
    </w:p>
    <w:tbl>
      <w:tblPr>
        <w:tblStyle w:val="TableGrid"/>
        <w:tblW w:type="dxa" w:w="4550"/>
        <w:tblLayout w:type="fixed"/>
        <w:tblLook w:firstColumn="1" w:firstRow="1" w:lastColumn="0" w:lastRow="0" w:noHBand="0" w:noVBand="1" w:val="04A0"/>
      </w:tblPr>
      <w:tblGrid>
        <w:gridCol w:w="700"/>
        <w:gridCol w:w="1050"/>
        <w:gridCol w:w="1800"/>
        <w:gridCol w:w="1000"/>
      </w:tblGrid>
      <w:tr>
        <w:tc>
          <w:tcPr>
            <w:tcW w:type="dxa" w:w="700"/>
            <w:shd w:fill="D9E2F3"/>
          </w:tcPr>
          <w:p>
            <w:pPr>
              <w:spacing w:after="0"/>
            </w:pPr>
            <w:r>
              <w:rPr>
                <w:rFonts w:ascii="Times New Roman" w:hAnsi="Times New Roman"/>
                <w:b/>
                <w:sz w:val="10"/>
              </w:rPr>
              <w:t>Case</w:t>
            </w:r>
          </w:p>
        </w:tc>
        <w:tc>
          <w:tcPr>
            <w:tcW w:type="dxa" w:w="1050"/>
            <w:shd w:fill="D9E2F3"/>
          </w:tcPr>
          <w:p>
            <w:pPr>
              <w:spacing w:after="0"/>
            </w:pPr>
            <w:r>
              <w:rPr>
                <w:rFonts w:ascii="Times New Roman" w:hAnsi="Times New Roman"/>
                <w:b/>
                <w:sz w:val="10"/>
              </w:rPr>
              <w:t>Repository</w:t>
            </w:r>
          </w:p>
        </w:tc>
        <w:tc>
          <w:tcPr>
            <w:tcW w:type="dxa" w:w="1800"/>
            <w:shd w:fill="D9E2F3"/>
          </w:tcPr>
          <w:p>
            <w:pPr>
              <w:spacing w:after="0"/>
            </w:pPr>
            <w:r>
              <w:rPr>
                <w:rFonts w:ascii="Times New Roman" w:hAnsi="Times New Roman"/>
                <w:b/>
                <w:sz w:val="10"/>
              </w:rPr>
              <w:t>Documented defect</w:t>
            </w:r>
          </w:p>
        </w:tc>
        <w:tc>
          <w:tcPr>
            <w:tcW w:type="dxa" w:w="1000"/>
            <w:shd w:fill="D9E2F3"/>
          </w:tcPr>
          <w:p>
            <w:pPr>
              <w:spacing w:after="0"/>
            </w:pPr>
            <w:r>
              <w:rPr>
                <w:rFonts w:ascii="Times New Roman" w:hAnsi="Times New Roman"/>
                <w:b/>
                <w:sz w:val="10"/>
              </w:rPr>
              <w:t>Oracle-specific result</w:t>
            </w:r>
          </w:p>
        </w:tc>
      </w:tr>
      <w:tr>
        <w:tc>
          <w:tcPr>
            <w:tcW w:type="dxa" w:w="700"/>
          </w:tcPr>
          <w:p>
            <w:pPr>
              <w:spacing w:after="0"/>
            </w:pPr>
            <w:r>
              <w:rPr>
                <w:rFonts w:ascii="Times New Roman" w:hAnsi="Times New Roman"/>
                <w:sz w:val="10"/>
              </w:rPr>
              <w:t>Case 1</w:t>
            </w:r>
          </w:p>
        </w:tc>
        <w:tc>
          <w:tcPr>
            <w:tcW w:type="dxa" w:w="1050"/>
          </w:tcPr>
          <w:p>
            <w:pPr>
              <w:spacing w:after="0"/>
            </w:pPr>
            <w:r>
              <w:rPr>
                <w:rFonts w:ascii="Times New Roman" w:hAnsi="Times New Roman"/>
                <w:sz w:val="10"/>
              </w:rPr>
              <w:t>Apache Airflow</w:t>
            </w:r>
          </w:p>
        </w:tc>
        <w:tc>
          <w:tcPr>
            <w:tcW w:type="dxa" w:w="1800"/>
          </w:tcPr>
          <w:p>
            <w:pPr>
              <w:spacing w:after="0"/>
            </w:pPr>
            <w:r>
              <w:rPr>
                <w:rFonts w:ascii="Times New Roman" w:hAnsi="Times New Roman"/>
                <w:sz w:val="10"/>
              </w:rPr>
              <w:t>Release/ref coupling</w:t>
            </w:r>
          </w:p>
        </w:tc>
        <w:tc>
          <w:tcPr>
            <w:tcW w:type="dxa" w:w="1000"/>
          </w:tcPr>
          <w:p>
            <w:pPr>
              <w:spacing w:after="0"/>
            </w:pPr>
            <w:r>
              <w:rPr>
                <w:rFonts w:ascii="Times New Roman" w:hAnsi="Times New Roman"/>
                <w:sz w:val="10"/>
              </w:rPr>
              <w:t>Miss by all 3</w:t>
            </w:r>
          </w:p>
        </w:tc>
      </w:tr>
      <w:tr>
        <w:tc>
          <w:tcPr>
            <w:tcW w:type="dxa" w:w="700"/>
          </w:tcPr>
          <w:p>
            <w:pPr>
              <w:spacing w:after="0"/>
            </w:pPr>
            <w:r>
              <w:rPr>
                <w:rFonts w:ascii="Times New Roman" w:hAnsi="Times New Roman"/>
                <w:sz w:val="10"/>
              </w:rPr>
              <w:t>Case 2</w:t>
            </w:r>
          </w:p>
        </w:tc>
        <w:tc>
          <w:tcPr>
            <w:tcW w:type="dxa" w:w="1050"/>
          </w:tcPr>
          <w:p>
            <w:pPr>
              <w:spacing w:after="0"/>
            </w:pPr>
            <w:r>
              <w:rPr>
                <w:rFonts w:ascii="Times New Roman" w:hAnsi="Times New Roman"/>
                <w:sz w:val="10"/>
              </w:rPr>
              <w:t>FastAPI</w:t>
            </w:r>
          </w:p>
        </w:tc>
        <w:tc>
          <w:tcPr>
            <w:tcW w:type="dxa" w:w="1800"/>
          </w:tcPr>
          <w:p>
            <w:pPr>
              <w:spacing w:after="0"/>
            </w:pPr>
            <w:r>
              <w:rPr>
                <w:rFonts w:ascii="Times New Roman" w:hAnsi="Times New Roman"/>
                <w:sz w:val="10"/>
              </w:rPr>
              <w:t>Skipped-job acceptance mismatch</w:t>
            </w:r>
          </w:p>
        </w:tc>
        <w:tc>
          <w:tcPr>
            <w:tcW w:type="dxa" w:w="1000"/>
          </w:tcPr>
          <w:p>
            <w:pPr>
              <w:spacing w:after="0"/>
            </w:pPr>
            <w:r>
              <w:rPr>
                <w:rFonts w:ascii="Times New Roman" w:hAnsi="Times New Roman"/>
                <w:sz w:val="10"/>
              </w:rPr>
              <w:t>Miss by all 3</w:t>
            </w:r>
          </w:p>
        </w:tc>
      </w:tr>
      <w:tr>
        <w:tc>
          <w:tcPr>
            <w:tcW w:type="dxa" w:w="700"/>
          </w:tcPr>
          <w:p>
            <w:pPr>
              <w:spacing w:after="0"/>
            </w:pPr>
            <w:r>
              <w:rPr>
                <w:rFonts w:ascii="Times New Roman" w:hAnsi="Times New Roman"/>
                <w:sz w:val="10"/>
              </w:rPr>
              <w:t>Case 3</w:t>
            </w:r>
          </w:p>
        </w:tc>
        <w:tc>
          <w:tcPr>
            <w:tcW w:type="dxa" w:w="1050"/>
          </w:tcPr>
          <w:p>
            <w:pPr>
              <w:spacing w:after="0"/>
            </w:pPr>
            <w:r>
              <w:rPr>
                <w:rFonts w:ascii="Times New Roman" w:hAnsi="Times New Roman"/>
                <w:sz w:val="10"/>
              </w:rPr>
              <w:t>op-succinct</w:t>
            </w:r>
          </w:p>
        </w:tc>
        <w:tc>
          <w:tcPr>
            <w:tcW w:type="dxa" w:w="1800"/>
          </w:tcPr>
          <w:p>
            <w:pPr>
              <w:spacing w:after="0"/>
            </w:pPr>
            <w:r>
              <w:rPr>
                <w:rFonts w:ascii="Times New Roman" w:hAnsi="Times New Roman"/>
                <w:sz w:val="10"/>
              </w:rPr>
              <w:t>Transitive skip propagation</w:t>
            </w:r>
          </w:p>
        </w:tc>
        <w:tc>
          <w:tcPr>
            <w:tcW w:type="dxa" w:w="1000"/>
          </w:tcPr>
          <w:p>
            <w:pPr>
              <w:spacing w:after="0"/>
            </w:pPr>
            <w:r>
              <w:rPr>
                <w:rFonts w:ascii="Times New Roman" w:hAnsi="Times New Roman"/>
                <w:sz w:val="10"/>
              </w:rPr>
              <w:t>Miss by all 3</w:t>
            </w:r>
          </w:p>
        </w:tc>
      </w:tr>
      <w:tr>
        <w:tc>
          <w:tcPr>
            <w:tcW w:type="dxa" w:w="700"/>
          </w:tcPr>
          <w:p>
            <w:pPr>
              <w:spacing w:after="0"/>
            </w:pPr>
            <w:r>
              <w:rPr>
                <w:rFonts w:ascii="Times New Roman" w:hAnsi="Times New Roman"/>
                <w:sz w:val="10"/>
              </w:rPr>
              <w:t>Case 4</w:t>
            </w:r>
          </w:p>
        </w:tc>
        <w:tc>
          <w:tcPr>
            <w:tcW w:type="dxa" w:w="1050"/>
          </w:tcPr>
          <w:p>
            <w:pPr>
              <w:spacing w:after="0"/>
            </w:pPr>
            <w:r>
              <w:rPr>
                <w:rFonts w:ascii="Times New Roman" w:hAnsi="Times New Roman"/>
                <w:sz w:val="10"/>
              </w:rPr>
              <w:t>op-succinct</w:t>
            </w:r>
          </w:p>
        </w:tc>
        <w:tc>
          <w:tcPr>
            <w:tcW w:type="dxa" w:w="1800"/>
          </w:tcPr>
          <w:p>
            <w:pPr>
              <w:spacing w:after="0"/>
            </w:pPr>
            <w:r>
              <w:rPr>
                <w:rFonts w:ascii="Times New Roman" w:hAnsi="Times New Roman"/>
                <w:sz w:val="10"/>
              </w:rPr>
              <w:t>Required-check materialization</w:t>
            </w:r>
          </w:p>
        </w:tc>
        <w:tc>
          <w:tcPr>
            <w:tcW w:type="dxa" w:w="1000"/>
          </w:tcPr>
          <w:p>
            <w:pPr>
              <w:spacing w:after="0"/>
            </w:pPr>
            <w:r>
              <w:rPr>
                <w:rFonts w:ascii="Times New Roman" w:hAnsi="Times New Roman"/>
                <w:sz w:val="10"/>
              </w:rPr>
              <w:t>Miss by all 3</w:t>
            </w:r>
          </w:p>
        </w:tc>
      </w:tr>
      <w:tr>
        <w:tc>
          <w:tcPr>
            <w:tcW w:type="dxa" w:w="700"/>
          </w:tcPr>
          <w:p>
            <w:pPr>
              <w:spacing w:after="0"/>
            </w:pPr>
            <w:r>
              <w:rPr>
                <w:rFonts w:ascii="Times New Roman" w:hAnsi="Times New Roman"/>
                <w:sz w:val="10"/>
              </w:rPr>
              <w:t>Case 5</w:t>
            </w:r>
          </w:p>
        </w:tc>
        <w:tc>
          <w:tcPr>
            <w:tcW w:type="dxa" w:w="1050"/>
          </w:tcPr>
          <w:p>
            <w:pPr>
              <w:spacing w:after="0"/>
            </w:pPr>
            <w:r>
              <w:rPr>
                <w:rFonts w:ascii="Times New Roman" w:hAnsi="Times New Roman"/>
                <w:sz w:val="10"/>
              </w:rPr>
              <w:t>Pydantic</w:t>
            </w:r>
          </w:p>
        </w:tc>
        <w:tc>
          <w:tcPr>
            <w:tcW w:type="dxa" w:w="1800"/>
          </w:tcPr>
          <w:p>
            <w:pPr>
              <w:spacing w:after="0"/>
            </w:pPr>
            <w:r>
              <w:rPr>
                <w:rFonts w:ascii="Times New Roman" w:hAnsi="Times New Roman"/>
                <w:sz w:val="10"/>
              </w:rPr>
              <w:t>Deployment-condition scope</w:t>
            </w:r>
          </w:p>
        </w:tc>
        <w:tc>
          <w:tcPr>
            <w:tcW w:type="dxa" w:w="1000"/>
          </w:tcPr>
          <w:p>
            <w:pPr>
              <w:spacing w:after="0"/>
            </w:pPr>
            <w:r>
              <w:rPr>
                <w:rFonts w:ascii="Times New Roman" w:hAnsi="Times New Roman"/>
                <w:sz w:val="10"/>
              </w:rPr>
              <w:t>Miss by all 3</w:t>
            </w:r>
          </w:p>
        </w:tc>
      </w:tr>
      <w:tr>
        <w:tc>
          <w:tcPr>
            <w:tcW w:type="dxa" w:w="700"/>
          </w:tcPr>
          <w:p>
            <w:pPr>
              <w:spacing w:after="0"/>
            </w:pPr>
            <w:r>
              <w:rPr>
                <w:rFonts w:ascii="Times New Roman" w:hAnsi="Times New Roman"/>
                <w:sz w:val="10"/>
              </w:rPr>
              <w:t>Case 6</w:t>
            </w:r>
          </w:p>
        </w:tc>
        <w:tc>
          <w:tcPr>
            <w:tcW w:type="dxa" w:w="1050"/>
          </w:tcPr>
          <w:p>
            <w:pPr>
              <w:spacing w:after="0"/>
            </w:pPr>
            <w:r>
              <w:rPr>
                <w:rFonts w:ascii="Times New Roman" w:hAnsi="Times New Roman"/>
                <w:sz w:val="10"/>
              </w:rPr>
              <w:t>github/gh-aw</w:t>
            </w:r>
          </w:p>
        </w:tc>
        <w:tc>
          <w:tcPr>
            <w:tcW w:type="dxa" w:w="1800"/>
          </w:tcPr>
          <w:p>
            <w:pPr>
              <w:spacing w:after="0"/>
            </w:pPr>
            <w:r>
              <w:rPr>
                <w:rFonts w:ascii="Times New Roman" w:hAnsi="Times New Roman"/>
                <w:sz w:val="10"/>
              </w:rPr>
              <w:t>Artifact-flow hidden-file omission</w:t>
            </w:r>
          </w:p>
        </w:tc>
        <w:tc>
          <w:tcPr>
            <w:tcW w:type="dxa" w:w="1000"/>
          </w:tcPr>
          <w:p>
            <w:pPr>
              <w:spacing w:after="0"/>
            </w:pPr>
            <w:r>
              <w:rPr>
                <w:rFonts w:ascii="Times New Roman" w:hAnsi="Times New Roman"/>
                <w:sz w:val="10"/>
              </w:rPr>
              <w:t>Miss by all 3</w:t>
            </w:r>
          </w:p>
        </w:tc>
      </w:tr>
    </w:tbl>
    <w:p w14:paraId="7F494335" w14:textId="77777777" w:rsidR="007E5B84" w:rsidRDefault="00000000" w:rsidP="007217D5">
      <w:pPr>
        <w:spacing w:before="60" w:after="80"/>
      </w:pPr>
      <w:r>
        <w:t>Table 14. Historical real-world defect validation under oracle-specific scoring.</w:t>
      </w:r>
    </w:p>
    <w:p w14:paraId="56621978" w14:textId="77777777" w:rsidR="007E5B84" w:rsidRDefault="007E5B84">
      <w:pPr>
        <w:sectPr w:rsidR="007E5B84" w:rsidSect="007217D5">
          <w:type w:val="continuous"/>
          <w:pgSz w:w="11520" w:h="15660"/>
          <w:pgMar w:top="1300" w:right="740" w:bottom="1040" w:left="740" w:header="360" w:footer="360" w:gutter="0"/>
          <w:cols w:num="2" w:space="400"/>
        </w:sectPr>
      </w:pPr>
    </w:p>
    <w:p>
      <w:pPr>
        <w:pStyle w:val="Heading2"/>
      </w:pPr>
      <w:r>
        <w:t>7.6 RQ5: Structured Real-World Defect Evaluation</w:t>
      </w:r>
    </w:p>
    <w:p>
      <w:r>
        <w:t>The consolidated A–J study record reports that none of its 20 retained documented defects was strictly identified by actionlint, zizmor, or poutine under the repair-specific criterion (0/20 for each tool). That same consolidated record reports 557 raw analyzer findings across the 20 cases—34 from actionlint, 459 from zizmor, and 64 from poutine—despite the absence of a repair-specific match. Because the original complete per-finding A–J artifact could not be recovered during finalization, the 557 total is reported here as a historically preserved study result rather than as an independently reproduced aggregate. A subsequent controlled evidence-recovery run reconstructed 19 of the 20 recorded A–J cases from public repair PRs and immutable base SHAs; RW-0018 was no longer publicly resolvable. Under an explicitly documented recovery configuration, those 19 cases produced 529 raw findings (0 actionlint with ShellCheck integration disabled, 464 zizmor, and 65 poutine). The 529 total is a separate reproducibility check and is not substituted for the historical 557 result. The K–T continuation produced a more differentiated repair-specific result. Among its 10 separately frozen cases, actionlint strictly identified 3/10 defects, zizmor 1/10, and poutine 0/10; the union identified 4/10. Actionlint detected three context-availability defects involving direct secrets references in step-level if expressions (SYS-O015, SYS-S017, SYS-S019), while zizmor identified direct reusable-workflow input interpolation as template injection in SYS-N007.</w:t>
      </w:r>
    </w:p>
    <w:p>
      <w:r>
        <w:t>Across the combined 30-case structured corpus, actionlint therefore detected 3/30 cases (10.0%), zizmor 1/30 (3.3%), poutine 0/30, and the union detected 4/30 (13.3%), leaving 26/30 cases without a repair-specific finding from any evaluated analyzer. The six continuation misses included path-filter false-green behavior, cancellation-before-job-filter concurrency semantics, nested reusable-workflow reference resolution, tag-triggered release ref provenance, absent-output failure propagation, and duplicate scheduler authority. These combined rates are descriptive coverage of the recorded 20-case A–J phase plus the separately frozen 10-case K–T continuation, not estimates of population-wide analyzer effectiveness. The phase breakdown is retained because the two stages differ in both construction history and preservation strength.</w:t>
      </w:r>
    </w:p>
    <w:tbl>
      <w:tblPr>
        <w:tblStyle w:val="TableGrid"/>
        <w:tblW w:type="auto" w:w="0"/>
        <w:tblLook w:firstColumn="1" w:firstRow="1" w:lastColumn="0" w:lastRow="0" w:noHBand="0" w:noVBand="1" w:val="04A0"/>
      </w:tblPr>
      <w:tblGrid>
        <w:gridCol w:w="2510"/>
        <w:gridCol w:w="2510"/>
        <w:gridCol w:w="2510"/>
        <w:gridCol w:w="2510"/>
      </w:tblGrid>
      <w:tr>
        <w:tc>
          <w:tcPr>
            <w:tcW w:type="dxa" w:w="2510"/>
          </w:tcPr>
          <w:p>
            <w:r>
              <w:t>Analyzer</w:t>
            </w:r>
          </w:p>
        </w:tc>
        <w:tc>
          <w:tcPr>
            <w:tcW w:type="dxa" w:w="2510"/>
          </w:tcPr>
          <w:p>
            <w:r>
              <w:t>Recorded A–J phase</w:t>
            </w:r>
          </w:p>
        </w:tc>
        <w:tc>
          <w:tcPr>
            <w:tcW w:type="dxa" w:w="2510"/>
          </w:tcPr>
          <w:p>
            <w:r>
              <w:t>K–T continuation</w:t>
            </w:r>
          </w:p>
        </w:tc>
        <w:tc>
          <w:tcPr>
            <w:tcW w:type="dxa" w:w="2510"/>
          </w:tcPr>
          <w:p>
            <w:r>
              <w:t>Combined 30</w:t>
            </w:r>
          </w:p>
        </w:tc>
      </w:tr>
      <w:tr>
        <w:tc>
          <w:tcPr>
            <w:tcW w:type="dxa" w:w="2510"/>
          </w:tcPr>
          <w:p>
            <w:r>
              <w:t>actionlint 1.7.12</w:t>
            </w:r>
          </w:p>
        </w:tc>
        <w:tc>
          <w:tcPr>
            <w:tcW w:type="dxa" w:w="2510"/>
          </w:tcPr>
          <w:p>
            <w:r>
              <w:t>0/20 (0%)</w:t>
            </w:r>
          </w:p>
        </w:tc>
        <w:tc>
          <w:tcPr>
            <w:tcW w:type="dxa" w:w="2510"/>
          </w:tcPr>
          <w:p>
            <w:r>
              <w:t>3/10 (30%)</w:t>
            </w:r>
          </w:p>
        </w:tc>
        <w:tc>
          <w:tcPr>
            <w:tcW w:type="dxa" w:w="2510"/>
          </w:tcPr>
          <w:p>
            <w:r>
              <w:t>3/30 (10.0%)</w:t>
            </w:r>
          </w:p>
        </w:tc>
      </w:tr>
      <w:tr>
        <w:tc>
          <w:tcPr>
            <w:tcW w:type="dxa" w:w="2510"/>
          </w:tcPr>
          <w:p>
            <w:r>
              <w:t>zizmor 1.28.0</w:t>
            </w:r>
          </w:p>
        </w:tc>
        <w:tc>
          <w:tcPr>
            <w:tcW w:type="dxa" w:w="2510"/>
          </w:tcPr>
          <w:p>
            <w:r>
              <w:t>0/20 (0%)</w:t>
            </w:r>
          </w:p>
        </w:tc>
        <w:tc>
          <w:tcPr>
            <w:tcW w:type="dxa" w:w="2510"/>
          </w:tcPr>
          <w:p>
            <w:r>
              <w:t>1/10 (10%)</w:t>
            </w:r>
          </w:p>
        </w:tc>
        <w:tc>
          <w:tcPr>
            <w:tcW w:type="dxa" w:w="2510"/>
          </w:tcPr>
          <w:p>
            <w:r>
              <w:t>1/30 (3.3%)</w:t>
            </w:r>
          </w:p>
        </w:tc>
      </w:tr>
      <w:tr>
        <w:tc>
          <w:tcPr>
            <w:tcW w:type="dxa" w:w="2510"/>
          </w:tcPr>
          <w:p>
            <w:r>
              <w:t>poutine 1.1.4</w:t>
            </w:r>
          </w:p>
        </w:tc>
        <w:tc>
          <w:tcPr>
            <w:tcW w:type="dxa" w:w="2510"/>
          </w:tcPr>
          <w:p>
            <w:r>
              <w:t>0/20 (0%)</w:t>
            </w:r>
          </w:p>
        </w:tc>
        <w:tc>
          <w:tcPr>
            <w:tcW w:type="dxa" w:w="2510"/>
          </w:tcPr>
          <w:p>
            <w:r>
              <w:t>0/10 (0%)</w:t>
            </w:r>
          </w:p>
        </w:tc>
        <w:tc>
          <w:tcPr>
            <w:tcW w:type="dxa" w:w="2510"/>
          </w:tcPr>
          <w:p>
            <w:r>
              <w:t>0/30 (0%)</w:t>
            </w:r>
          </w:p>
        </w:tc>
      </w:tr>
      <w:tr>
        <w:tc>
          <w:tcPr>
            <w:tcW w:type="dxa" w:w="2510"/>
          </w:tcPr>
          <w:p>
            <w:r>
              <w:t>Any tool / union</w:t>
            </w:r>
          </w:p>
        </w:tc>
        <w:tc>
          <w:tcPr>
            <w:tcW w:type="dxa" w:w="2510"/>
          </w:tcPr>
          <w:p>
            <w:r>
              <w:t>0/20 (0%)</w:t>
            </w:r>
          </w:p>
        </w:tc>
        <w:tc>
          <w:tcPr>
            <w:tcW w:type="dxa" w:w="2510"/>
          </w:tcPr>
          <w:p>
            <w:r>
              <w:t>4/10 (40%)</w:t>
            </w:r>
          </w:p>
        </w:tc>
        <w:tc>
          <w:tcPr>
            <w:tcW w:type="dxa" w:w="2510"/>
          </w:tcPr>
          <w:p>
            <w:r>
              <w:t>4/30 (13.3%)</w:t>
            </w:r>
          </w:p>
        </w:tc>
      </w:tr>
    </w:tbl>
    <w:p>
      <w:r>
        <w:t>Table 15. Structured real-world analyzer evaluation by construction phase and combined corpus.</w:t>
      </w:r>
    </w:p>
    <w:p w14:paraId="0C77E50B" w14:textId="77777777" w:rsidR="00FF69B1" w:rsidRDefault="00000000">
      <w:pPr>
        <w:pStyle w:val="Heading1"/>
        <w:jc w:val="left"/>
      </w:pPr>
      <w:r>
        <w:rPr>
          <w:rFonts w:ascii="Helvetica" w:eastAsia="Helvetica" w:hAnsi="Helvetica"/>
        </w:rPr>
        <w:t>8. Discussion</w:t>
      </w:r>
    </w:p>
    <w:p w14:paraId="6E9A7F4E" w14:textId="77777777" w:rsidR="00FF69B1" w:rsidRDefault="00000000">
      <w:pPr>
        <w:pStyle w:val="Heading2"/>
        <w:jc w:val="left"/>
      </w:pPr>
      <w:r>
        <w:rPr>
          <w:rFonts w:ascii="Helvetica" w:eastAsia="Helvetica" w:hAnsi="Helvetica"/>
        </w:rPr>
        <w:t>8.1 Validity is not operational correctness</w:t>
      </w:r>
    </w:p>
    <w:p w14:paraId="3812C8E6" w14:textId="77777777" w:rsidR="00FF69B1" w:rsidRDefault="00000000" w:rsidP="0034461A">
      <w:r>
        <w:t>The benchmark’s central observation is that syntactic and schema validity are necessary but insufficient. Most mutants changed one structural node, yet several consequences propagated across jobs or workflows. A checker optimized for local syntax or security patterns may therefore provide no signal even when the pipeline’s operational contract has changed.</w:t>
      </w:r>
    </w:p>
    <w:p w14:paraId="43B1F93E" w14:textId="77777777" w:rsidR="00FF69B1" w:rsidRDefault="00000000">
      <w:pPr>
        <w:pStyle w:val="Heading2"/>
        <w:jc w:val="left"/>
      </w:pPr>
      <w:r>
        <w:rPr>
          <w:rFonts w:ascii="Helvetica" w:eastAsia="Helvetica" w:hAnsi="Helvetica"/>
        </w:rPr>
        <w:t>8.2 Mutation size and semantic distance should be separated</w:t>
      </w:r>
    </w:p>
    <w:p w14:paraId="1DB3A9A0" w14:textId="77777777" w:rsidR="00FF69B1" w:rsidRDefault="00000000" w:rsidP="0034461A">
      <w:r>
        <w:t>The weak descriptive association between changed-token count and semantic reach cautions against using diff magnitude as a proxy for semantic reach or operational impact scope (RQ2). A small artifact-name mutation can break a downstream job; a condition change can suppress an artifact producer; and a small concurrency-group edit can alter the interaction of independent workflows. Review prioritization should consider relationship topology and execution semantics, not only changed-line count.</w:t>
      </w:r>
    </w:p>
    <w:p w14:paraId="107F1A66" w14:textId="77777777" w:rsidR="00FF69B1" w:rsidRDefault="00000000">
      <w:pPr>
        <w:pStyle w:val="Heading2"/>
        <w:jc w:val="left"/>
      </w:pPr>
      <w:r>
        <w:rPr>
          <w:rFonts w:ascii="Helvetica" w:eastAsia="Helvetica" w:hAnsi="Helvetica"/>
        </w:rPr>
        <w:t>8.3 Benchmarks can guide targeted analyzers</w:t>
      </w:r>
    </w:p>
    <w:p w14:paraId="7724622A" w14:textId="77777777" w:rsidR="00FF69B1" w:rsidRDefault="00000000" w:rsidP="0034461A">
      <w:r>
        <w:t>The Artifact-Flow prototype illustrates a constructive use of the benchmark (RQ4). Rather than attempting full GitHub Actions interpretation, it implements two transparent rules over a bounded graph. The first holdout exposed concrete false-positive modes, and the second holdout evaluated a frozen refinement. This history is more informative than reporting only the Holdout 2 result because it documents the false-positive modes exposed by v0.1 and how the specification evolved.</w:t>
      </w:r>
    </w:p>
    <w:p w14:paraId="49D6DE6B" w14:textId="77777777" w:rsidR="00FF69B1" w:rsidRDefault="00000000">
      <w:pPr>
        <w:pStyle w:val="Heading2"/>
        <w:jc w:val="left"/>
      </w:pPr>
      <w:r>
        <w:rPr>
          <w:rFonts w:ascii="Helvetica" w:eastAsia="Helvetica" w:hAnsi="Helvetica"/>
        </w:rPr>
        <w:t>8.4 Practical implications</w:t>
      </w:r>
    </w:p>
    <w:p w14:paraId="531F7DC5" w14:textId="77777777" w:rsidR="00FF69B1" w:rsidRDefault="00000000" w:rsidP="0034461A">
      <w:pPr>
        <w:pStyle w:val="ListBullet"/>
      </w:pPr>
      <w:r>
        <w:t>Workflow review should explicitly inspect producer</w:t>
      </w:r>
      <w:r w:rsidR="00FD5697">
        <w:t>-</w:t>
      </w:r>
      <w:r>
        <w:t>consumer relationships, declared job dependencies, trigger coverage, failure</w:t>
      </w:r>
      <w:r w:rsidR="00FD5697">
        <w:t>-</w:t>
      </w:r>
      <w:r>
        <w:t>state propagation, and concurrency namespaces.</w:t>
      </w:r>
    </w:p>
    <w:p w14:paraId="7A28D2AB" w14:textId="77777777" w:rsidR="00FF69B1" w:rsidRDefault="00000000" w:rsidP="0034461A">
      <w:pPr>
        <w:pStyle w:val="ListBullet"/>
      </w:pPr>
      <w:r>
        <w:t>In mutation</w:t>
      </w:r>
      <w:r w:rsidR="00FD5697">
        <w:t>-</w:t>
      </w:r>
      <w:r>
        <w:t>based benchmark studies, analyzer findings should be baseline</w:t>
      </w:r>
      <w:r w:rsidR="00FD5697">
        <w:t>-</w:t>
      </w:r>
      <w:r>
        <w:t>differenced so recurring warnings do not inflate detection counts.</w:t>
      </w:r>
    </w:p>
    <w:p w14:paraId="0B26DDBD" w14:textId="77777777" w:rsidR="00FF69B1" w:rsidRDefault="00000000" w:rsidP="0034461A">
      <w:pPr>
        <w:pStyle w:val="ListBullet"/>
      </w:pPr>
      <w:r>
        <w:t>Semantics</w:t>
      </w:r>
      <w:r w:rsidR="00FD5697">
        <w:t>-</w:t>
      </w:r>
      <w:r>
        <w:t>preserving negative controls are useful for identifying findings that change because of formatting or location noise rather than the intended fault.</w:t>
      </w:r>
    </w:p>
    <w:p w14:paraId="6D1559A0" w14:textId="77777777" w:rsidR="00FF69B1" w:rsidRDefault="00000000" w:rsidP="0034461A">
      <w:pPr>
        <w:pStyle w:val="ListBullet"/>
      </w:pPr>
      <w:r>
        <w:t>Runtime confirmation is especially valuable for silent</w:t>
      </w:r>
      <w:r w:rsidR="00FD5697">
        <w:t>-</w:t>
      </w:r>
      <w:r>
        <w:t>success and cross</w:t>
      </w:r>
      <w:r w:rsidR="00FD5697">
        <w:t>-</w:t>
      </w:r>
      <w:r>
        <w:t>workflow interference cases, where the observable symptom may differ from a conventional failure.</w:t>
      </w:r>
    </w:p>
    <w:p w14:paraId="671C3147" w14:textId="77777777" w:rsidR="00FF69B1" w:rsidRDefault="00000000" w:rsidP="0034461A">
      <w:pPr>
        <w:pStyle w:val="ListBullet"/>
      </w:pPr>
      <w:r>
        <w:t>Narrow semantic checks can provide value when their supported expression subset and claim boundaries are explicit.</w:t>
      </w:r>
    </w:p>
    <w:p w14:paraId="3F9B6F33" w14:textId="77777777" w:rsidR="007E5B84" w:rsidRDefault="00000000">
      <w:pPr>
        <w:pStyle w:val="Heading2"/>
        <w:jc w:val="left"/>
      </w:pPr>
      <w:r>
        <w:rPr>
          <w:rFonts w:ascii="Helvetica" w:eastAsia="Helvetica" w:hAnsi="Helvetica"/>
        </w:rPr>
        <w:t>8.5 General-purpose models expose a different detection profile</w:t>
      </w:r>
    </w:p>
    <w:p w14:paraId="4905BB6A" w14:textId="77777777" w:rsidR="007E5B84" w:rsidRDefault="00000000">
      <w:r>
        <w:t>The response-level experiment characterizes an intent-conditioned reasoning mode, not a head-to-head accuracy contest with static analyzers. The language models received an explicit intended-behavior statement in addition to the workflow configuration, whereas the static analyzers operated only on their supported workflow inputs and built-in rule sets. For declared-intent and mixed cases, the models therefore received information that the static tools did not. Accordingly, the model percentages should not be compared numerically with the 1-of-18 analyzer result as if the systems were given equivalent information. The appropriate interpretation is that Claude and GPT performed similarly under the tested prompts and model versions, while Gemini showed a lower strict rate and greater sensitivity across runs. The high post-freeze agreement between the independent human ratings and the automated secondary assessment supports the stability of the principal scoring pattern without turning the automated evaluator into an independent human rater.</w:t>
      </w:r>
    </w:p>
    <w:p w14:paraId="7BF39AB6" w14:textId="77777777" w:rsidR="007E5B84" w:rsidRDefault="00000000">
      <w:pPr>
        <w:pStyle w:val="Heading2"/>
        <w:jc w:val="left"/>
      </w:pPr>
      <w:r>
        <w:rPr>
          <w:rFonts w:ascii="Helvetica" w:eastAsia="Helvetica" w:hAnsi="Helvetica"/>
        </w:rPr>
        <w:t>8.6 Replication separates execution failure from response variability</w:t>
      </w:r>
    </w:p>
    <w:p w14:paraId="4B8323B7" w14:textId="77777777" w:rsidR="007E5B84" w:rsidRDefault="00000000">
      <w:r>
        <w:t>The Gemini replication separates API completion from semantic response variability. The retry protocol resolved execution failures without counting them as semantic misses, while the separately frozen clean rerun still produced a material change in strict trial-level oracle match. Several case-level stability measures nevertheless remained unchanged. This distinction supports reporting execution reliability and semantic stability separately, while the detailed transport history is retained primarily for reproducibility rather than as a claim about provider reliability.</w:t>
      </w:r>
    </w:p>
    <w:p w14:paraId="00FDF708" w14:textId="77777777" w:rsidR="007E5B84" w:rsidRDefault="00000000">
      <w:pPr>
        <w:pStyle w:val="Heading2"/>
        <w:jc w:val="left"/>
      </w:pPr>
      <w:r>
        <w:t>8.7 Historical Cases Provide External Grounding</w:t>
      </w:r>
    </w:p>
    <w:p w14:paraId="29FA8F53" w14:textId="77777777" w:rsidR="007E5B84" w:rsidRDefault="00000000">
      <w:r>
        <w:t>The historical cases strengthen the interpretation of the controlled benchmark without replacing it. The mutation benchmark provides internal control because each injected fault and oracle is known by construction; the historical cases add external grounding because the defects arose independently in public repositories and were repaired by their maintainers. The fact that the analyzers often emitted unrelated findings while missing the documented repair target also reinforces the need for oracle-specific evaluation rather than equating warning volume with operational-defect detection. Case 4 additionally exposes a cross-system relationship between workflow-generated check names and repository merge rules [34], while Case 6 adds generated-workflow artifact-flow semantics in which omitted hidden files alter a downstream restoration step despite successful workflow execution [41]. Together, these cases suggest useful extensions to the current taxonomy beyond relationships represented entirely by local control flow.</w:t>
      </w:r>
      <w:r>
        <w:t xml:space="preserve"> Case 6 is especially aligned with the benchmark's central distinction between local validity and operational correctness: artifact production itself succeeded, yet the produced artifact did not preserve the file set required by the downstream restoration relationship.</w:t>
      </w:r>
    </w:p>
    <w:p>
      <w:pPr>
        <w:pStyle w:val="Heading2"/>
      </w:pPr>
      <w:r>
        <w:t>8.8 Thirty-Case Structured Corpus Broadens the External-Grounding Claim</w:t>
      </w:r>
    </w:p>
    <w:p>
      <w:r>
        <w:t>The 30-case structured corpus broadens the external-grounding argument without converting the study into a prevalence survey. The consolidated A–J study record reports no strict analyzer detections among its 20 retained cases even though it also preserves a historical aggregate of 557 raw findings. A later controlled recovery reproduced substantial warning volume on 19 publicly recoverable A–J cases but, because the original invocation/counting environment and one recorded case were unavailable, did not exactly reproduce the historical aggregate. This distinction reinforces an important measurement point: raw warning volume is not equivalent to repair-specific operational-semantic coverage. Continuing the defect-oriented search program through K–T added 10 cases and exposed four defects that overlap with implemented analyzer rule families: three expression/context errors detected by actionlint and one template-injection defect detected by zizmor. This phase contrast is informative, although the two stages differ in preservation strength and should not be treated as identically replicated samples. Existing analyzers can identify some real operational defects when the repair target aligns with local expression validity or security-oriented injection checks, yet they continue to miss non-local relationships involving path intent, concurrency timing, workflow-reference resolution, release provenance, failure-state propagation, and duplicated authority across schedulers. The appropriate conclusion is therefore not that existing tools never detect real operational-semantic defects, but that their repair-specific coverage remains narrow across the broader structured corpus.</w:t>
      </w:r>
    </w:p>
    <w:p w14:paraId="0C593D72" w14:textId="77777777" w:rsidR="00FF69B1" w:rsidRDefault="00000000">
      <w:pPr>
        <w:pStyle w:val="Heading1"/>
        <w:jc w:val="left"/>
      </w:pPr>
      <w:r>
        <w:rPr>
          <w:rFonts w:ascii="Helvetica" w:eastAsia="Helvetica" w:hAnsi="Helvetica"/>
        </w:rPr>
        <w:lastRenderedPageBreak/>
        <w:t>9. Threats to Validity</w:t>
      </w:r>
    </w:p>
    <w:p w14:paraId="5696F8AB" w14:textId="77777777" w:rsidR="00FF69B1" w:rsidRDefault="00000000">
      <w:pPr>
        <w:pStyle w:val="Heading2"/>
        <w:jc w:val="left"/>
      </w:pPr>
      <w:r>
        <w:rPr>
          <w:rFonts w:ascii="Helvetica" w:eastAsia="Helvetica" w:hAnsi="Helvetica"/>
        </w:rPr>
        <w:t>9.1 Construct validity</w:t>
      </w:r>
    </w:p>
    <w:p w14:paraId="78CEADCB" w14:textId="77777777" w:rsidR="00FF69B1" w:rsidRDefault="00000000" w:rsidP="0034461A">
      <w:r>
        <w:t>The study operationalizes operational-semantic faults through manually specified oracles and a study-specific classification framework. Operational Impact Scope Level measures breadth, not severity, and its values are ordinal rather than interval measurements. The approximate YAML-tree edit metric is a transparent node-operation count, not minimum tree-edit distance. Some silent-success labels depend on execution path or environment.</w:t>
      </w:r>
      <w:r>
        <w:t xml:space="preserve"> The oracle-basis classification is a post hoc descriptive analysis of already frozen oracle records. Borderline cases can involve both declared requirements and platform semantics, so the Mixed category is used where both forms of information are necessary. No benchmark oracle or detection outcome was changed as part of this classification.</w:t>
      </w:r>
    </w:p>
    <w:p w14:paraId="2BEE3C09" w14:textId="77777777" w:rsidR="00FF69B1" w:rsidRDefault="00000000">
      <w:pPr>
        <w:pStyle w:val="Heading2"/>
        <w:jc w:val="left"/>
      </w:pPr>
      <w:r>
        <w:rPr>
          <w:rFonts w:ascii="Helvetica" w:eastAsia="Helvetica" w:hAnsi="Helvetica"/>
        </w:rPr>
        <w:t>9.2 Internal validity</w:t>
      </w:r>
    </w:p>
    <w:p w14:paraId="6D81DF56" w14:textId="77777777" w:rsidR="00FF69B1" w:rsidRDefault="00000000" w:rsidP="0034461A">
      <w:r>
        <w:t>Baseline differencing depends on matching findings across baseline and mutant outputs. The pinned-action analysis reduces concern that recurring unpinned warnings obscured results. The benchmark classification and original semantic audit were performed by the author, and seven mutants received controlled runtime confirmation; the remaining benchmark oracles rely on documented platform semantics and the author's technical audit. For the response-level extension, an independent human evaluator reviewed all 315 blinded primary responses before model identities and secondary ratings were revealed. This reduces dependence on the preliminary automated secondary assessment, but the response-level human evaluation still relies on a single independent evaluator rather than multiple independent human raters. The Gemini dataset-role decision was recorded before comparative performance was calculated to reduce post-hoc selection risk.</w:t>
      </w:r>
    </w:p>
    <w:p w14:paraId="2A61DDAE" w14:textId="77777777" w:rsidR="00FF69B1" w:rsidRDefault="00000000">
      <w:pPr>
        <w:pStyle w:val="Heading2"/>
        <w:jc w:val="left"/>
      </w:pPr>
      <w:r>
        <w:rPr>
          <w:rFonts w:ascii="Helvetica" w:eastAsia="Helvetica" w:hAnsi="Helvetica"/>
        </w:rPr>
        <w:t>9.3 External validity</w:t>
      </w:r>
    </w:p>
    <w:p w14:paraId="0782245F" w14:textId="77777777" w:rsidR="00FF69B1" w:rsidRDefault="00000000" w:rsidP="0034461A">
      <w:r>
        <w:t>The benchmark contains 18 synthetic, intentionally isolated faults over five small baselines and therefore does not estimate the prevalence or distribution of operational-semantic defects in real-world repositories. External grounding uses two complementary sets. The first contains six purposefully selected documented defects from five public repositories [31]-[35], [41] and is neither statistically sampled nor exhaustive. The second is a 30-case structured corpus constructed in two stages: a recorded 20-case A–J protocol phase followed by a separately frozen 10-case K–T continuation. The later finalization audit found that the primary ordered retrieval/freeze provenance for the A–J phase was not fully recoverable, while the K–T continuation also lacks complete ranked replay provenance for every family. These limitations do not erase the documented case records, but they prevent treating the combined corpus as a probability sample or its construction history as fully replayable from live GitHub ranking. Consequently, the combined 4/30 union result should be interpreted as descriptive repair-specific coverage of these recorded cases, not as a population-wide detection rate or defect-prevalence estimate. Artifact-Flow Analysis is similarly bounded to its two implemented rules and investigator-designed cases; exact agreement on the designed holdout demonstrates feasibility, not independent population-level accuracy or complete semantic coverage.</w:t>
      </w:r>
    </w:p>
    <w:p w14:paraId="26BA00EB" w14:textId="77777777" w:rsidR="00FF69B1" w:rsidRDefault="00000000">
      <w:pPr>
        <w:pStyle w:val="Heading2"/>
        <w:jc w:val="left"/>
      </w:pPr>
      <w:r>
        <w:rPr>
          <w:rFonts w:ascii="Helvetica" w:eastAsia="Helvetica" w:hAnsi="Helvetica"/>
        </w:rPr>
        <w:t>9.4 Tool and version validity</w:t>
      </w:r>
    </w:p>
    <w:p w14:paraId="48C1F7E2" w14:textId="77777777" w:rsidR="00FF69B1" w:rsidRDefault="00000000" w:rsidP="0034461A">
      <w:r>
        <w:t xml:space="preserve">Results apply to </w:t>
      </w:r>
      <w:proofErr w:type="spellStart"/>
      <w:r>
        <w:t>actionlint</w:t>
      </w:r>
      <w:proofErr w:type="spellEnd"/>
      <w:r>
        <w:t xml:space="preserve"> 1.7.12, </w:t>
      </w:r>
      <w:proofErr w:type="spellStart"/>
      <w:r>
        <w:t>zizmor</w:t>
      </w:r>
      <w:proofErr w:type="spellEnd"/>
      <w:r>
        <w:t xml:space="preserve"> 1.28.0, and poutine 1.1.4 under recorded invocation modes. Future versions, alternative configurations, commercial analyzers, custom organizational policies, and runtime enforcement systems may behave differently. The absence of a finding does not prove that a tool can never detect any fault from the same broad class.</w:t>
      </w:r>
    </w:p>
    <w:p w14:paraId="544F8200" w14:textId="77777777" w:rsidR="00FF69B1" w:rsidRDefault="00000000">
      <w:pPr>
        <w:pStyle w:val="Heading2"/>
        <w:jc w:val="left"/>
      </w:pPr>
      <w:r>
        <w:rPr>
          <w:rFonts w:ascii="Helvetica" w:eastAsia="Helvetica" w:hAnsi="Helvetica"/>
        </w:rPr>
        <w:t>9.5 Reproducibility limitations</w:t>
      </w:r>
    </w:p>
    <w:p w14:paraId="093B1F3B" w14:textId="77777777" w:rsidR="00FF69B1" w:rsidRDefault="00000000" w:rsidP="0034461A">
      <w:r>
        <w:t>The archived v1.0.1 release consolidates source workflows, manifests, findings, metrics, the original controlled-execution evidence, prototype code, holdouts, and validation scripts. The CE12-CE15 runtime extension, response-level model evaluation, independent human evaluation, Gemini replication, six-case historical validation, and 30-case structured real-world extension were executed after v1.0.1 and are therefore post-release evidence pending incorporation into the next versioned artifact release. For the A–J phase, the later consolidated study record preserves the 20 case identities, the reported 0/20 repair-specific analyzer outcomes, and the historical raw-finding aggregate of 557 (34 actionlint, 459 zizmor, 64 poutine), but the finalization audit found that the original complete per-finding analyzer artifact and some primary ordered query-family/freeze provenance were not fully recoverable. A subsequent controlled recovery reconstructed 19/20 A–J cases from public repair PRs using immutable base SHAs and pinned analyzer versions; RW-0018 (ListenCloser/listencloser #361) was not publicly resolvable at recovery time and was not replaced. The final archival recovery run was 34177365064 at harness commit ac521ba912b738fe763154995dc31658fccc3b76, with GitHub artifact 10037715335 and artifact SHA-256 3acabc18286cc893204131d2ef0c78d80a7f437245c44c4326315c27c6944636. Its explicitly documented recovery configuration yielded 529 raw findings across the 19 recoverable cases (actionlint 0 with ShellCheck integration disabled, zizmor 464, poutine 65). This recovery total is retained separately and does not replace or independently reproduce the historical 557 aggregate. The K–T continuation separately preserves a frozen 10-case manifest, immutable pre-fix SHAs and workflow paths, repair-specific oracles, screening summary, hashes, raw actionlint/zizmor/Poutine outputs, and controlled execution identifiers. Complete ranked replay provenance was not recoverable for every K–T family either. The successful continuation all-tool run was 34173774572, and the corrected Poutine-only run was 34173841131; the first Poutine output was excluded because of an invalid flag-placement invocation. GitHub best-match ranking is a live retrieval function and should not be assumed to reproduce identically. GitHub-hosted runtime behavior additionally depends on platform availability and runner images. CE08 records short commit SHAs rather than full 40-character SHAs for its original runs; workflow file hashing partially mitigates this provenance limitation.</w:t>
      </w:r>
    </w:p>
    <w:p w14:paraId="3C29DD1F" w14:textId="77777777" w:rsidR="007E5B84" w:rsidRDefault="00000000">
      <w:pPr>
        <w:pStyle w:val="Heading2"/>
        <w:jc w:val="left"/>
      </w:pPr>
      <w:r>
        <w:rPr>
          <w:rFonts w:ascii="Helvetica" w:eastAsia="Helvetica" w:hAnsi="Helvetica"/>
        </w:rPr>
        <w:t>9.6 Model-response evaluation validity</w:t>
      </w:r>
    </w:p>
    <w:p w14:paraId="2D14BB11" w14:textId="77777777" w:rsidR="007E5B84" w:rsidRDefault="00000000">
      <w:r>
        <w:t>The response-level experiment uses exact provider model identifiers and frozen prompts, but hosted models and APIs can change over time. Temperature-zero settings do not guarantee deterministic output, and the study observed trial-to-trial variation. Public benchmark cases may also have been exposed through released artifacts; six unpublished baseline-mutant pairs reduce but do not eliminate contamination concerns. Independent human evaluation reduces reliance on automated rubric scoring, but a single independent human evaluator cannot establish universal scoring reproducibility. The 12 remaining human-versus-secondary disagreements were confined to Gemini responses and largely involved incomplete responses or boundaries among Partial, No, and Unclear. The separate Gemini replication addresses one provider-run irregularity but does not establish long-term reproducibility across model revisions or providers.</w:t>
      </w:r>
      <w:r>
        <w:t xml:space="preserve"> The paired McNemar comparison is a secondary exploratory analysis over 35 purposefully constructed logical cases, not a population-level model benchmark. Its p-value should not be interpreted as evidence of equivalence, and the absence of a detected difference does not establish identical model performance.</w:t>
      </w:r>
    </w:p>
    <w:p w14:paraId="0F5935A0" w14:textId="77777777" w:rsidR="00FF69B1" w:rsidRDefault="00000000">
      <w:pPr>
        <w:pStyle w:val="Heading1"/>
        <w:jc w:val="left"/>
      </w:pPr>
      <w:r>
        <w:rPr>
          <w:rFonts w:ascii="Helvetica" w:eastAsia="Helvetica" w:hAnsi="Helvetica"/>
        </w:rPr>
        <w:t>10. Conclusion</w:t>
      </w:r>
    </w:p>
    <w:p w14:paraId="6C6AE24F" w14:textId="77777777" w:rsidR="00FF69B1" w:rsidRDefault="00000000" w:rsidP="0034461A">
      <w:r>
        <w:t>This study introduced a mutation-based benchmark for operational-semantic error detection in GitHub Actions. Three evaluated analyzers detected only 1 of 18 schema-valid mutants after exact baseline differencing, and the result remained unchanged after full SHA pinning (RQ1, RQ3). The missed faults were frequently small in syntax but non-local in consequence: 17 mutants had an approximate YAML-tree edit count of one, while many propagated across jobs or workflows (RQ1, RQ2). Controlled runtime validation confirmed seven representative missed faults spanning artifact reachability and identity, matrix coverage, trigger filtering, failure handling and propagation, and cross-workflow concurrency interference (RQ3). Semantics-preserving controls retained stable findings, and a narrow Artifact-Flow Analysis showed that benchmark-guided semantic checks can recover a bounded class of faults with explainable rules (RQ3, RQ4). External grounding then used six purposefully selected historical defects and a 30-case structured real-world corpus. None of the six historical defects was identified by any analyzer. The consolidated A–J study record reports 0/20 strict detections, while the separately frozen K–T continuation yielded four union detections among 10 additional cases; descriptively across the 30 recorded cases, actionlint detected 3/30, zizmor 1/30, poutine 0/30, and the analyzer union detected 4/30 (13.3%) (RQ5). The phase contrast shows that existing analyzers can identify selected local/context or injection defects while still missing many non-local operational relationships, but the A–J provenance limitation prevents treating the combined corpus as a fully replayable sampling denominator. A later 315-response experiment extended the benchmark to three general-purpose language models under a frozen protocol (RQ4). Independent human evaluation found strict oracle-match rates of 80.95% for Claude, 77.14% for GPT, and 37.14% for Gemini, with Claude and GPT showing similar paired case-level performance and both exceeding Gemini descriptively; the frozen human ratings showed 96.19% exact four-category agreement with the preliminary automated secondary assessment. The Gemini replication further showed that strict trial-level results can shift even when several case-level stability measures remain unchanged (RQ4). Together, the results motivate workflow analysis that models declared operational relationships, separates API execution reliability from semantic correctness, and uses repair-specific evaluation across controlled and documented real-world cases.</w:t>
      </w:r>
    </w:p>
    <w:p w14:paraId="5B78F0D3" w14:textId="77777777" w:rsidR="00FF69B1" w:rsidRDefault="00000000">
      <w:pPr>
        <w:pStyle w:val="Heading1"/>
        <w:jc w:val="left"/>
      </w:pPr>
      <w:r>
        <w:rPr>
          <w:rFonts w:ascii="Helvetica" w:eastAsia="Helvetica" w:hAnsi="Helvetica"/>
        </w:rPr>
        <w:t>11. Artifact Availability</w:t>
      </w:r>
    </w:p>
    <w:p w14:paraId="49BBBFDE" w14:textId="77777777" w:rsidR="00FF69B1" w:rsidRDefault="00000000" w:rsidP="0034461A">
      <w:r>
        <w:t>The benchmark, static-analysis outputs, original controlled runtime evidence, prototype implementation, and reproducibility materials are publicly available in the project repository and its tagged v1.0.1 release, archived on Zenodo at DOI 10.5281/zenodo.21658780. The response-level model evaluation, Gemini replication, historical validation, independent human-evaluation materials, CE12-CE15 runtime extension, and the 30-case structured real-world extension were produced after v1.0.1 and are not yet incorporated into the archived release. For the real-world extension, the later A–J study record preserves the 20 case identities, family assignments, defect summaries, oracles, and reported analyzer outcomes, while the finalization audit documents incomplete recovery of some primary ordered-search/freeze and per-finding analyzer-provenance artifacts. The separately frozen K–T package preserves immutable pre-fix workflow identifiers, repair-specific oracles, analyzer versions, raw outputs, hashes, and controlled execution evidence. Before journal submission, these post-v1.0.1 materials should be incorporated into a subsequent versioned public release so the principal extension results can be independently audited. The repository contains no employer workflow data, proprietary source code, internal logs, confidential metrics, credentials, or private production-system information.</w:t>
      </w:r>
    </w:p>
    <w:p w14:paraId="5F5040B6" w14:textId="77777777" w:rsidR="00472C60" w:rsidRDefault="00472C60">
      <w:pPr>
        <w:pStyle w:val="Heading1"/>
        <w:pageBreakBefore/>
        <w:jc w:val="left"/>
        <w:rPr>
          <w:rFonts w:ascii="Helvetica" w:eastAsia="Helvetica" w:hAnsi="Helvetica"/>
        </w:rPr>
        <w:sectPr w:rsidR="00472C60" w:rsidSect="007217D5">
          <w:type w:val="continuous"/>
          <w:pgSz w:w="11520" w:h="15660"/>
          <w:pgMar w:top="1300" w:right="740" w:bottom="1040" w:left="740" w:header="360" w:footer="360" w:gutter="0"/>
          <w:cols w:num="1" w:space="720"/>
        </w:sectPr>
      </w:pPr>
    </w:p>
    <w:p w14:paraId="42BC9319" w14:textId="77777777" w:rsidR="00FF69B1" w:rsidRDefault="00000000">
      <w:pPr>
        <w:pStyle w:val="Heading1"/>
        <w:pageBreakBefore/>
        <w:jc w:val="left"/>
      </w:pPr>
      <w:r>
        <w:rPr>
          <w:rFonts w:ascii="Helvetica" w:eastAsia="Helvetica" w:hAnsi="Helvetica"/>
        </w:rPr>
        <w:lastRenderedPageBreak/>
        <w:t>Appendix A. Per</w:t>
      </w:r>
      <w:r w:rsidR="00FD5697">
        <w:rPr>
          <w:rFonts w:ascii="Helvetica" w:eastAsia="Helvetica" w:hAnsi="Helvetica"/>
        </w:rPr>
        <w:t>-</w:t>
      </w:r>
      <w:r>
        <w:rPr>
          <w:rFonts w:ascii="Helvetica" w:eastAsia="Helvetica" w:hAnsi="Helvetica"/>
        </w:rPr>
        <w:t>Mutant Summary</w:t>
      </w:r>
    </w:p>
    <w:p w14:paraId="5763EBB0" w14:textId="77777777" w:rsidR="007E5B84" w:rsidRDefault="007E5B84">
      <w:pPr>
        <w:sectPr w:rsidR="007E5B84">
          <w:type w:val="continuous"/>
          <w:pgSz w:w="11520" w:h="15660"/>
          <w:pgMar w:top="1300" w:right="740" w:bottom="1040" w:left="740" w:header="360" w:footer="360" w:gutter="0"/>
          <w:cols w:num="2" w:space="400"/>
        </w:sectPr>
      </w:pPr>
    </w:p>
    <w:tbl>
      <w:tblPr>
        <w:tblStyle w:val="TableGrid"/>
        <w:tblW w:w="9936" w:type="dxa"/>
        <w:jc w:val="center"/>
        <w:tblLook w:val="04A0" w:firstRow="1" w:lastRow="0" w:firstColumn="1" w:lastColumn="0" w:noHBand="0" w:noVBand="1"/>
      </w:tblPr>
      <w:tblGrid>
        <w:gridCol w:w="1748"/>
        <w:gridCol w:w="1821"/>
        <w:gridCol w:w="771"/>
        <w:gridCol w:w="771"/>
        <w:gridCol w:w="772"/>
        <w:gridCol w:w="907"/>
        <w:gridCol w:w="1118"/>
        <w:gridCol w:w="1115"/>
        <w:gridCol w:w="913"/>
      </w:tblGrid>
      <w:tr w:rsidR="00FF69B1" w14:paraId="708F46D8" w14:textId="77777777">
        <w:trPr>
          <w:cantSplit/>
          <w:tblHeader/>
          <w:jc w:val="center"/>
        </w:trPr>
        <w:tc>
          <w:tcPr>
            <w:tcW w:w="1748" w:type="dxa"/>
            <w:shd w:val="clear" w:color="auto" w:fill="D9EAF7"/>
            <w:tcMar>
              <w:top w:w="60" w:type="dxa"/>
              <w:left w:w="80" w:type="dxa"/>
              <w:bottom w:w="60" w:type="dxa"/>
              <w:right w:w="80" w:type="dxa"/>
            </w:tcMar>
            <w:vAlign w:val="center"/>
          </w:tcPr>
          <w:p w14:paraId="2F55B553" w14:textId="77777777" w:rsidR="00FF69B1" w:rsidRDefault="00000000">
            <w:pPr>
              <w:jc w:val="left"/>
            </w:pPr>
            <w:r>
              <w:rPr>
                <w:b/>
                <w:sz w:val="14"/>
              </w:rPr>
              <w:t>Mutant</w:t>
            </w:r>
          </w:p>
        </w:tc>
        <w:tc>
          <w:tcPr>
            <w:tcW w:w="1821" w:type="dxa"/>
            <w:shd w:val="clear" w:color="auto" w:fill="D9EAF7"/>
            <w:tcMar>
              <w:top w:w="60" w:type="dxa"/>
              <w:left w:w="80" w:type="dxa"/>
              <w:bottom w:w="60" w:type="dxa"/>
              <w:right w:w="80" w:type="dxa"/>
            </w:tcMar>
            <w:vAlign w:val="center"/>
          </w:tcPr>
          <w:p w14:paraId="061A0AB2" w14:textId="77777777" w:rsidR="00FF69B1" w:rsidRDefault="00000000">
            <w:pPr>
              <w:jc w:val="left"/>
            </w:pPr>
            <w:r>
              <w:rPr>
                <w:b/>
                <w:sz w:val="14"/>
              </w:rPr>
              <w:t>Class</w:t>
            </w:r>
          </w:p>
        </w:tc>
        <w:tc>
          <w:tcPr>
            <w:tcW w:w="771" w:type="dxa"/>
            <w:shd w:val="clear" w:color="auto" w:fill="D9EAF7"/>
            <w:tcMar>
              <w:top w:w="60" w:type="dxa"/>
              <w:left w:w="80" w:type="dxa"/>
              <w:bottom w:w="60" w:type="dxa"/>
              <w:right w:w="80" w:type="dxa"/>
            </w:tcMar>
            <w:vAlign w:val="center"/>
          </w:tcPr>
          <w:p w14:paraId="30190477" w14:textId="77777777" w:rsidR="00FF69B1" w:rsidRDefault="00000000">
            <w:pPr>
              <w:jc w:val="left"/>
            </w:pPr>
            <w:r>
              <w:rPr>
                <w:b/>
                <w:sz w:val="14"/>
              </w:rPr>
              <w:t>Depth</w:t>
            </w:r>
          </w:p>
        </w:tc>
        <w:tc>
          <w:tcPr>
            <w:tcW w:w="771" w:type="dxa"/>
            <w:shd w:val="clear" w:color="auto" w:fill="D9EAF7"/>
            <w:tcMar>
              <w:top w:w="60" w:type="dxa"/>
              <w:left w:w="80" w:type="dxa"/>
              <w:bottom w:w="60" w:type="dxa"/>
              <w:right w:w="80" w:type="dxa"/>
            </w:tcMar>
            <w:vAlign w:val="center"/>
          </w:tcPr>
          <w:p w14:paraId="4ACD0CBE" w14:textId="77777777" w:rsidR="00FF69B1" w:rsidRDefault="00000000">
            <w:pPr>
              <w:jc w:val="left"/>
            </w:pPr>
            <w:r>
              <w:rPr>
                <w:b/>
                <w:sz w:val="14"/>
              </w:rPr>
              <w:t>Scope</w:t>
            </w:r>
          </w:p>
        </w:tc>
        <w:tc>
          <w:tcPr>
            <w:tcW w:w="772" w:type="dxa"/>
            <w:shd w:val="clear" w:color="auto" w:fill="D9EAF7"/>
            <w:tcMar>
              <w:top w:w="60" w:type="dxa"/>
              <w:left w:w="80" w:type="dxa"/>
              <w:bottom w:w="60" w:type="dxa"/>
              <w:right w:w="80" w:type="dxa"/>
            </w:tcMar>
            <w:vAlign w:val="center"/>
          </w:tcPr>
          <w:p w14:paraId="376EA1C0" w14:textId="77777777" w:rsidR="00FF69B1" w:rsidRDefault="00000000">
            <w:pPr>
              <w:jc w:val="left"/>
            </w:pPr>
            <w:r>
              <w:rPr>
                <w:b/>
                <w:sz w:val="14"/>
              </w:rPr>
              <w:t>Tokens</w:t>
            </w:r>
          </w:p>
        </w:tc>
        <w:tc>
          <w:tcPr>
            <w:tcW w:w="907" w:type="dxa"/>
            <w:shd w:val="clear" w:color="auto" w:fill="D9EAF7"/>
            <w:tcMar>
              <w:top w:w="60" w:type="dxa"/>
              <w:left w:w="80" w:type="dxa"/>
              <w:bottom w:w="60" w:type="dxa"/>
              <w:right w:w="80" w:type="dxa"/>
            </w:tcMar>
            <w:vAlign w:val="center"/>
          </w:tcPr>
          <w:p w14:paraId="2A401C97" w14:textId="77777777" w:rsidR="00FF69B1" w:rsidRDefault="00000000">
            <w:pPr>
              <w:jc w:val="left"/>
            </w:pPr>
            <w:r>
              <w:rPr>
                <w:b/>
                <w:sz w:val="14"/>
              </w:rPr>
              <w:t>Tree edits</w:t>
            </w:r>
          </w:p>
        </w:tc>
        <w:tc>
          <w:tcPr>
            <w:tcW w:w="1118" w:type="dxa"/>
            <w:shd w:val="clear" w:color="auto" w:fill="D9EAF7"/>
            <w:tcMar>
              <w:top w:w="60" w:type="dxa"/>
              <w:left w:w="80" w:type="dxa"/>
              <w:bottom w:w="60" w:type="dxa"/>
              <w:right w:w="80" w:type="dxa"/>
            </w:tcMar>
            <w:vAlign w:val="center"/>
          </w:tcPr>
          <w:p w14:paraId="78959E86" w14:textId="77777777" w:rsidR="00FF69B1" w:rsidRDefault="00000000">
            <w:pPr>
              <w:jc w:val="left"/>
            </w:pPr>
            <w:r>
              <w:rPr>
                <w:b/>
                <w:sz w:val="14"/>
              </w:rPr>
              <w:t>Existing tool</w:t>
            </w:r>
          </w:p>
        </w:tc>
        <w:tc>
          <w:tcPr>
            <w:tcW w:w="1115" w:type="dxa"/>
            <w:shd w:val="clear" w:color="auto" w:fill="D9EAF7"/>
            <w:tcMar>
              <w:top w:w="60" w:type="dxa"/>
              <w:left w:w="80" w:type="dxa"/>
              <w:bottom w:w="60" w:type="dxa"/>
              <w:right w:w="80" w:type="dxa"/>
            </w:tcMar>
            <w:vAlign w:val="center"/>
          </w:tcPr>
          <w:p w14:paraId="1EEF7A6F" w14:textId="77777777" w:rsidR="00FF69B1" w:rsidRDefault="00000000">
            <w:pPr>
              <w:jc w:val="left"/>
            </w:pPr>
            <w:r>
              <w:rPr>
                <w:b/>
                <w:sz w:val="14"/>
              </w:rPr>
              <w:t>AF v0.2</w:t>
            </w:r>
          </w:p>
        </w:tc>
        <w:tc>
          <w:tcPr>
            <w:tcW w:w="913" w:type="dxa"/>
            <w:shd w:val="clear" w:color="auto" w:fill="D9EAF7"/>
            <w:tcMar>
              <w:top w:w="60" w:type="dxa"/>
              <w:left w:w="80" w:type="dxa"/>
              <w:bottom w:w="60" w:type="dxa"/>
              <w:right w:w="80" w:type="dxa"/>
            </w:tcMar>
            <w:vAlign w:val="center"/>
          </w:tcPr>
          <w:p w14:paraId="6438C29F" w14:textId="77777777" w:rsidR="00FF69B1" w:rsidRDefault="00000000">
            <w:pPr>
              <w:jc w:val="left"/>
            </w:pPr>
            <w:r>
              <w:rPr>
                <w:b/>
                <w:sz w:val="14"/>
              </w:rPr>
              <w:t>Runtime</w:t>
            </w:r>
          </w:p>
        </w:tc>
      </w:tr>
      <w:tr w:rsidR="00FF69B1" w14:paraId="7662985B" w14:textId="77777777">
        <w:trPr>
          <w:cantSplit/>
          <w:jc w:val="center"/>
        </w:trPr>
        <w:tc>
          <w:tcPr>
            <w:tcW w:w="1748" w:type="dxa"/>
            <w:tcMar>
              <w:top w:w="60" w:type="dxa"/>
              <w:left w:w="80" w:type="dxa"/>
              <w:bottom w:w="60" w:type="dxa"/>
              <w:right w:w="80" w:type="dxa"/>
            </w:tcMar>
            <w:vAlign w:val="center"/>
          </w:tcPr>
          <w:p w14:paraId="439DBAB0" w14:textId="77777777" w:rsidR="00FF69B1" w:rsidRDefault="00000000">
            <w:pPr>
              <w:jc w:val="left"/>
            </w:pPr>
            <w:r>
              <w:rPr>
                <w:sz w:val="14"/>
              </w:rPr>
              <w:t>B001_AR01_001</w:t>
            </w:r>
          </w:p>
        </w:tc>
        <w:tc>
          <w:tcPr>
            <w:tcW w:w="1821" w:type="dxa"/>
            <w:tcMar>
              <w:top w:w="60" w:type="dxa"/>
              <w:left w:w="80" w:type="dxa"/>
              <w:bottom w:w="60" w:type="dxa"/>
              <w:right w:w="80" w:type="dxa"/>
            </w:tcMar>
            <w:vAlign w:val="center"/>
          </w:tcPr>
          <w:p w14:paraId="150FD346" w14:textId="77777777" w:rsidR="00FF69B1" w:rsidRDefault="00000000">
            <w:pPr>
              <w:jc w:val="left"/>
            </w:pPr>
            <w:proofErr w:type="spellStart"/>
            <w:r>
              <w:rPr>
                <w:sz w:val="14"/>
              </w:rPr>
              <w:t>artifact_dataflow</w:t>
            </w:r>
            <w:proofErr w:type="spellEnd"/>
          </w:p>
        </w:tc>
        <w:tc>
          <w:tcPr>
            <w:tcW w:w="771" w:type="dxa"/>
            <w:tcMar>
              <w:top w:w="60" w:type="dxa"/>
              <w:left w:w="80" w:type="dxa"/>
              <w:bottom w:w="60" w:type="dxa"/>
              <w:right w:w="80" w:type="dxa"/>
            </w:tcMar>
            <w:vAlign w:val="center"/>
          </w:tcPr>
          <w:p w14:paraId="1B28D609" w14:textId="77777777" w:rsidR="00FF69B1" w:rsidRDefault="00000000">
            <w:pPr>
              <w:jc w:val="left"/>
            </w:pPr>
            <w:r>
              <w:rPr>
                <w:sz w:val="14"/>
              </w:rPr>
              <w:t>D3</w:t>
            </w:r>
          </w:p>
        </w:tc>
        <w:tc>
          <w:tcPr>
            <w:tcW w:w="771" w:type="dxa"/>
            <w:tcMar>
              <w:top w:w="60" w:type="dxa"/>
              <w:left w:w="80" w:type="dxa"/>
              <w:bottom w:w="60" w:type="dxa"/>
              <w:right w:w="80" w:type="dxa"/>
            </w:tcMar>
            <w:vAlign w:val="center"/>
          </w:tcPr>
          <w:p w14:paraId="08A7D431" w14:textId="77777777" w:rsidR="00FF69B1" w:rsidRDefault="00000000">
            <w:pPr>
              <w:jc w:val="left"/>
            </w:pPr>
            <w:r>
              <w:rPr>
                <w:sz w:val="14"/>
              </w:rPr>
              <w:t>3</w:t>
            </w:r>
          </w:p>
        </w:tc>
        <w:tc>
          <w:tcPr>
            <w:tcW w:w="772" w:type="dxa"/>
            <w:tcMar>
              <w:top w:w="60" w:type="dxa"/>
              <w:left w:w="80" w:type="dxa"/>
              <w:bottom w:w="60" w:type="dxa"/>
              <w:right w:w="80" w:type="dxa"/>
            </w:tcMar>
            <w:vAlign w:val="center"/>
          </w:tcPr>
          <w:p w14:paraId="298402C4" w14:textId="77777777" w:rsidR="00FF69B1" w:rsidRDefault="00000000">
            <w:pPr>
              <w:jc w:val="left"/>
            </w:pPr>
            <w:r>
              <w:rPr>
                <w:sz w:val="14"/>
              </w:rPr>
              <w:t>2</w:t>
            </w:r>
          </w:p>
        </w:tc>
        <w:tc>
          <w:tcPr>
            <w:tcW w:w="907" w:type="dxa"/>
            <w:tcMar>
              <w:top w:w="60" w:type="dxa"/>
              <w:left w:w="80" w:type="dxa"/>
              <w:bottom w:w="60" w:type="dxa"/>
              <w:right w:w="80" w:type="dxa"/>
            </w:tcMar>
            <w:vAlign w:val="center"/>
          </w:tcPr>
          <w:p w14:paraId="486ADE10"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46D5E2E1"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166DAE21" w14:textId="77777777" w:rsidR="00FF69B1" w:rsidRDefault="00000000">
            <w:pPr>
              <w:jc w:val="left"/>
            </w:pPr>
            <w:r>
              <w:rPr>
                <w:sz w:val="14"/>
              </w:rPr>
              <w:t>AF001</w:t>
            </w:r>
          </w:p>
        </w:tc>
        <w:tc>
          <w:tcPr>
            <w:tcW w:w="913" w:type="dxa"/>
            <w:tcMar>
              <w:top w:w="60" w:type="dxa"/>
              <w:left w:w="80" w:type="dxa"/>
              <w:bottom w:w="60" w:type="dxa"/>
              <w:right w:w="80" w:type="dxa"/>
            </w:tcMar>
            <w:vAlign w:val="center"/>
          </w:tcPr>
          <w:p>
            <w:r>
              <w:t>CE15</w:t>
            </w:r>
          </w:p>
        </w:tc>
      </w:tr>
      <w:tr w:rsidR="00FF69B1" w14:paraId="02309FEB" w14:textId="77777777">
        <w:trPr>
          <w:cantSplit/>
          <w:jc w:val="center"/>
        </w:trPr>
        <w:tc>
          <w:tcPr>
            <w:tcW w:w="1748" w:type="dxa"/>
            <w:tcMar>
              <w:top w:w="60" w:type="dxa"/>
              <w:left w:w="80" w:type="dxa"/>
              <w:bottom w:w="60" w:type="dxa"/>
              <w:right w:w="80" w:type="dxa"/>
            </w:tcMar>
            <w:vAlign w:val="center"/>
          </w:tcPr>
          <w:p w14:paraId="3F7BDC63" w14:textId="77777777" w:rsidR="00FF69B1" w:rsidRDefault="00000000">
            <w:pPr>
              <w:jc w:val="left"/>
            </w:pPr>
            <w:r>
              <w:rPr>
                <w:sz w:val="14"/>
              </w:rPr>
              <w:t>B001_AR02_001</w:t>
            </w:r>
          </w:p>
        </w:tc>
        <w:tc>
          <w:tcPr>
            <w:tcW w:w="1821" w:type="dxa"/>
            <w:tcMar>
              <w:top w:w="60" w:type="dxa"/>
              <w:left w:w="80" w:type="dxa"/>
              <w:bottom w:w="60" w:type="dxa"/>
              <w:right w:w="80" w:type="dxa"/>
            </w:tcMar>
            <w:vAlign w:val="center"/>
          </w:tcPr>
          <w:p w14:paraId="0DC2893A" w14:textId="77777777" w:rsidR="00FF69B1" w:rsidRDefault="00000000">
            <w:pPr>
              <w:jc w:val="left"/>
            </w:pPr>
            <w:proofErr w:type="spellStart"/>
            <w:r>
              <w:rPr>
                <w:sz w:val="14"/>
              </w:rPr>
              <w:t>artifact_dataflow</w:t>
            </w:r>
            <w:proofErr w:type="spellEnd"/>
          </w:p>
        </w:tc>
        <w:tc>
          <w:tcPr>
            <w:tcW w:w="771" w:type="dxa"/>
            <w:tcMar>
              <w:top w:w="60" w:type="dxa"/>
              <w:left w:w="80" w:type="dxa"/>
              <w:bottom w:w="60" w:type="dxa"/>
              <w:right w:w="80" w:type="dxa"/>
            </w:tcMar>
            <w:vAlign w:val="center"/>
          </w:tcPr>
          <w:p w14:paraId="7B171F94" w14:textId="77777777" w:rsidR="00FF69B1" w:rsidRDefault="00000000">
            <w:pPr>
              <w:jc w:val="left"/>
            </w:pPr>
            <w:r>
              <w:rPr>
                <w:sz w:val="14"/>
              </w:rPr>
              <w:t>D3</w:t>
            </w:r>
          </w:p>
        </w:tc>
        <w:tc>
          <w:tcPr>
            <w:tcW w:w="771" w:type="dxa"/>
            <w:tcMar>
              <w:top w:w="60" w:type="dxa"/>
              <w:left w:w="80" w:type="dxa"/>
              <w:bottom w:w="60" w:type="dxa"/>
              <w:right w:w="80" w:type="dxa"/>
            </w:tcMar>
            <w:vAlign w:val="center"/>
          </w:tcPr>
          <w:p w14:paraId="412362BB" w14:textId="77777777" w:rsidR="00FF69B1" w:rsidRDefault="00000000">
            <w:pPr>
              <w:jc w:val="left"/>
            </w:pPr>
            <w:r>
              <w:rPr>
                <w:sz w:val="14"/>
              </w:rPr>
              <w:t>3</w:t>
            </w:r>
          </w:p>
        </w:tc>
        <w:tc>
          <w:tcPr>
            <w:tcW w:w="772" w:type="dxa"/>
            <w:tcMar>
              <w:top w:w="60" w:type="dxa"/>
              <w:left w:w="80" w:type="dxa"/>
              <w:bottom w:w="60" w:type="dxa"/>
              <w:right w:w="80" w:type="dxa"/>
            </w:tcMar>
            <w:vAlign w:val="center"/>
          </w:tcPr>
          <w:p w14:paraId="058F846B" w14:textId="77777777" w:rsidR="00FF69B1" w:rsidRDefault="00000000">
            <w:pPr>
              <w:jc w:val="left"/>
            </w:pPr>
            <w:r>
              <w:rPr>
                <w:sz w:val="14"/>
              </w:rPr>
              <w:t>2</w:t>
            </w:r>
          </w:p>
        </w:tc>
        <w:tc>
          <w:tcPr>
            <w:tcW w:w="907" w:type="dxa"/>
            <w:tcMar>
              <w:top w:w="60" w:type="dxa"/>
              <w:left w:w="80" w:type="dxa"/>
              <w:bottom w:w="60" w:type="dxa"/>
              <w:right w:w="80" w:type="dxa"/>
            </w:tcMar>
            <w:vAlign w:val="center"/>
          </w:tcPr>
          <w:p w14:paraId="6DD7A03C"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042B13D0"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03A3C957" w14:textId="77777777" w:rsidR="00FF69B1" w:rsidRDefault="00000000">
            <w:pPr>
              <w:jc w:val="left"/>
            </w:pPr>
            <w:r>
              <w:rPr>
                <w:sz w:val="14"/>
              </w:rPr>
              <w:t>AF001</w:t>
            </w:r>
          </w:p>
        </w:tc>
        <w:tc>
          <w:tcPr>
            <w:tcW w:w="913" w:type="dxa"/>
            <w:tcMar>
              <w:top w:w="60" w:type="dxa"/>
              <w:left w:w="80" w:type="dxa"/>
              <w:bottom w:w="60" w:type="dxa"/>
              <w:right w:w="80" w:type="dxa"/>
            </w:tcMar>
            <w:vAlign w:val="center"/>
          </w:tcPr>
          <w:p w14:paraId="3D6FB99D" w14:textId="77777777" w:rsidR="00FF69B1" w:rsidRDefault="00FD5697">
            <w:pPr>
              <w:jc w:val="left"/>
            </w:pPr>
            <w:r>
              <w:rPr>
                <w:sz w:val="14"/>
              </w:rPr>
              <w:t>-</w:t>
            </w:r>
          </w:p>
        </w:tc>
      </w:tr>
      <w:tr w:rsidR="00FF69B1" w14:paraId="0D19FA56" w14:textId="77777777">
        <w:trPr>
          <w:cantSplit/>
          <w:jc w:val="center"/>
        </w:trPr>
        <w:tc>
          <w:tcPr>
            <w:tcW w:w="1748" w:type="dxa"/>
            <w:tcMar>
              <w:top w:w="60" w:type="dxa"/>
              <w:left w:w="80" w:type="dxa"/>
              <w:bottom w:w="60" w:type="dxa"/>
              <w:right w:w="80" w:type="dxa"/>
            </w:tcMar>
            <w:vAlign w:val="center"/>
          </w:tcPr>
          <w:p w14:paraId="1E73B2B8" w14:textId="77777777" w:rsidR="00FF69B1" w:rsidRDefault="00000000">
            <w:pPr>
              <w:jc w:val="left"/>
            </w:pPr>
            <w:r>
              <w:rPr>
                <w:sz w:val="14"/>
              </w:rPr>
              <w:t>B001_AR03_001</w:t>
            </w:r>
          </w:p>
        </w:tc>
        <w:tc>
          <w:tcPr>
            <w:tcW w:w="1821" w:type="dxa"/>
            <w:tcMar>
              <w:top w:w="60" w:type="dxa"/>
              <w:left w:w="80" w:type="dxa"/>
              <w:bottom w:w="60" w:type="dxa"/>
              <w:right w:w="80" w:type="dxa"/>
            </w:tcMar>
            <w:vAlign w:val="center"/>
          </w:tcPr>
          <w:p w14:paraId="579C0719" w14:textId="77777777" w:rsidR="00FF69B1" w:rsidRDefault="00000000">
            <w:pPr>
              <w:jc w:val="left"/>
            </w:pPr>
            <w:proofErr w:type="spellStart"/>
            <w:r>
              <w:rPr>
                <w:sz w:val="14"/>
              </w:rPr>
              <w:t>artifact_dataflow</w:t>
            </w:r>
            <w:proofErr w:type="spellEnd"/>
          </w:p>
        </w:tc>
        <w:tc>
          <w:tcPr>
            <w:tcW w:w="771" w:type="dxa"/>
            <w:tcMar>
              <w:top w:w="60" w:type="dxa"/>
              <w:left w:w="80" w:type="dxa"/>
              <w:bottom w:w="60" w:type="dxa"/>
              <w:right w:w="80" w:type="dxa"/>
            </w:tcMar>
            <w:vAlign w:val="center"/>
          </w:tcPr>
          <w:p w14:paraId="17C93B27" w14:textId="77777777" w:rsidR="00FF69B1" w:rsidRDefault="00000000">
            <w:pPr>
              <w:jc w:val="left"/>
            </w:pPr>
            <w:r>
              <w:rPr>
                <w:sz w:val="14"/>
              </w:rPr>
              <w:t>D3</w:t>
            </w:r>
          </w:p>
        </w:tc>
        <w:tc>
          <w:tcPr>
            <w:tcW w:w="771" w:type="dxa"/>
            <w:tcMar>
              <w:top w:w="60" w:type="dxa"/>
              <w:left w:w="80" w:type="dxa"/>
              <w:bottom w:w="60" w:type="dxa"/>
              <w:right w:w="80" w:type="dxa"/>
            </w:tcMar>
            <w:vAlign w:val="center"/>
          </w:tcPr>
          <w:p w14:paraId="1DEEFE51" w14:textId="77777777" w:rsidR="00FF69B1" w:rsidRDefault="00000000">
            <w:pPr>
              <w:jc w:val="left"/>
            </w:pPr>
            <w:r>
              <w:rPr>
                <w:sz w:val="14"/>
              </w:rPr>
              <w:t>3</w:t>
            </w:r>
          </w:p>
        </w:tc>
        <w:tc>
          <w:tcPr>
            <w:tcW w:w="772" w:type="dxa"/>
            <w:tcMar>
              <w:top w:w="60" w:type="dxa"/>
              <w:left w:w="80" w:type="dxa"/>
              <w:bottom w:w="60" w:type="dxa"/>
              <w:right w:w="80" w:type="dxa"/>
            </w:tcMar>
            <w:vAlign w:val="center"/>
          </w:tcPr>
          <w:p w14:paraId="749F3746" w14:textId="77777777" w:rsidR="00FF69B1" w:rsidRDefault="00000000">
            <w:pPr>
              <w:jc w:val="left"/>
            </w:pPr>
            <w:r>
              <w:rPr>
                <w:sz w:val="14"/>
              </w:rPr>
              <w:t>7</w:t>
            </w:r>
          </w:p>
        </w:tc>
        <w:tc>
          <w:tcPr>
            <w:tcW w:w="907" w:type="dxa"/>
            <w:tcMar>
              <w:top w:w="60" w:type="dxa"/>
              <w:left w:w="80" w:type="dxa"/>
              <w:bottom w:w="60" w:type="dxa"/>
              <w:right w:w="80" w:type="dxa"/>
            </w:tcMar>
            <w:vAlign w:val="center"/>
          </w:tcPr>
          <w:p w14:paraId="1B186E12"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134362E9"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1B364B3B" w14:textId="77777777" w:rsidR="00FF69B1" w:rsidRDefault="00000000">
            <w:pPr>
              <w:jc w:val="left"/>
            </w:pPr>
            <w:r>
              <w:rPr>
                <w:sz w:val="14"/>
              </w:rPr>
              <w:t>AF001</w:t>
            </w:r>
          </w:p>
        </w:tc>
        <w:tc>
          <w:tcPr>
            <w:tcW w:w="913" w:type="dxa"/>
            <w:tcMar>
              <w:top w:w="60" w:type="dxa"/>
              <w:left w:w="80" w:type="dxa"/>
              <w:bottom w:w="60" w:type="dxa"/>
              <w:right w:w="80" w:type="dxa"/>
            </w:tcMar>
            <w:vAlign w:val="center"/>
          </w:tcPr>
          <w:p w14:paraId="0CF0CDF5" w14:textId="77777777" w:rsidR="00FF69B1" w:rsidRDefault="00000000">
            <w:pPr>
              <w:jc w:val="left"/>
            </w:pPr>
            <w:r>
              <w:rPr>
                <w:sz w:val="14"/>
              </w:rPr>
              <w:t>CE01</w:t>
            </w:r>
          </w:p>
        </w:tc>
      </w:tr>
      <w:tr w:rsidR="00FF69B1" w14:paraId="7446AA70" w14:textId="77777777">
        <w:trPr>
          <w:cantSplit/>
          <w:jc w:val="center"/>
        </w:trPr>
        <w:tc>
          <w:tcPr>
            <w:tcW w:w="1748" w:type="dxa"/>
            <w:tcMar>
              <w:top w:w="60" w:type="dxa"/>
              <w:left w:w="80" w:type="dxa"/>
              <w:bottom w:w="60" w:type="dxa"/>
              <w:right w:w="80" w:type="dxa"/>
            </w:tcMar>
            <w:vAlign w:val="center"/>
          </w:tcPr>
          <w:p w14:paraId="38A56FE9" w14:textId="77777777" w:rsidR="00FF69B1" w:rsidRDefault="00000000">
            <w:pPr>
              <w:jc w:val="left"/>
            </w:pPr>
            <w:r>
              <w:rPr>
                <w:sz w:val="14"/>
              </w:rPr>
              <w:t>B001_CF01_001</w:t>
            </w:r>
          </w:p>
        </w:tc>
        <w:tc>
          <w:tcPr>
            <w:tcW w:w="1821" w:type="dxa"/>
            <w:tcMar>
              <w:top w:w="60" w:type="dxa"/>
              <w:left w:w="80" w:type="dxa"/>
              <w:bottom w:w="60" w:type="dxa"/>
              <w:right w:w="80" w:type="dxa"/>
            </w:tcMar>
            <w:vAlign w:val="center"/>
          </w:tcPr>
          <w:p w14:paraId="3DC3201A" w14:textId="77777777" w:rsidR="00FF69B1" w:rsidRDefault="00000000">
            <w:pPr>
              <w:jc w:val="left"/>
            </w:pPr>
            <w:r>
              <w:rPr>
                <w:sz w:val="14"/>
              </w:rPr>
              <w:t>dependency</w:t>
            </w:r>
          </w:p>
        </w:tc>
        <w:tc>
          <w:tcPr>
            <w:tcW w:w="771" w:type="dxa"/>
            <w:tcMar>
              <w:top w:w="60" w:type="dxa"/>
              <w:left w:w="80" w:type="dxa"/>
              <w:bottom w:w="60" w:type="dxa"/>
              <w:right w:w="80" w:type="dxa"/>
            </w:tcMar>
            <w:vAlign w:val="center"/>
          </w:tcPr>
          <w:p w14:paraId="01B352DA" w14:textId="77777777" w:rsidR="00FF69B1" w:rsidRDefault="00000000">
            <w:pPr>
              <w:jc w:val="left"/>
            </w:pPr>
            <w:r>
              <w:rPr>
                <w:sz w:val="14"/>
              </w:rPr>
              <w:t>D3</w:t>
            </w:r>
          </w:p>
        </w:tc>
        <w:tc>
          <w:tcPr>
            <w:tcW w:w="771" w:type="dxa"/>
            <w:tcMar>
              <w:top w:w="60" w:type="dxa"/>
              <w:left w:w="80" w:type="dxa"/>
              <w:bottom w:w="60" w:type="dxa"/>
              <w:right w:w="80" w:type="dxa"/>
            </w:tcMar>
            <w:vAlign w:val="center"/>
          </w:tcPr>
          <w:p w14:paraId="577E1AA9" w14:textId="77777777" w:rsidR="00FF69B1" w:rsidRDefault="00000000">
            <w:pPr>
              <w:jc w:val="left"/>
            </w:pPr>
            <w:r>
              <w:rPr>
                <w:sz w:val="14"/>
              </w:rPr>
              <w:t>3</w:t>
            </w:r>
          </w:p>
        </w:tc>
        <w:tc>
          <w:tcPr>
            <w:tcW w:w="772" w:type="dxa"/>
            <w:tcMar>
              <w:top w:w="60" w:type="dxa"/>
              <w:left w:w="80" w:type="dxa"/>
              <w:bottom w:w="60" w:type="dxa"/>
              <w:right w:w="80" w:type="dxa"/>
            </w:tcMar>
            <w:vAlign w:val="center"/>
          </w:tcPr>
          <w:p w14:paraId="1BD19858" w14:textId="77777777" w:rsidR="00FF69B1" w:rsidRDefault="00000000">
            <w:pPr>
              <w:jc w:val="left"/>
            </w:pPr>
            <w:r>
              <w:rPr>
                <w:sz w:val="14"/>
              </w:rPr>
              <w:t>3</w:t>
            </w:r>
          </w:p>
        </w:tc>
        <w:tc>
          <w:tcPr>
            <w:tcW w:w="907" w:type="dxa"/>
            <w:tcMar>
              <w:top w:w="60" w:type="dxa"/>
              <w:left w:w="80" w:type="dxa"/>
              <w:bottom w:w="60" w:type="dxa"/>
              <w:right w:w="80" w:type="dxa"/>
            </w:tcMar>
            <w:vAlign w:val="center"/>
          </w:tcPr>
          <w:p w14:paraId="52CE355E"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4BE24957"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4324618D" w14:textId="77777777" w:rsidR="00FF69B1" w:rsidRDefault="00000000">
            <w:pPr>
              <w:jc w:val="left"/>
            </w:pPr>
            <w:r>
              <w:rPr>
                <w:sz w:val="14"/>
              </w:rPr>
              <w:t>AF002</w:t>
            </w:r>
          </w:p>
        </w:tc>
        <w:tc>
          <w:tcPr>
            <w:tcW w:w="913" w:type="dxa"/>
            <w:tcMar>
              <w:top w:w="60" w:type="dxa"/>
              <w:left w:w="80" w:type="dxa"/>
              <w:bottom w:w="60" w:type="dxa"/>
              <w:right w:w="80" w:type="dxa"/>
            </w:tcMar>
            <w:vAlign w:val="center"/>
          </w:tcPr>
          <w:p w14:paraId="65BF3AFB" w14:textId="77777777" w:rsidR="00FF69B1" w:rsidRDefault="00FD5697">
            <w:pPr>
              <w:jc w:val="left"/>
            </w:pPr>
            <w:r>
              <w:rPr>
                <w:sz w:val="14"/>
              </w:rPr>
              <w:t>-</w:t>
            </w:r>
          </w:p>
        </w:tc>
      </w:tr>
      <w:tr w:rsidR="00FF69B1" w14:paraId="72A74109" w14:textId="77777777">
        <w:trPr>
          <w:cantSplit/>
          <w:jc w:val="center"/>
        </w:trPr>
        <w:tc>
          <w:tcPr>
            <w:tcW w:w="1748" w:type="dxa"/>
            <w:tcMar>
              <w:top w:w="60" w:type="dxa"/>
              <w:left w:w="80" w:type="dxa"/>
              <w:bottom w:w="60" w:type="dxa"/>
              <w:right w:w="80" w:type="dxa"/>
            </w:tcMar>
            <w:vAlign w:val="center"/>
          </w:tcPr>
          <w:p w14:paraId="5605832C" w14:textId="77777777" w:rsidR="00FF69B1" w:rsidRDefault="00000000">
            <w:pPr>
              <w:jc w:val="left"/>
            </w:pPr>
            <w:r>
              <w:rPr>
                <w:sz w:val="14"/>
              </w:rPr>
              <w:t>B002_MX01_001</w:t>
            </w:r>
          </w:p>
        </w:tc>
        <w:tc>
          <w:tcPr>
            <w:tcW w:w="1821" w:type="dxa"/>
            <w:tcMar>
              <w:top w:w="60" w:type="dxa"/>
              <w:left w:w="80" w:type="dxa"/>
              <w:bottom w:w="60" w:type="dxa"/>
              <w:right w:w="80" w:type="dxa"/>
            </w:tcMar>
            <w:vAlign w:val="center"/>
          </w:tcPr>
          <w:p w14:paraId="2C860BD2" w14:textId="77777777" w:rsidR="00FF69B1" w:rsidRDefault="00000000">
            <w:pPr>
              <w:jc w:val="left"/>
            </w:pPr>
            <w:proofErr w:type="spellStart"/>
            <w:r>
              <w:rPr>
                <w:sz w:val="14"/>
              </w:rPr>
              <w:t>coverage_intent</w:t>
            </w:r>
            <w:proofErr w:type="spellEnd"/>
          </w:p>
        </w:tc>
        <w:tc>
          <w:tcPr>
            <w:tcW w:w="771" w:type="dxa"/>
            <w:tcMar>
              <w:top w:w="60" w:type="dxa"/>
              <w:left w:w="80" w:type="dxa"/>
              <w:bottom w:w="60" w:type="dxa"/>
              <w:right w:w="80" w:type="dxa"/>
            </w:tcMar>
            <w:vAlign w:val="center"/>
          </w:tcPr>
          <w:p w14:paraId="2D805327" w14:textId="77777777" w:rsidR="00FF69B1" w:rsidRDefault="00000000">
            <w:pPr>
              <w:jc w:val="left"/>
            </w:pPr>
            <w:r>
              <w:rPr>
                <w:sz w:val="14"/>
              </w:rPr>
              <w:t>D2</w:t>
            </w:r>
          </w:p>
        </w:tc>
        <w:tc>
          <w:tcPr>
            <w:tcW w:w="771" w:type="dxa"/>
            <w:tcMar>
              <w:top w:w="60" w:type="dxa"/>
              <w:left w:w="80" w:type="dxa"/>
              <w:bottom w:w="60" w:type="dxa"/>
              <w:right w:w="80" w:type="dxa"/>
            </w:tcMar>
            <w:vAlign w:val="center"/>
          </w:tcPr>
          <w:p w14:paraId="2F02CD2B" w14:textId="77777777" w:rsidR="00FF69B1" w:rsidRDefault="00000000">
            <w:pPr>
              <w:jc w:val="left"/>
            </w:pPr>
            <w:r>
              <w:rPr>
                <w:sz w:val="14"/>
              </w:rPr>
              <w:t>4</w:t>
            </w:r>
          </w:p>
        </w:tc>
        <w:tc>
          <w:tcPr>
            <w:tcW w:w="772" w:type="dxa"/>
            <w:tcMar>
              <w:top w:w="60" w:type="dxa"/>
              <w:left w:w="80" w:type="dxa"/>
              <w:bottom w:w="60" w:type="dxa"/>
              <w:right w:w="80" w:type="dxa"/>
            </w:tcMar>
            <w:vAlign w:val="center"/>
          </w:tcPr>
          <w:p w14:paraId="1985C7D6" w14:textId="77777777" w:rsidR="00FF69B1" w:rsidRDefault="00000000">
            <w:pPr>
              <w:jc w:val="left"/>
            </w:pPr>
            <w:r>
              <w:rPr>
                <w:sz w:val="14"/>
              </w:rPr>
              <w:t>2</w:t>
            </w:r>
          </w:p>
        </w:tc>
        <w:tc>
          <w:tcPr>
            <w:tcW w:w="907" w:type="dxa"/>
            <w:tcMar>
              <w:top w:w="60" w:type="dxa"/>
              <w:left w:w="80" w:type="dxa"/>
              <w:bottom w:w="60" w:type="dxa"/>
              <w:right w:w="80" w:type="dxa"/>
            </w:tcMar>
            <w:vAlign w:val="center"/>
          </w:tcPr>
          <w:p w14:paraId="3C500EB8"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6651889A"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60F25B07" w14:textId="77777777" w:rsidR="00FF69B1" w:rsidRDefault="00FD5697">
            <w:pPr>
              <w:jc w:val="left"/>
            </w:pPr>
            <w:r>
              <w:rPr>
                <w:sz w:val="14"/>
              </w:rPr>
              <w:t>-</w:t>
            </w:r>
          </w:p>
        </w:tc>
        <w:tc>
          <w:tcPr>
            <w:tcW w:w="913" w:type="dxa"/>
            <w:tcMar>
              <w:top w:w="60" w:type="dxa"/>
              <w:left w:w="80" w:type="dxa"/>
              <w:bottom w:w="60" w:type="dxa"/>
              <w:right w:w="80" w:type="dxa"/>
            </w:tcMar>
            <w:vAlign w:val="center"/>
          </w:tcPr>
          <w:p>
            <w:r>
              <w:t>CE12</w:t>
            </w:r>
          </w:p>
        </w:tc>
      </w:tr>
      <w:tr w:rsidR="00FF69B1" w14:paraId="780D1EA5" w14:textId="77777777">
        <w:trPr>
          <w:cantSplit/>
          <w:jc w:val="center"/>
        </w:trPr>
        <w:tc>
          <w:tcPr>
            <w:tcW w:w="1748" w:type="dxa"/>
            <w:tcMar>
              <w:top w:w="60" w:type="dxa"/>
              <w:left w:w="80" w:type="dxa"/>
              <w:bottom w:w="60" w:type="dxa"/>
              <w:right w:w="80" w:type="dxa"/>
            </w:tcMar>
            <w:vAlign w:val="center"/>
          </w:tcPr>
          <w:p w14:paraId="1576DEB9" w14:textId="77777777" w:rsidR="00FF69B1" w:rsidRDefault="00000000">
            <w:pPr>
              <w:jc w:val="left"/>
            </w:pPr>
            <w:r>
              <w:rPr>
                <w:sz w:val="14"/>
              </w:rPr>
              <w:t>B002_MX02_001</w:t>
            </w:r>
          </w:p>
        </w:tc>
        <w:tc>
          <w:tcPr>
            <w:tcW w:w="1821" w:type="dxa"/>
            <w:tcMar>
              <w:top w:w="60" w:type="dxa"/>
              <w:left w:w="80" w:type="dxa"/>
              <w:bottom w:w="60" w:type="dxa"/>
              <w:right w:w="80" w:type="dxa"/>
            </w:tcMar>
            <w:vAlign w:val="center"/>
          </w:tcPr>
          <w:p w14:paraId="0C4B1AC7" w14:textId="77777777" w:rsidR="00FF69B1" w:rsidRDefault="00000000">
            <w:pPr>
              <w:jc w:val="left"/>
            </w:pPr>
            <w:proofErr w:type="spellStart"/>
            <w:r>
              <w:rPr>
                <w:sz w:val="14"/>
              </w:rPr>
              <w:t>coverage_intent</w:t>
            </w:r>
            <w:proofErr w:type="spellEnd"/>
          </w:p>
        </w:tc>
        <w:tc>
          <w:tcPr>
            <w:tcW w:w="771" w:type="dxa"/>
            <w:tcMar>
              <w:top w:w="60" w:type="dxa"/>
              <w:left w:w="80" w:type="dxa"/>
              <w:bottom w:w="60" w:type="dxa"/>
              <w:right w:w="80" w:type="dxa"/>
            </w:tcMar>
            <w:vAlign w:val="center"/>
          </w:tcPr>
          <w:p w14:paraId="384F0748" w14:textId="77777777" w:rsidR="00FF69B1" w:rsidRDefault="00000000">
            <w:pPr>
              <w:jc w:val="left"/>
            </w:pPr>
            <w:r>
              <w:rPr>
                <w:sz w:val="14"/>
              </w:rPr>
              <w:t>D2</w:t>
            </w:r>
          </w:p>
        </w:tc>
        <w:tc>
          <w:tcPr>
            <w:tcW w:w="771" w:type="dxa"/>
            <w:tcMar>
              <w:top w:w="60" w:type="dxa"/>
              <w:left w:w="80" w:type="dxa"/>
              <w:bottom w:w="60" w:type="dxa"/>
              <w:right w:w="80" w:type="dxa"/>
            </w:tcMar>
            <w:vAlign w:val="center"/>
          </w:tcPr>
          <w:p w14:paraId="4AD71778" w14:textId="77777777" w:rsidR="00FF69B1" w:rsidRDefault="00000000">
            <w:pPr>
              <w:jc w:val="left"/>
            </w:pPr>
            <w:r>
              <w:rPr>
                <w:sz w:val="14"/>
              </w:rPr>
              <w:t>4</w:t>
            </w:r>
          </w:p>
        </w:tc>
        <w:tc>
          <w:tcPr>
            <w:tcW w:w="772" w:type="dxa"/>
            <w:tcMar>
              <w:top w:w="60" w:type="dxa"/>
              <w:left w:w="80" w:type="dxa"/>
              <w:bottom w:w="60" w:type="dxa"/>
              <w:right w:w="80" w:type="dxa"/>
            </w:tcMar>
            <w:vAlign w:val="center"/>
          </w:tcPr>
          <w:p w14:paraId="38AC26EB" w14:textId="77777777" w:rsidR="00FF69B1" w:rsidRDefault="00000000">
            <w:pPr>
              <w:jc w:val="left"/>
            </w:pPr>
            <w:r>
              <w:rPr>
                <w:sz w:val="14"/>
              </w:rPr>
              <w:t>2</w:t>
            </w:r>
          </w:p>
        </w:tc>
        <w:tc>
          <w:tcPr>
            <w:tcW w:w="907" w:type="dxa"/>
            <w:tcMar>
              <w:top w:w="60" w:type="dxa"/>
              <w:left w:w="80" w:type="dxa"/>
              <w:bottom w:w="60" w:type="dxa"/>
              <w:right w:w="80" w:type="dxa"/>
            </w:tcMar>
            <w:vAlign w:val="center"/>
          </w:tcPr>
          <w:p w14:paraId="3F5DD46C"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0DAAFEEA"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74021C04"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0FF9AA76" w14:textId="77777777" w:rsidR="00FF69B1" w:rsidRDefault="00FD5697">
            <w:pPr>
              <w:jc w:val="left"/>
            </w:pPr>
            <w:r>
              <w:rPr>
                <w:sz w:val="14"/>
              </w:rPr>
              <w:t>-</w:t>
            </w:r>
          </w:p>
        </w:tc>
      </w:tr>
      <w:tr w:rsidR="00FF69B1" w14:paraId="1D421A10" w14:textId="77777777">
        <w:trPr>
          <w:cantSplit/>
          <w:jc w:val="center"/>
        </w:trPr>
        <w:tc>
          <w:tcPr>
            <w:tcW w:w="1748" w:type="dxa"/>
            <w:tcMar>
              <w:top w:w="60" w:type="dxa"/>
              <w:left w:w="80" w:type="dxa"/>
              <w:bottom w:w="60" w:type="dxa"/>
              <w:right w:w="80" w:type="dxa"/>
            </w:tcMar>
            <w:vAlign w:val="center"/>
          </w:tcPr>
          <w:p w14:paraId="2A5D9F79" w14:textId="77777777" w:rsidR="00FF69B1" w:rsidRDefault="00000000">
            <w:pPr>
              <w:jc w:val="left"/>
            </w:pPr>
            <w:r>
              <w:rPr>
                <w:sz w:val="14"/>
              </w:rPr>
              <w:t>B002_MX03_001</w:t>
            </w:r>
          </w:p>
        </w:tc>
        <w:tc>
          <w:tcPr>
            <w:tcW w:w="1821" w:type="dxa"/>
            <w:tcMar>
              <w:top w:w="60" w:type="dxa"/>
              <w:left w:w="80" w:type="dxa"/>
              <w:bottom w:w="60" w:type="dxa"/>
              <w:right w:w="80" w:type="dxa"/>
            </w:tcMar>
            <w:vAlign w:val="center"/>
          </w:tcPr>
          <w:p w14:paraId="64BB9E6D" w14:textId="77777777" w:rsidR="00FF69B1" w:rsidRDefault="00000000">
            <w:pPr>
              <w:jc w:val="left"/>
            </w:pPr>
            <w:proofErr w:type="spellStart"/>
            <w:r>
              <w:rPr>
                <w:sz w:val="14"/>
              </w:rPr>
              <w:t>coverage_intent</w:t>
            </w:r>
            <w:proofErr w:type="spellEnd"/>
          </w:p>
        </w:tc>
        <w:tc>
          <w:tcPr>
            <w:tcW w:w="771" w:type="dxa"/>
            <w:tcMar>
              <w:top w:w="60" w:type="dxa"/>
              <w:left w:w="80" w:type="dxa"/>
              <w:bottom w:w="60" w:type="dxa"/>
              <w:right w:w="80" w:type="dxa"/>
            </w:tcMar>
            <w:vAlign w:val="center"/>
          </w:tcPr>
          <w:p w14:paraId="0CB9A1A7" w14:textId="77777777" w:rsidR="00FF69B1" w:rsidRDefault="00000000">
            <w:pPr>
              <w:jc w:val="left"/>
            </w:pPr>
            <w:r>
              <w:rPr>
                <w:sz w:val="14"/>
              </w:rPr>
              <w:t>D2</w:t>
            </w:r>
          </w:p>
        </w:tc>
        <w:tc>
          <w:tcPr>
            <w:tcW w:w="771" w:type="dxa"/>
            <w:tcMar>
              <w:top w:w="60" w:type="dxa"/>
              <w:left w:w="80" w:type="dxa"/>
              <w:bottom w:w="60" w:type="dxa"/>
              <w:right w:w="80" w:type="dxa"/>
            </w:tcMar>
            <w:vAlign w:val="center"/>
          </w:tcPr>
          <w:p w14:paraId="487B4647" w14:textId="77777777" w:rsidR="00FF69B1" w:rsidRDefault="00000000">
            <w:pPr>
              <w:jc w:val="left"/>
            </w:pPr>
            <w:r>
              <w:rPr>
                <w:sz w:val="14"/>
              </w:rPr>
              <w:t>4</w:t>
            </w:r>
          </w:p>
        </w:tc>
        <w:tc>
          <w:tcPr>
            <w:tcW w:w="772" w:type="dxa"/>
            <w:tcMar>
              <w:top w:w="60" w:type="dxa"/>
              <w:left w:w="80" w:type="dxa"/>
              <w:bottom w:w="60" w:type="dxa"/>
              <w:right w:w="80" w:type="dxa"/>
            </w:tcMar>
            <w:vAlign w:val="center"/>
          </w:tcPr>
          <w:p w14:paraId="3C43FDFD" w14:textId="77777777" w:rsidR="00FF69B1" w:rsidRDefault="00000000">
            <w:pPr>
              <w:jc w:val="left"/>
            </w:pPr>
            <w:r>
              <w:rPr>
                <w:sz w:val="14"/>
              </w:rPr>
              <w:t>2</w:t>
            </w:r>
          </w:p>
        </w:tc>
        <w:tc>
          <w:tcPr>
            <w:tcW w:w="907" w:type="dxa"/>
            <w:tcMar>
              <w:top w:w="60" w:type="dxa"/>
              <w:left w:w="80" w:type="dxa"/>
              <w:bottom w:w="60" w:type="dxa"/>
              <w:right w:w="80" w:type="dxa"/>
            </w:tcMar>
            <w:vAlign w:val="center"/>
          </w:tcPr>
          <w:p w14:paraId="1773B7D7"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4D608048"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0A262772"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74C3F95B" w14:textId="77777777" w:rsidR="00FF69B1" w:rsidRDefault="00FD5697">
            <w:pPr>
              <w:jc w:val="left"/>
            </w:pPr>
            <w:r>
              <w:rPr>
                <w:sz w:val="14"/>
              </w:rPr>
              <w:t>-</w:t>
            </w:r>
          </w:p>
        </w:tc>
      </w:tr>
      <w:tr w:rsidR="00FF69B1" w14:paraId="373AFBF1" w14:textId="77777777">
        <w:trPr>
          <w:cantSplit/>
          <w:jc w:val="center"/>
        </w:trPr>
        <w:tc>
          <w:tcPr>
            <w:tcW w:w="1748" w:type="dxa"/>
            <w:tcMar>
              <w:top w:w="60" w:type="dxa"/>
              <w:left w:w="80" w:type="dxa"/>
              <w:bottom w:w="60" w:type="dxa"/>
              <w:right w:w="80" w:type="dxa"/>
            </w:tcMar>
            <w:vAlign w:val="center"/>
          </w:tcPr>
          <w:p w14:paraId="0BEE90FC" w14:textId="77777777" w:rsidR="00FF69B1" w:rsidRDefault="00000000">
            <w:pPr>
              <w:jc w:val="left"/>
            </w:pPr>
            <w:r>
              <w:rPr>
                <w:sz w:val="14"/>
              </w:rPr>
              <w:t>B002_REF02_001</w:t>
            </w:r>
          </w:p>
        </w:tc>
        <w:tc>
          <w:tcPr>
            <w:tcW w:w="1821" w:type="dxa"/>
            <w:tcMar>
              <w:top w:w="60" w:type="dxa"/>
              <w:left w:w="80" w:type="dxa"/>
              <w:bottom w:w="60" w:type="dxa"/>
              <w:right w:w="80" w:type="dxa"/>
            </w:tcMar>
            <w:vAlign w:val="center"/>
          </w:tcPr>
          <w:p w14:paraId="5A3CDDBA" w14:textId="77777777" w:rsidR="007E5B84" w:rsidRDefault="00000000">
            <w:pPr>
              <w:jc w:val="left"/>
            </w:pPr>
            <w:proofErr w:type="spellStart"/>
            <w:r>
              <w:rPr>
                <w:sz w:val="14"/>
              </w:rPr>
              <w:t>undefined_context_reference</w:t>
            </w:r>
            <w:proofErr w:type="spellEnd"/>
          </w:p>
        </w:tc>
        <w:tc>
          <w:tcPr>
            <w:tcW w:w="771" w:type="dxa"/>
            <w:tcMar>
              <w:top w:w="60" w:type="dxa"/>
              <w:left w:w="80" w:type="dxa"/>
              <w:bottom w:w="60" w:type="dxa"/>
              <w:right w:w="80" w:type="dxa"/>
            </w:tcMar>
            <w:vAlign w:val="center"/>
          </w:tcPr>
          <w:p w14:paraId="6C12FBAA" w14:textId="77777777" w:rsidR="00FF69B1" w:rsidRDefault="00000000">
            <w:pPr>
              <w:jc w:val="left"/>
            </w:pPr>
            <w:r>
              <w:rPr>
                <w:sz w:val="14"/>
              </w:rPr>
              <w:t>D0</w:t>
            </w:r>
          </w:p>
        </w:tc>
        <w:tc>
          <w:tcPr>
            <w:tcW w:w="771" w:type="dxa"/>
            <w:tcMar>
              <w:top w:w="60" w:type="dxa"/>
              <w:left w:w="80" w:type="dxa"/>
              <w:bottom w:w="60" w:type="dxa"/>
              <w:right w:w="80" w:type="dxa"/>
            </w:tcMar>
            <w:vAlign w:val="center"/>
          </w:tcPr>
          <w:p w14:paraId="2F4D9375" w14:textId="77777777" w:rsidR="00FF69B1" w:rsidRDefault="00000000">
            <w:pPr>
              <w:jc w:val="left"/>
            </w:pPr>
            <w:r>
              <w:rPr>
                <w:sz w:val="14"/>
              </w:rPr>
              <w:t>2</w:t>
            </w:r>
          </w:p>
        </w:tc>
        <w:tc>
          <w:tcPr>
            <w:tcW w:w="772" w:type="dxa"/>
            <w:tcMar>
              <w:top w:w="60" w:type="dxa"/>
              <w:left w:w="80" w:type="dxa"/>
              <w:bottom w:w="60" w:type="dxa"/>
              <w:right w:w="80" w:type="dxa"/>
            </w:tcMar>
            <w:vAlign w:val="center"/>
          </w:tcPr>
          <w:p w14:paraId="4E1EBC28" w14:textId="77777777" w:rsidR="00FF69B1" w:rsidRDefault="00000000">
            <w:pPr>
              <w:jc w:val="left"/>
            </w:pPr>
            <w:r>
              <w:rPr>
                <w:sz w:val="14"/>
              </w:rPr>
              <w:t>2</w:t>
            </w:r>
          </w:p>
        </w:tc>
        <w:tc>
          <w:tcPr>
            <w:tcW w:w="907" w:type="dxa"/>
            <w:tcMar>
              <w:top w:w="60" w:type="dxa"/>
              <w:left w:w="80" w:type="dxa"/>
              <w:bottom w:w="60" w:type="dxa"/>
              <w:right w:w="80" w:type="dxa"/>
            </w:tcMar>
            <w:vAlign w:val="center"/>
          </w:tcPr>
          <w:p w14:paraId="0C251D68"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06E5CE37" w14:textId="77777777" w:rsidR="00FF69B1" w:rsidRDefault="00000000">
            <w:pPr>
              <w:jc w:val="left"/>
            </w:pPr>
            <w:r>
              <w:rPr>
                <w:sz w:val="14"/>
              </w:rPr>
              <w:t>Yes</w:t>
            </w:r>
          </w:p>
        </w:tc>
        <w:tc>
          <w:tcPr>
            <w:tcW w:w="1115" w:type="dxa"/>
            <w:tcMar>
              <w:top w:w="60" w:type="dxa"/>
              <w:left w:w="80" w:type="dxa"/>
              <w:bottom w:w="60" w:type="dxa"/>
              <w:right w:w="80" w:type="dxa"/>
            </w:tcMar>
            <w:vAlign w:val="center"/>
          </w:tcPr>
          <w:p w14:paraId="3924C6A2"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52E50699" w14:textId="77777777" w:rsidR="00FF69B1" w:rsidRDefault="00FD5697">
            <w:pPr>
              <w:jc w:val="left"/>
            </w:pPr>
            <w:r>
              <w:rPr>
                <w:sz w:val="14"/>
              </w:rPr>
              <w:t>-</w:t>
            </w:r>
          </w:p>
        </w:tc>
      </w:tr>
      <w:tr w:rsidR="00FF69B1" w14:paraId="7CD5BABA" w14:textId="77777777">
        <w:trPr>
          <w:cantSplit/>
          <w:jc w:val="center"/>
        </w:trPr>
        <w:tc>
          <w:tcPr>
            <w:tcW w:w="1748" w:type="dxa"/>
            <w:tcMar>
              <w:top w:w="60" w:type="dxa"/>
              <w:left w:w="80" w:type="dxa"/>
              <w:bottom w:w="60" w:type="dxa"/>
              <w:right w:w="80" w:type="dxa"/>
            </w:tcMar>
            <w:vAlign w:val="center"/>
          </w:tcPr>
          <w:p w14:paraId="6CE016A7" w14:textId="77777777" w:rsidR="00FF69B1" w:rsidRDefault="00000000">
            <w:pPr>
              <w:jc w:val="left"/>
            </w:pPr>
            <w:r>
              <w:rPr>
                <w:sz w:val="14"/>
              </w:rPr>
              <w:t>B002_RL01_001</w:t>
            </w:r>
          </w:p>
        </w:tc>
        <w:tc>
          <w:tcPr>
            <w:tcW w:w="1821" w:type="dxa"/>
            <w:tcMar>
              <w:top w:w="60" w:type="dxa"/>
              <w:left w:w="80" w:type="dxa"/>
              <w:bottom w:w="60" w:type="dxa"/>
              <w:right w:w="80" w:type="dxa"/>
            </w:tcMar>
            <w:vAlign w:val="center"/>
          </w:tcPr>
          <w:p w14:paraId="6BD1F728" w14:textId="77777777" w:rsidR="00FF69B1" w:rsidRDefault="00000000">
            <w:pPr>
              <w:jc w:val="left"/>
            </w:pPr>
            <w:proofErr w:type="spellStart"/>
            <w:r>
              <w:rPr>
                <w:sz w:val="14"/>
              </w:rPr>
              <w:t>failure_handling</w:t>
            </w:r>
            <w:proofErr w:type="spellEnd"/>
          </w:p>
        </w:tc>
        <w:tc>
          <w:tcPr>
            <w:tcW w:w="771" w:type="dxa"/>
            <w:tcMar>
              <w:top w:w="60" w:type="dxa"/>
              <w:left w:w="80" w:type="dxa"/>
              <w:bottom w:w="60" w:type="dxa"/>
              <w:right w:w="80" w:type="dxa"/>
            </w:tcMar>
            <w:vAlign w:val="center"/>
          </w:tcPr>
          <w:p w14:paraId="7103A859" w14:textId="77777777" w:rsidR="00FF69B1" w:rsidRDefault="00000000">
            <w:pPr>
              <w:jc w:val="left"/>
            </w:pPr>
            <w:r>
              <w:rPr>
                <w:sz w:val="14"/>
              </w:rPr>
              <w:t>D2</w:t>
            </w:r>
          </w:p>
        </w:tc>
        <w:tc>
          <w:tcPr>
            <w:tcW w:w="771" w:type="dxa"/>
            <w:tcMar>
              <w:top w:w="60" w:type="dxa"/>
              <w:left w:w="80" w:type="dxa"/>
              <w:bottom w:w="60" w:type="dxa"/>
              <w:right w:w="80" w:type="dxa"/>
            </w:tcMar>
            <w:vAlign w:val="center"/>
          </w:tcPr>
          <w:p w14:paraId="345E510C" w14:textId="77777777" w:rsidR="00FF69B1" w:rsidRDefault="00000000">
            <w:pPr>
              <w:jc w:val="left"/>
            </w:pPr>
            <w:r>
              <w:rPr>
                <w:sz w:val="14"/>
              </w:rPr>
              <w:t>2</w:t>
            </w:r>
          </w:p>
        </w:tc>
        <w:tc>
          <w:tcPr>
            <w:tcW w:w="772" w:type="dxa"/>
            <w:tcMar>
              <w:top w:w="60" w:type="dxa"/>
              <w:left w:w="80" w:type="dxa"/>
              <w:bottom w:w="60" w:type="dxa"/>
              <w:right w:w="80" w:type="dxa"/>
            </w:tcMar>
            <w:vAlign w:val="center"/>
          </w:tcPr>
          <w:p w14:paraId="215816CC" w14:textId="77777777" w:rsidR="00FF69B1" w:rsidRDefault="00000000">
            <w:pPr>
              <w:jc w:val="left"/>
            </w:pPr>
            <w:r>
              <w:rPr>
                <w:sz w:val="14"/>
              </w:rPr>
              <w:t>3</w:t>
            </w:r>
          </w:p>
        </w:tc>
        <w:tc>
          <w:tcPr>
            <w:tcW w:w="907" w:type="dxa"/>
            <w:tcMar>
              <w:top w:w="60" w:type="dxa"/>
              <w:left w:w="80" w:type="dxa"/>
              <w:bottom w:w="60" w:type="dxa"/>
              <w:right w:w="80" w:type="dxa"/>
            </w:tcMar>
            <w:vAlign w:val="center"/>
          </w:tcPr>
          <w:p w14:paraId="4B6F56FE"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096921AC"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213D7D55"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4EFDE20C" w14:textId="77777777" w:rsidR="00FF69B1" w:rsidRDefault="00FD5697">
            <w:pPr>
              <w:jc w:val="left"/>
            </w:pPr>
            <w:r>
              <w:rPr>
                <w:sz w:val="14"/>
              </w:rPr>
              <w:t>-</w:t>
            </w:r>
          </w:p>
        </w:tc>
      </w:tr>
      <w:tr w:rsidR="00FF69B1" w14:paraId="5D8E8F9F" w14:textId="77777777">
        <w:trPr>
          <w:cantSplit/>
          <w:jc w:val="center"/>
        </w:trPr>
        <w:tc>
          <w:tcPr>
            <w:tcW w:w="1748" w:type="dxa"/>
            <w:tcMar>
              <w:top w:w="60" w:type="dxa"/>
              <w:left w:w="80" w:type="dxa"/>
              <w:bottom w:w="60" w:type="dxa"/>
              <w:right w:w="80" w:type="dxa"/>
            </w:tcMar>
            <w:vAlign w:val="center"/>
          </w:tcPr>
          <w:p w14:paraId="2E695FA4" w14:textId="77777777" w:rsidR="00FF69B1" w:rsidRDefault="00000000">
            <w:pPr>
              <w:jc w:val="left"/>
            </w:pPr>
            <w:r>
              <w:rPr>
                <w:sz w:val="14"/>
              </w:rPr>
              <w:t>B003_CF02_001</w:t>
            </w:r>
          </w:p>
        </w:tc>
        <w:tc>
          <w:tcPr>
            <w:tcW w:w="1821" w:type="dxa"/>
            <w:tcMar>
              <w:top w:w="60" w:type="dxa"/>
              <w:left w:w="80" w:type="dxa"/>
              <w:bottom w:w="60" w:type="dxa"/>
              <w:right w:w="80" w:type="dxa"/>
            </w:tcMar>
            <w:vAlign w:val="center"/>
          </w:tcPr>
          <w:p w14:paraId="1B86E9FA" w14:textId="77777777" w:rsidR="00FF69B1" w:rsidRDefault="00000000">
            <w:pPr>
              <w:jc w:val="left"/>
            </w:pPr>
            <w:proofErr w:type="spellStart"/>
            <w:r>
              <w:rPr>
                <w:sz w:val="14"/>
              </w:rPr>
              <w:t>failure_handling</w:t>
            </w:r>
            <w:proofErr w:type="spellEnd"/>
          </w:p>
        </w:tc>
        <w:tc>
          <w:tcPr>
            <w:tcW w:w="771" w:type="dxa"/>
            <w:tcMar>
              <w:top w:w="60" w:type="dxa"/>
              <w:left w:w="80" w:type="dxa"/>
              <w:bottom w:w="60" w:type="dxa"/>
              <w:right w:w="80" w:type="dxa"/>
            </w:tcMar>
            <w:vAlign w:val="center"/>
          </w:tcPr>
          <w:p w14:paraId="21CAD5AB" w14:textId="77777777" w:rsidR="00FF69B1" w:rsidRDefault="00000000">
            <w:pPr>
              <w:jc w:val="left"/>
            </w:pPr>
            <w:r>
              <w:rPr>
                <w:sz w:val="14"/>
              </w:rPr>
              <w:t>D3</w:t>
            </w:r>
          </w:p>
        </w:tc>
        <w:tc>
          <w:tcPr>
            <w:tcW w:w="771" w:type="dxa"/>
            <w:tcMar>
              <w:top w:w="60" w:type="dxa"/>
              <w:left w:w="80" w:type="dxa"/>
              <w:bottom w:w="60" w:type="dxa"/>
              <w:right w:w="80" w:type="dxa"/>
            </w:tcMar>
            <w:vAlign w:val="center"/>
          </w:tcPr>
          <w:p w14:paraId="7D73BD49" w14:textId="77777777" w:rsidR="00FF69B1" w:rsidRDefault="00000000">
            <w:pPr>
              <w:jc w:val="left"/>
            </w:pPr>
            <w:r>
              <w:rPr>
                <w:sz w:val="14"/>
              </w:rPr>
              <w:t>3</w:t>
            </w:r>
          </w:p>
        </w:tc>
        <w:tc>
          <w:tcPr>
            <w:tcW w:w="772" w:type="dxa"/>
            <w:tcMar>
              <w:top w:w="60" w:type="dxa"/>
              <w:left w:w="80" w:type="dxa"/>
              <w:bottom w:w="60" w:type="dxa"/>
              <w:right w:w="80" w:type="dxa"/>
            </w:tcMar>
            <w:vAlign w:val="center"/>
          </w:tcPr>
          <w:p w14:paraId="5C319440" w14:textId="77777777" w:rsidR="00FF69B1" w:rsidRDefault="00000000">
            <w:pPr>
              <w:jc w:val="left"/>
            </w:pPr>
            <w:r>
              <w:rPr>
                <w:sz w:val="14"/>
              </w:rPr>
              <w:t>7</w:t>
            </w:r>
          </w:p>
        </w:tc>
        <w:tc>
          <w:tcPr>
            <w:tcW w:w="907" w:type="dxa"/>
            <w:tcMar>
              <w:top w:w="60" w:type="dxa"/>
              <w:left w:w="80" w:type="dxa"/>
              <w:bottom w:w="60" w:type="dxa"/>
              <w:right w:w="80" w:type="dxa"/>
            </w:tcMar>
            <w:vAlign w:val="center"/>
          </w:tcPr>
          <w:p w14:paraId="75114977"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333C61DA"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2E82B958" w14:textId="77777777" w:rsidR="00FF69B1" w:rsidRDefault="00FD5697">
            <w:pPr>
              <w:jc w:val="left"/>
            </w:pPr>
            <w:r>
              <w:rPr>
                <w:sz w:val="14"/>
              </w:rPr>
              <w:t>-</w:t>
            </w:r>
          </w:p>
        </w:tc>
        <w:tc>
          <w:tcPr>
            <w:tcW w:w="913" w:type="dxa"/>
            <w:tcMar>
              <w:top w:w="60" w:type="dxa"/>
              <w:left w:w="80" w:type="dxa"/>
              <w:bottom w:w="60" w:type="dxa"/>
              <w:right w:w="80" w:type="dxa"/>
            </w:tcMar>
            <w:vAlign w:val="center"/>
          </w:tcPr>
          <w:p>
            <w:r>
              <w:t>CE14</w:t>
            </w:r>
          </w:p>
        </w:tc>
      </w:tr>
      <w:tr w:rsidR="00FF69B1" w14:paraId="40DC558B" w14:textId="77777777">
        <w:trPr>
          <w:cantSplit/>
          <w:jc w:val="center"/>
        </w:trPr>
        <w:tc>
          <w:tcPr>
            <w:tcW w:w="1748" w:type="dxa"/>
            <w:tcMar>
              <w:top w:w="60" w:type="dxa"/>
              <w:left w:w="80" w:type="dxa"/>
              <w:bottom w:w="60" w:type="dxa"/>
              <w:right w:w="80" w:type="dxa"/>
            </w:tcMar>
            <w:vAlign w:val="center"/>
          </w:tcPr>
          <w:p w14:paraId="4128B641" w14:textId="77777777" w:rsidR="00FF69B1" w:rsidRDefault="00000000">
            <w:pPr>
              <w:jc w:val="left"/>
            </w:pPr>
            <w:r>
              <w:rPr>
                <w:sz w:val="14"/>
              </w:rPr>
              <w:t>B003_CF03_001</w:t>
            </w:r>
          </w:p>
        </w:tc>
        <w:tc>
          <w:tcPr>
            <w:tcW w:w="1821" w:type="dxa"/>
            <w:tcMar>
              <w:top w:w="60" w:type="dxa"/>
              <w:left w:w="80" w:type="dxa"/>
              <w:bottom w:w="60" w:type="dxa"/>
              <w:right w:w="80" w:type="dxa"/>
            </w:tcMar>
            <w:vAlign w:val="center"/>
          </w:tcPr>
          <w:p w14:paraId="51E4C03E" w14:textId="77777777" w:rsidR="00FF69B1" w:rsidRDefault="00000000">
            <w:pPr>
              <w:jc w:val="left"/>
            </w:pPr>
            <w:proofErr w:type="spellStart"/>
            <w:r>
              <w:rPr>
                <w:sz w:val="14"/>
              </w:rPr>
              <w:t>failure_handling</w:t>
            </w:r>
            <w:proofErr w:type="spellEnd"/>
          </w:p>
        </w:tc>
        <w:tc>
          <w:tcPr>
            <w:tcW w:w="771" w:type="dxa"/>
            <w:tcMar>
              <w:top w:w="60" w:type="dxa"/>
              <w:left w:w="80" w:type="dxa"/>
              <w:bottom w:w="60" w:type="dxa"/>
              <w:right w:w="80" w:type="dxa"/>
            </w:tcMar>
            <w:vAlign w:val="center"/>
          </w:tcPr>
          <w:p w14:paraId="4FAFE230" w14:textId="77777777" w:rsidR="00FF69B1" w:rsidRDefault="00000000">
            <w:pPr>
              <w:jc w:val="left"/>
            </w:pPr>
            <w:r>
              <w:rPr>
                <w:sz w:val="14"/>
              </w:rPr>
              <w:t>D3</w:t>
            </w:r>
          </w:p>
        </w:tc>
        <w:tc>
          <w:tcPr>
            <w:tcW w:w="771" w:type="dxa"/>
            <w:tcMar>
              <w:top w:w="60" w:type="dxa"/>
              <w:left w:w="80" w:type="dxa"/>
              <w:bottom w:w="60" w:type="dxa"/>
              <w:right w:w="80" w:type="dxa"/>
            </w:tcMar>
            <w:vAlign w:val="center"/>
          </w:tcPr>
          <w:p w14:paraId="29853936" w14:textId="77777777" w:rsidR="00FF69B1" w:rsidRDefault="00000000">
            <w:pPr>
              <w:jc w:val="left"/>
            </w:pPr>
            <w:r>
              <w:rPr>
                <w:sz w:val="14"/>
              </w:rPr>
              <w:t>3</w:t>
            </w:r>
          </w:p>
        </w:tc>
        <w:tc>
          <w:tcPr>
            <w:tcW w:w="772" w:type="dxa"/>
            <w:tcMar>
              <w:top w:w="60" w:type="dxa"/>
              <w:left w:w="80" w:type="dxa"/>
              <w:bottom w:w="60" w:type="dxa"/>
              <w:right w:w="80" w:type="dxa"/>
            </w:tcMar>
            <w:vAlign w:val="center"/>
          </w:tcPr>
          <w:p w14:paraId="76F08410" w14:textId="77777777" w:rsidR="00FF69B1" w:rsidRDefault="00000000">
            <w:pPr>
              <w:jc w:val="left"/>
            </w:pPr>
            <w:r>
              <w:rPr>
                <w:sz w:val="14"/>
              </w:rPr>
              <w:t>2</w:t>
            </w:r>
          </w:p>
        </w:tc>
        <w:tc>
          <w:tcPr>
            <w:tcW w:w="907" w:type="dxa"/>
            <w:tcMar>
              <w:top w:w="60" w:type="dxa"/>
              <w:left w:w="80" w:type="dxa"/>
              <w:bottom w:w="60" w:type="dxa"/>
              <w:right w:w="80" w:type="dxa"/>
            </w:tcMar>
            <w:vAlign w:val="center"/>
          </w:tcPr>
          <w:p w14:paraId="0407438A"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25B6C400"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6F89F6AF"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1AC98ABE" w14:textId="77777777" w:rsidR="00FF69B1" w:rsidRDefault="00FD5697">
            <w:pPr>
              <w:jc w:val="left"/>
            </w:pPr>
            <w:r>
              <w:rPr>
                <w:sz w:val="14"/>
              </w:rPr>
              <w:t>-</w:t>
            </w:r>
          </w:p>
        </w:tc>
      </w:tr>
      <w:tr w:rsidR="00FF69B1" w14:paraId="0C8A0C19" w14:textId="77777777">
        <w:trPr>
          <w:cantSplit/>
          <w:jc w:val="center"/>
        </w:trPr>
        <w:tc>
          <w:tcPr>
            <w:tcW w:w="1748" w:type="dxa"/>
            <w:tcMar>
              <w:top w:w="60" w:type="dxa"/>
              <w:left w:w="80" w:type="dxa"/>
              <w:bottom w:w="60" w:type="dxa"/>
              <w:right w:w="80" w:type="dxa"/>
            </w:tcMar>
            <w:vAlign w:val="center"/>
          </w:tcPr>
          <w:p w14:paraId="5FCA8A03" w14:textId="77777777" w:rsidR="00FF69B1" w:rsidRDefault="00000000">
            <w:pPr>
              <w:jc w:val="left"/>
            </w:pPr>
            <w:r>
              <w:rPr>
                <w:sz w:val="14"/>
              </w:rPr>
              <w:t>B003_RL01_001</w:t>
            </w:r>
          </w:p>
        </w:tc>
        <w:tc>
          <w:tcPr>
            <w:tcW w:w="1821" w:type="dxa"/>
            <w:tcMar>
              <w:top w:w="60" w:type="dxa"/>
              <w:left w:w="80" w:type="dxa"/>
              <w:bottom w:w="60" w:type="dxa"/>
              <w:right w:w="80" w:type="dxa"/>
            </w:tcMar>
            <w:vAlign w:val="center"/>
          </w:tcPr>
          <w:p w14:paraId="781D9118" w14:textId="77777777" w:rsidR="00FF69B1" w:rsidRDefault="00000000">
            <w:pPr>
              <w:jc w:val="left"/>
            </w:pPr>
            <w:proofErr w:type="spellStart"/>
            <w:r>
              <w:rPr>
                <w:sz w:val="14"/>
              </w:rPr>
              <w:t>failure_handling</w:t>
            </w:r>
            <w:proofErr w:type="spellEnd"/>
          </w:p>
        </w:tc>
        <w:tc>
          <w:tcPr>
            <w:tcW w:w="771" w:type="dxa"/>
            <w:tcMar>
              <w:top w:w="60" w:type="dxa"/>
              <w:left w:w="80" w:type="dxa"/>
              <w:bottom w:w="60" w:type="dxa"/>
              <w:right w:w="80" w:type="dxa"/>
            </w:tcMar>
            <w:vAlign w:val="center"/>
          </w:tcPr>
          <w:p w14:paraId="2154372A" w14:textId="77777777" w:rsidR="00FF69B1" w:rsidRDefault="00000000">
            <w:pPr>
              <w:jc w:val="left"/>
            </w:pPr>
            <w:r>
              <w:rPr>
                <w:sz w:val="14"/>
              </w:rPr>
              <w:t>D2</w:t>
            </w:r>
          </w:p>
        </w:tc>
        <w:tc>
          <w:tcPr>
            <w:tcW w:w="771" w:type="dxa"/>
            <w:tcMar>
              <w:top w:w="60" w:type="dxa"/>
              <w:left w:w="80" w:type="dxa"/>
              <w:bottom w:w="60" w:type="dxa"/>
              <w:right w:w="80" w:type="dxa"/>
            </w:tcMar>
            <w:vAlign w:val="center"/>
          </w:tcPr>
          <w:p w14:paraId="36D4FA09" w14:textId="77777777" w:rsidR="00FF69B1" w:rsidRDefault="00000000">
            <w:pPr>
              <w:jc w:val="left"/>
            </w:pPr>
            <w:r>
              <w:rPr>
                <w:sz w:val="14"/>
              </w:rPr>
              <w:t>2</w:t>
            </w:r>
          </w:p>
        </w:tc>
        <w:tc>
          <w:tcPr>
            <w:tcW w:w="772" w:type="dxa"/>
            <w:tcMar>
              <w:top w:w="60" w:type="dxa"/>
              <w:left w:w="80" w:type="dxa"/>
              <w:bottom w:w="60" w:type="dxa"/>
              <w:right w:w="80" w:type="dxa"/>
            </w:tcMar>
            <w:vAlign w:val="center"/>
          </w:tcPr>
          <w:p w14:paraId="2388F274" w14:textId="77777777" w:rsidR="00FF69B1" w:rsidRDefault="00000000">
            <w:pPr>
              <w:jc w:val="left"/>
            </w:pPr>
            <w:r>
              <w:rPr>
                <w:sz w:val="14"/>
              </w:rPr>
              <w:t>3</w:t>
            </w:r>
          </w:p>
        </w:tc>
        <w:tc>
          <w:tcPr>
            <w:tcW w:w="907" w:type="dxa"/>
            <w:tcMar>
              <w:top w:w="60" w:type="dxa"/>
              <w:left w:w="80" w:type="dxa"/>
              <w:bottom w:w="60" w:type="dxa"/>
              <w:right w:w="80" w:type="dxa"/>
            </w:tcMar>
            <w:vAlign w:val="center"/>
          </w:tcPr>
          <w:p w14:paraId="57CA150B"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7E963D14"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64B232A8"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234E43C1" w14:textId="77777777" w:rsidR="00FF69B1" w:rsidRDefault="00FD5697">
            <w:pPr>
              <w:jc w:val="left"/>
            </w:pPr>
            <w:r>
              <w:rPr>
                <w:sz w:val="14"/>
              </w:rPr>
              <w:t>-</w:t>
            </w:r>
          </w:p>
        </w:tc>
      </w:tr>
      <w:tr w:rsidR="00FF69B1" w14:paraId="43838C88" w14:textId="77777777">
        <w:trPr>
          <w:cantSplit/>
          <w:jc w:val="center"/>
        </w:trPr>
        <w:tc>
          <w:tcPr>
            <w:tcW w:w="1748" w:type="dxa"/>
            <w:tcMar>
              <w:top w:w="60" w:type="dxa"/>
              <w:left w:w="80" w:type="dxa"/>
              <w:bottom w:w="60" w:type="dxa"/>
              <w:right w:w="80" w:type="dxa"/>
            </w:tcMar>
            <w:vAlign w:val="center"/>
          </w:tcPr>
          <w:p w14:paraId="26FECB6A" w14:textId="77777777" w:rsidR="00FF69B1" w:rsidRDefault="00000000">
            <w:pPr>
              <w:jc w:val="left"/>
            </w:pPr>
            <w:r>
              <w:rPr>
                <w:sz w:val="14"/>
              </w:rPr>
              <w:t>B003_RL02_001</w:t>
            </w:r>
          </w:p>
        </w:tc>
        <w:tc>
          <w:tcPr>
            <w:tcW w:w="1821" w:type="dxa"/>
            <w:tcMar>
              <w:top w:w="60" w:type="dxa"/>
              <w:left w:w="80" w:type="dxa"/>
              <w:bottom w:w="60" w:type="dxa"/>
              <w:right w:w="80" w:type="dxa"/>
            </w:tcMar>
            <w:vAlign w:val="center"/>
          </w:tcPr>
          <w:p w14:paraId="17CE5B0E" w14:textId="77777777" w:rsidR="00FF69B1" w:rsidRDefault="00000000">
            <w:pPr>
              <w:jc w:val="left"/>
            </w:pPr>
            <w:proofErr w:type="spellStart"/>
            <w:r>
              <w:rPr>
                <w:sz w:val="14"/>
              </w:rPr>
              <w:t>failure_handling</w:t>
            </w:r>
            <w:proofErr w:type="spellEnd"/>
          </w:p>
        </w:tc>
        <w:tc>
          <w:tcPr>
            <w:tcW w:w="771" w:type="dxa"/>
            <w:tcMar>
              <w:top w:w="60" w:type="dxa"/>
              <w:left w:w="80" w:type="dxa"/>
              <w:bottom w:w="60" w:type="dxa"/>
              <w:right w:w="80" w:type="dxa"/>
            </w:tcMar>
            <w:vAlign w:val="center"/>
          </w:tcPr>
          <w:p w14:paraId="6287EEBE" w14:textId="77777777" w:rsidR="00FF69B1" w:rsidRDefault="00000000">
            <w:pPr>
              <w:jc w:val="left"/>
            </w:pPr>
            <w:r>
              <w:rPr>
                <w:sz w:val="14"/>
              </w:rPr>
              <w:t>D2</w:t>
            </w:r>
          </w:p>
        </w:tc>
        <w:tc>
          <w:tcPr>
            <w:tcW w:w="771" w:type="dxa"/>
            <w:tcMar>
              <w:top w:w="60" w:type="dxa"/>
              <w:left w:w="80" w:type="dxa"/>
              <w:bottom w:w="60" w:type="dxa"/>
              <w:right w:w="80" w:type="dxa"/>
            </w:tcMar>
            <w:vAlign w:val="center"/>
          </w:tcPr>
          <w:p w14:paraId="13DED3E1" w14:textId="77777777" w:rsidR="00FF69B1" w:rsidRDefault="00000000">
            <w:pPr>
              <w:jc w:val="left"/>
            </w:pPr>
            <w:r>
              <w:rPr>
                <w:sz w:val="14"/>
              </w:rPr>
              <w:t>2</w:t>
            </w:r>
          </w:p>
        </w:tc>
        <w:tc>
          <w:tcPr>
            <w:tcW w:w="772" w:type="dxa"/>
            <w:tcMar>
              <w:top w:w="60" w:type="dxa"/>
              <w:left w:w="80" w:type="dxa"/>
              <w:bottom w:w="60" w:type="dxa"/>
              <w:right w:w="80" w:type="dxa"/>
            </w:tcMar>
            <w:vAlign w:val="center"/>
          </w:tcPr>
          <w:p w14:paraId="667324F2" w14:textId="77777777" w:rsidR="00FF69B1" w:rsidRDefault="00000000">
            <w:pPr>
              <w:jc w:val="left"/>
            </w:pPr>
            <w:r>
              <w:rPr>
                <w:sz w:val="14"/>
              </w:rPr>
              <w:t>3</w:t>
            </w:r>
          </w:p>
        </w:tc>
        <w:tc>
          <w:tcPr>
            <w:tcW w:w="907" w:type="dxa"/>
            <w:tcMar>
              <w:top w:w="60" w:type="dxa"/>
              <w:left w:w="80" w:type="dxa"/>
              <w:bottom w:w="60" w:type="dxa"/>
              <w:right w:w="80" w:type="dxa"/>
            </w:tcMar>
            <w:vAlign w:val="center"/>
          </w:tcPr>
          <w:p w14:paraId="6A5D3952"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156CDDBA"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0C82E15F"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140CA0DA" w14:textId="77777777" w:rsidR="00FF69B1" w:rsidRDefault="00000000">
            <w:pPr>
              <w:jc w:val="left"/>
            </w:pPr>
            <w:r>
              <w:rPr>
                <w:sz w:val="14"/>
              </w:rPr>
              <w:t>CE08</w:t>
            </w:r>
          </w:p>
        </w:tc>
      </w:tr>
      <w:tr w:rsidR="00FF69B1" w14:paraId="581F95AC" w14:textId="77777777">
        <w:trPr>
          <w:cantSplit/>
          <w:jc w:val="center"/>
        </w:trPr>
        <w:tc>
          <w:tcPr>
            <w:tcW w:w="1748" w:type="dxa"/>
            <w:tcMar>
              <w:top w:w="60" w:type="dxa"/>
              <w:left w:w="80" w:type="dxa"/>
              <w:bottom w:w="60" w:type="dxa"/>
              <w:right w:w="80" w:type="dxa"/>
            </w:tcMar>
            <w:vAlign w:val="center"/>
          </w:tcPr>
          <w:p w14:paraId="28B3263C" w14:textId="77777777" w:rsidR="00FF69B1" w:rsidRDefault="00000000">
            <w:pPr>
              <w:jc w:val="left"/>
            </w:pPr>
            <w:r>
              <w:rPr>
                <w:sz w:val="14"/>
              </w:rPr>
              <w:t>B003_RL03_001</w:t>
            </w:r>
          </w:p>
        </w:tc>
        <w:tc>
          <w:tcPr>
            <w:tcW w:w="1821" w:type="dxa"/>
            <w:tcMar>
              <w:top w:w="60" w:type="dxa"/>
              <w:left w:w="80" w:type="dxa"/>
              <w:bottom w:w="60" w:type="dxa"/>
              <w:right w:w="80" w:type="dxa"/>
            </w:tcMar>
            <w:vAlign w:val="center"/>
          </w:tcPr>
          <w:p w14:paraId="7BCE83B1" w14:textId="77777777" w:rsidR="00FF69B1" w:rsidRDefault="00000000">
            <w:pPr>
              <w:jc w:val="left"/>
            </w:pPr>
            <w:proofErr w:type="spellStart"/>
            <w:r>
              <w:rPr>
                <w:sz w:val="14"/>
              </w:rPr>
              <w:t>failure_handling</w:t>
            </w:r>
            <w:proofErr w:type="spellEnd"/>
          </w:p>
        </w:tc>
        <w:tc>
          <w:tcPr>
            <w:tcW w:w="771" w:type="dxa"/>
            <w:tcMar>
              <w:top w:w="60" w:type="dxa"/>
              <w:left w:w="80" w:type="dxa"/>
              <w:bottom w:w="60" w:type="dxa"/>
              <w:right w:w="80" w:type="dxa"/>
            </w:tcMar>
            <w:vAlign w:val="center"/>
          </w:tcPr>
          <w:p w14:paraId="3C9F0A79" w14:textId="77777777" w:rsidR="00FF69B1" w:rsidRDefault="00000000">
            <w:pPr>
              <w:jc w:val="left"/>
            </w:pPr>
            <w:r>
              <w:rPr>
                <w:sz w:val="14"/>
              </w:rPr>
              <w:t>D1</w:t>
            </w:r>
          </w:p>
        </w:tc>
        <w:tc>
          <w:tcPr>
            <w:tcW w:w="771" w:type="dxa"/>
            <w:tcMar>
              <w:top w:w="60" w:type="dxa"/>
              <w:left w:w="80" w:type="dxa"/>
              <w:bottom w:w="60" w:type="dxa"/>
              <w:right w:w="80" w:type="dxa"/>
            </w:tcMar>
            <w:vAlign w:val="center"/>
          </w:tcPr>
          <w:p w14:paraId="3C619076" w14:textId="77777777" w:rsidR="00FF69B1" w:rsidRDefault="00000000">
            <w:pPr>
              <w:jc w:val="left"/>
            </w:pPr>
            <w:r>
              <w:rPr>
                <w:sz w:val="14"/>
              </w:rPr>
              <w:t>2</w:t>
            </w:r>
          </w:p>
        </w:tc>
        <w:tc>
          <w:tcPr>
            <w:tcW w:w="772" w:type="dxa"/>
            <w:tcMar>
              <w:top w:w="60" w:type="dxa"/>
              <w:left w:w="80" w:type="dxa"/>
              <w:bottom w:w="60" w:type="dxa"/>
              <w:right w:w="80" w:type="dxa"/>
            </w:tcMar>
            <w:vAlign w:val="center"/>
          </w:tcPr>
          <w:p w14:paraId="05EFC3CE" w14:textId="77777777" w:rsidR="00FF69B1" w:rsidRDefault="00000000">
            <w:pPr>
              <w:jc w:val="left"/>
            </w:pPr>
            <w:r>
              <w:rPr>
                <w:sz w:val="14"/>
              </w:rPr>
              <w:t>2</w:t>
            </w:r>
          </w:p>
        </w:tc>
        <w:tc>
          <w:tcPr>
            <w:tcW w:w="907" w:type="dxa"/>
            <w:tcMar>
              <w:top w:w="60" w:type="dxa"/>
              <w:left w:w="80" w:type="dxa"/>
              <w:bottom w:w="60" w:type="dxa"/>
              <w:right w:w="80" w:type="dxa"/>
            </w:tcMar>
            <w:vAlign w:val="center"/>
          </w:tcPr>
          <w:p w14:paraId="5A376D82"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1B70EC7F"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562D7690"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292A5585" w14:textId="77777777" w:rsidR="00FF69B1" w:rsidRDefault="00FD5697">
            <w:pPr>
              <w:jc w:val="left"/>
            </w:pPr>
            <w:r>
              <w:rPr>
                <w:sz w:val="14"/>
              </w:rPr>
              <w:t>-</w:t>
            </w:r>
          </w:p>
        </w:tc>
      </w:tr>
      <w:tr w:rsidR="00FF69B1" w14:paraId="46CA3ECC" w14:textId="77777777">
        <w:trPr>
          <w:cantSplit/>
          <w:jc w:val="center"/>
        </w:trPr>
        <w:tc>
          <w:tcPr>
            <w:tcW w:w="1748" w:type="dxa"/>
            <w:tcMar>
              <w:top w:w="60" w:type="dxa"/>
              <w:left w:w="80" w:type="dxa"/>
              <w:bottom w:w="60" w:type="dxa"/>
              <w:right w:w="80" w:type="dxa"/>
            </w:tcMar>
            <w:vAlign w:val="center"/>
          </w:tcPr>
          <w:p w14:paraId="4EBDD6D4" w14:textId="77777777" w:rsidR="00FF69B1" w:rsidRDefault="00000000">
            <w:pPr>
              <w:jc w:val="left"/>
            </w:pPr>
            <w:r>
              <w:rPr>
                <w:sz w:val="14"/>
              </w:rPr>
              <w:t>B004_TR01_001</w:t>
            </w:r>
          </w:p>
        </w:tc>
        <w:tc>
          <w:tcPr>
            <w:tcW w:w="1821" w:type="dxa"/>
            <w:tcMar>
              <w:top w:w="60" w:type="dxa"/>
              <w:left w:w="80" w:type="dxa"/>
              <w:bottom w:w="60" w:type="dxa"/>
              <w:right w:w="80" w:type="dxa"/>
            </w:tcMar>
            <w:vAlign w:val="center"/>
          </w:tcPr>
          <w:p w14:paraId="63E759B5" w14:textId="77777777" w:rsidR="00FF69B1" w:rsidRDefault="00000000">
            <w:pPr>
              <w:jc w:val="left"/>
            </w:pPr>
            <w:proofErr w:type="spellStart"/>
            <w:r>
              <w:rPr>
                <w:sz w:val="14"/>
              </w:rPr>
              <w:t>trigger_intent</w:t>
            </w:r>
            <w:proofErr w:type="spellEnd"/>
          </w:p>
        </w:tc>
        <w:tc>
          <w:tcPr>
            <w:tcW w:w="771" w:type="dxa"/>
            <w:tcMar>
              <w:top w:w="60" w:type="dxa"/>
              <w:left w:w="80" w:type="dxa"/>
              <w:bottom w:w="60" w:type="dxa"/>
              <w:right w:w="80" w:type="dxa"/>
            </w:tcMar>
            <w:vAlign w:val="center"/>
          </w:tcPr>
          <w:p w14:paraId="3D6954AA" w14:textId="77777777" w:rsidR="00FF69B1" w:rsidRDefault="00000000">
            <w:pPr>
              <w:jc w:val="left"/>
            </w:pPr>
            <w:r>
              <w:rPr>
                <w:sz w:val="14"/>
              </w:rPr>
              <w:t>D1</w:t>
            </w:r>
          </w:p>
        </w:tc>
        <w:tc>
          <w:tcPr>
            <w:tcW w:w="771" w:type="dxa"/>
            <w:tcMar>
              <w:top w:w="60" w:type="dxa"/>
              <w:left w:w="80" w:type="dxa"/>
              <w:bottom w:w="60" w:type="dxa"/>
              <w:right w:w="80" w:type="dxa"/>
            </w:tcMar>
            <w:vAlign w:val="center"/>
          </w:tcPr>
          <w:p w14:paraId="0CE1C46B" w14:textId="77777777" w:rsidR="00FF69B1" w:rsidRDefault="00000000">
            <w:pPr>
              <w:jc w:val="left"/>
            </w:pPr>
            <w:r>
              <w:rPr>
                <w:sz w:val="14"/>
              </w:rPr>
              <w:t>4</w:t>
            </w:r>
          </w:p>
        </w:tc>
        <w:tc>
          <w:tcPr>
            <w:tcW w:w="772" w:type="dxa"/>
            <w:tcMar>
              <w:top w:w="60" w:type="dxa"/>
              <w:left w:w="80" w:type="dxa"/>
              <w:bottom w:w="60" w:type="dxa"/>
              <w:right w:w="80" w:type="dxa"/>
            </w:tcMar>
            <w:vAlign w:val="center"/>
          </w:tcPr>
          <w:p w14:paraId="4C38FB5C" w14:textId="77777777" w:rsidR="00FF69B1" w:rsidRDefault="00000000">
            <w:pPr>
              <w:jc w:val="left"/>
            </w:pPr>
            <w:r>
              <w:rPr>
                <w:sz w:val="14"/>
              </w:rPr>
              <w:t>18</w:t>
            </w:r>
          </w:p>
        </w:tc>
        <w:tc>
          <w:tcPr>
            <w:tcW w:w="907" w:type="dxa"/>
            <w:tcMar>
              <w:top w:w="60" w:type="dxa"/>
              <w:left w:w="80" w:type="dxa"/>
              <w:bottom w:w="60" w:type="dxa"/>
              <w:right w:w="80" w:type="dxa"/>
            </w:tcMar>
            <w:vAlign w:val="center"/>
          </w:tcPr>
          <w:p w14:paraId="410FE4FE"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19D0C5AF"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793C8324"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2180019A" w14:textId="77777777" w:rsidR="00FF69B1" w:rsidRDefault="00FD5697">
            <w:pPr>
              <w:jc w:val="left"/>
            </w:pPr>
            <w:r>
              <w:rPr>
                <w:sz w:val="14"/>
              </w:rPr>
              <w:t>-</w:t>
            </w:r>
          </w:p>
        </w:tc>
      </w:tr>
      <w:tr w:rsidR="00FF69B1" w14:paraId="00D9214D" w14:textId="77777777">
        <w:trPr>
          <w:cantSplit/>
          <w:jc w:val="center"/>
        </w:trPr>
        <w:tc>
          <w:tcPr>
            <w:tcW w:w="1748" w:type="dxa"/>
            <w:tcMar>
              <w:top w:w="60" w:type="dxa"/>
              <w:left w:w="80" w:type="dxa"/>
              <w:bottom w:w="60" w:type="dxa"/>
              <w:right w:w="80" w:type="dxa"/>
            </w:tcMar>
            <w:vAlign w:val="center"/>
          </w:tcPr>
          <w:p w14:paraId="57D7E762" w14:textId="77777777" w:rsidR="00FF69B1" w:rsidRDefault="00000000">
            <w:pPr>
              <w:jc w:val="left"/>
            </w:pPr>
            <w:r>
              <w:rPr>
                <w:sz w:val="14"/>
              </w:rPr>
              <w:t>B004_TR02_001</w:t>
            </w:r>
          </w:p>
        </w:tc>
        <w:tc>
          <w:tcPr>
            <w:tcW w:w="1821" w:type="dxa"/>
            <w:tcMar>
              <w:top w:w="60" w:type="dxa"/>
              <w:left w:w="80" w:type="dxa"/>
              <w:bottom w:w="60" w:type="dxa"/>
              <w:right w:w="80" w:type="dxa"/>
            </w:tcMar>
            <w:vAlign w:val="center"/>
          </w:tcPr>
          <w:p w14:paraId="10D47B30" w14:textId="77777777" w:rsidR="00FF69B1" w:rsidRDefault="00000000">
            <w:pPr>
              <w:jc w:val="left"/>
            </w:pPr>
            <w:proofErr w:type="spellStart"/>
            <w:r>
              <w:rPr>
                <w:sz w:val="14"/>
              </w:rPr>
              <w:t>trigger_intent</w:t>
            </w:r>
            <w:proofErr w:type="spellEnd"/>
          </w:p>
        </w:tc>
        <w:tc>
          <w:tcPr>
            <w:tcW w:w="771" w:type="dxa"/>
            <w:tcMar>
              <w:top w:w="60" w:type="dxa"/>
              <w:left w:w="80" w:type="dxa"/>
              <w:bottom w:w="60" w:type="dxa"/>
              <w:right w:w="80" w:type="dxa"/>
            </w:tcMar>
            <w:vAlign w:val="center"/>
          </w:tcPr>
          <w:p w14:paraId="42869915" w14:textId="77777777" w:rsidR="00FF69B1" w:rsidRDefault="00000000">
            <w:pPr>
              <w:jc w:val="left"/>
            </w:pPr>
            <w:r>
              <w:rPr>
                <w:sz w:val="14"/>
              </w:rPr>
              <w:t>D1</w:t>
            </w:r>
          </w:p>
        </w:tc>
        <w:tc>
          <w:tcPr>
            <w:tcW w:w="771" w:type="dxa"/>
            <w:tcMar>
              <w:top w:w="60" w:type="dxa"/>
              <w:left w:w="80" w:type="dxa"/>
              <w:bottom w:w="60" w:type="dxa"/>
              <w:right w:w="80" w:type="dxa"/>
            </w:tcMar>
            <w:vAlign w:val="center"/>
          </w:tcPr>
          <w:p w14:paraId="40ABA0C2" w14:textId="77777777" w:rsidR="00FF69B1" w:rsidRDefault="00000000">
            <w:pPr>
              <w:jc w:val="left"/>
            </w:pPr>
            <w:r>
              <w:rPr>
                <w:sz w:val="14"/>
              </w:rPr>
              <w:t>4</w:t>
            </w:r>
          </w:p>
        </w:tc>
        <w:tc>
          <w:tcPr>
            <w:tcW w:w="772" w:type="dxa"/>
            <w:tcMar>
              <w:top w:w="60" w:type="dxa"/>
              <w:left w:w="80" w:type="dxa"/>
              <w:bottom w:w="60" w:type="dxa"/>
              <w:right w:w="80" w:type="dxa"/>
            </w:tcMar>
            <w:vAlign w:val="center"/>
          </w:tcPr>
          <w:p w14:paraId="1342FC0F" w14:textId="77777777" w:rsidR="00FF69B1" w:rsidRDefault="00000000">
            <w:pPr>
              <w:jc w:val="left"/>
            </w:pPr>
            <w:r>
              <w:rPr>
                <w:sz w:val="14"/>
              </w:rPr>
              <w:t>4</w:t>
            </w:r>
          </w:p>
        </w:tc>
        <w:tc>
          <w:tcPr>
            <w:tcW w:w="907" w:type="dxa"/>
            <w:tcMar>
              <w:top w:w="60" w:type="dxa"/>
              <w:left w:w="80" w:type="dxa"/>
              <w:bottom w:w="60" w:type="dxa"/>
              <w:right w:w="80" w:type="dxa"/>
            </w:tcMar>
            <w:vAlign w:val="center"/>
          </w:tcPr>
          <w:p w14:paraId="0BCC8D2A"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41504333"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3F2EC52F" w14:textId="77777777" w:rsidR="00FF69B1" w:rsidRDefault="00FD5697">
            <w:pPr>
              <w:jc w:val="left"/>
            </w:pPr>
            <w:r>
              <w:rPr>
                <w:sz w:val="14"/>
              </w:rPr>
              <w:t>-</w:t>
            </w:r>
          </w:p>
        </w:tc>
        <w:tc>
          <w:tcPr>
            <w:tcW w:w="913" w:type="dxa"/>
            <w:tcMar>
              <w:top w:w="60" w:type="dxa"/>
              <w:left w:w="80" w:type="dxa"/>
              <w:bottom w:w="60" w:type="dxa"/>
              <w:right w:w="80" w:type="dxa"/>
            </w:tcMar>
            <w:vAlign w:val="center"/>
          </w:tcPr>
          <w:p>
            <w:r>
              <w:t>CE13</w:t>
            </w:r>
          </w:p>
        </w:tc>
      </w:tr>
      <w:tr w:rsidR="00FF69B1" w14:paraId="7629C180" w14:textId="77777777">
        <w:trPr>
          <w:cantSplit/>
          <w:jc w:val="center"/>
        </w:trPr>
        <w:tc>
          <w:tcPr>
            <w:tcW w:w="1748" w:type="dxa"/>
            <w:tcMar>
              <w:top w:w="60" w:type="dxa"/>
              <w:left w:w="80" w:type="dxa"/>
              <w:bottom w:w="60" w:type="dxa"/>
              <w:right w:w="80" w:type="dxa"/>
            </w:tcMar>
            <w:vAlign w:val="center"/>
          </w:tcPr>
          <w:p w14:paraId="24DF2AA4" w14:textId="77777777" w:rsidR="00FF69B1" w:rsidRDefault="00000000">
            <w:pPr>
              <w:jc w:val="left"/>
            </w:pPr>
            <w:r>
              <w:rPr>
                <w:sz w:val="14"/>
              </w:rPr>
              <w:t>B005_CC01_001</w:t>
            </w:r>
          </w:p>
        </w:tc>
        <w:tc>
          <w:tcPr>
            <w:tcW w:w="1821" w:type="dxa"/>
            <w:tcMar>
              <w:top w:w="60" w:type="dxa"/>
              <w:left w:w="80" w:type="dxa"/>
              <w:bottom w:w="60" w:type="dxa"/>
              <w:right w:w="80" w:type="dxa"/>
            </w:tcMar>
            <w:vAlign w:val="center"/>
          </w:tcPr>
          <w:p w14:paraId="2073A91D" w14:textId="77777777" w:rsidR="00FF69B1" w:rsidRDefault="00000000">
            <w:pPr>
              <w:jc w:val="left"/>
            </w:pPr>
            <w:r>
              <w:rPr>
                <w:sz w:val="14"/>
              </w:rPr>
              <w:t>concurrency</w:t>
            </w:r>
          </w:p>
        </w:tc>
        <w:tc>
          <w:tcPr>
            <w:tcW w:w="771" w:type="dxa"/>
            <w:tcMar>
              <w:top w:w="60" w:type="dxa"/>
              <w:left w:w="80" w:type="dxa"/>
              <w:bottom w:w="60" w:type="dxa"/>
              <w:right w:w="80" w:type="dxa"/>
            </w:tcMar>
            <w:vAlign w:val="center"/>
          </w:tcPr>
          <w:p w14:paraId="102B79EE" w14:textId="77777777" w:rsidR="00FF69B1" w:rsidRDefault="00000000">
            <w:pPr>
              <w:jc w:val="left"/>
            </w:pPr>
            <w:r>
              <w:rPr>
                <w:sz w:val="14"/>
              </w:rPr>
              <w:t>D4</w:t>
            </w:r>
          </w:p>
        </w:tc>
        <w:tc>
          <w:tcPr>
            <w:tcW w:w="771" w:type="dxa"/>
            <w:tcMar>
              <w:top w:w="60" w:type="dxa"/>
              <w:left w:w="80" w:type="dxa"/>
              <w:bottom w:w="60" w:type="dxa"/>
              <w:right w:w="80" w:type="dxa"/>
            </w:tcMar>
            <w:vAlign w:val="center"/>
          </w:tcPr>
          <w:p w14:paraId="6EF1625F" w14:textId="77777777" w:rsidR="00FF69B1" w:rsidRDefault="00000000">
            <w:pPr>
              <w:jc w:val="left"/>
            </w:pPr>
            <w:r>
              <w:rPr>
                <w:sz w:val="14"/>
              </w:rPr>
              <w:t>4</w:t>
            </w:r>
          </w:p>
        </w:tc>
        <w:tc>
          <w:tcPr>
            <w:tcW w:w="772" w:type="dxa"/>
            <w:tcMar>
              <w:top w:w="60" w:type="dxa"/>
              <w:left w:w="80" w:type="dxa"/>
              <w:bottom w:w="60" w:type="dxa"/>
              <w:right w:w="80" w:type="dxa"/>
            </w:tcMar>
            <w:vAlign w:val="center"/>
          </w:tcPr>
          <w:p w14:paraId="3D57B838" w14:textId="77777777" w:rsidR="00FF69B1" w:rsidRDefault="00000000">
            <w:pPr>
              <w:jc w:val="left"/>
            </w:pPr>
            <w:r>
              <w:rPr>
                <w:sz w:val="14"/>
              </w:rPr>
              <w:t>2</w:t>
            </w:r>
          </w:p>
        </w:tc>
        <w:tc>
          <w:tcPr>
            <w:tcW w:w="907" w:type="dxa"/>
            <w:tcMar>
              <w:top w:w="60" w:type="dxa"/>
              <w:left w:w="80" w:type="dxa"/>
              <w:bottom w:w="60" w:type="dxa"/>
              <w:right w:w="80" w:type="dxa"/>
            </w:tcMar>
            <w:vAlign w:val="center"/>
          </w:tcPr>
          <w:p w14:paraId="694310C9" w14:textId="77777777" w:rsidR="00FF69B1" w:rsidRDefault="00000000">
            <w:pPr>
              <w:jc w:val="left"/>
            </w:pPr>
            <w:r>
              <w:rPr>
                <w:sz w:val="14"/>
              </w:rPr>
              <w:t>1</w:t>
            </w:r>
          </w:p>
        </w:tc>
        <w:tc>
          <w:tcPr>
            <w:tcW w:w="1118" w:type="dxa"/>
            <w:tcMar>
              <w:top w:w="60" w:type="dxa"/>
              <w:left w:w="80" w:type="dxa"/>
              <w:bottom w:w="60" w:type="dxa"/>
              <w:right w:w="80" w:type="dxa"/>
            </w:tcMar>
            <w:vAlign w:val="center"/>
          </w:tcPr>
          <w:p w14:paraId="4CE7E40F"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7724E2A5"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5D17D3EB" w14:textId="77777777" w:rsidR="00FF69B1" w:rsidRDefault="00FD5697">
            <w:pPr>
              <w:jc w:val="left"/>
            </w:pPr>
            <w:r>
              <w:rPr>
                <w:sz w:val="14"/>
              </w:rPr>
              <w:t>-</w:t>
            </w:r>
          </w:p>
        </w:tc>
      </w:tr>
      <w:tr w:rsidR="00FF69B1" w14:paraId="18B67BA4" w14:textId="77777777">
        <w:trPr>
          <w:cantSplit/>
          <w:jc w:val="center"/>
        </w:trPr>
        <w:tc>
          <w:tcPr>
            <w:tcW w:w="1748" w:type="dxa"/>
            <w:tcMar>
              <w:top w:w="60" w:type="dxa"/>
              <w:left w:w="80" w:type="dxa"/>
              <w:bottom w:w="60" w:type="dxa"/>
              <w:right w:w="80" w:type="dxa"/>
            </w:tcMar>
            <w:vAlign w:val="center"/>
          </w:tcPr>
          <w:p w14:paraId="3AF13141" w14:textId="77777777" w:rsidR="00FF69B1" w:rsidRDefault="00000000">
            <w:pPr>
              <w:jc w:val="left"/>
            </w:pPr>
            <w:r>
              <w:rPr>
                <w:sz w:val="14"/>
              </w:rPr>
              <w:t>B005_CC02_001</w:t>
            </w:r>
          </w:p>
        </w:tc>
        <w:tc>
          <w:tcPr>
            <w:tcW w:w="1821" w:type="dxa"/>
            <w:tcMar>
              <w:top w:w="60" w:type="dxa"/>
              <w:left w:w="80" w:type="dxa"/>
              <w:bottom w:w="60" w:type="dxa"/>
              <w:right w:w="80" w:type="dxa"/>
            </w:tcMar>
            <w:vAlign w:val="center"/>
          </w:tcPr>
          <w:p w14:paraId="51FB57DD" w14:textId="77777777" w:rsidR="00FF69B1" w:rsidRDefault="00000000">
            <w:pPr>
              <w:jc w:val="left"/>
            </w:pPr>
            <w:r>
              <w:rPr>
                <w:sz w:val="14"/>
              </w:rPr>
              <w:t>concurrency</w:t>
            </w:r>
          </w:p>
        </w:tc>
        <w:tc>
          <w:tcPr>
            <w:tcW w:w="771" w:type="dxa"/>
            <w:tcMar>
              <w:top w:w="60" w:type="dxa"/>
              <w:left w:w="80" w:type="dxa"/>
              <w:bottom w:w="60" w:type="dxa"/>
              <w:right w:w="80" w:type="dxa"/>
            </w:tcMar>
            <w:vAlign w:val="center"/>
          </w:tcPr>
          <w:p w14:paraId="32669D8A" w14:textId="77777777" w:rsidR="00FF69B1" w:rsidRDefault="00000000">
            <w:pPr>
              <w:jc w:val="left"/>
            </w:pPr>
            <w:r>
              <w:rPr>
                <w:sz w:val="14"/>
              </w:rPr>
              <w:t>D4</w:t>
            </w:r>
          </w:p>
        </w:tc>
        <w:tc>
          <w:tcPr>
            <w:tcW w:w="771" w:type="dxa"/>
            <w:tcMar>
              <w:top w:w="60" w:type="dxa"/>
              <w:left w:w="80" w:type="dxa"/>
              <w:bottom w:w="60" w:type="dxa"/>
              <w:right w:w="80" w:type="dxa"/>
            </w:tcMar>
            <w:vAlign w:val="center"/>
          </w:tcPr>
          <w:p w14:paraId="25B69253" w14:textId="77777777" w:rsidR="00FF69B1" w:rsidRDefault="00000000">
            <w:pPr>
              <w:jc w:val="left"/>
            </w:pPr>
            <w:r>
              <w:rPr>
                <w:sz w:val="14"/>
              </w:rPr>
              <w:t>5</w:t>
            </w:r>
          </w:p>
        </w:tc>
        <w:tc>
          <w:tcPr>
            <w:tcW w:w="772" w:type="dxa"/>
            <w:tcMar>
              <w:top w:w="60" w:type="dxa"/>
              <w:left w:w="80" w:type="dxa"/>
              <w:bottom w:w="60" w:type="dxa"/>
              <w:right w:w="80" w:type="dxa"/>
            </w:tcMar>
            <w:vAlign w:val="center"/>
          </w:tcPr>
          <w:p w14:paraId="68182FCD" w14:textId="77777777" w:rsidR="00FF69B1" w:rsidRDefault="00000000">
            <w:pPr>
              <w:jc w:val="left"/>
            </w:pPr>
            <w:r>
              <w:rPr>
                <w:sz w:val="14"/>
              </w:rPr>
              <w:t>4</w:t>
            </w:r>
          </w:p>
        </w:tc>
        <w:tc>
          <w:tcPr>
            <w:tcW w:w="907" w:type="dxa"/>
            <w:tcMar>
              <w:top w:w="60" w:type="dxa"/>
              <w:left w:w="80" w:type="dxa"/>
              <w:bottom w:w="60" w:type="dxa"/>
              <w:right w:w="80" w:type="dxa"/>
            </w:tcMar>
            <w:vAlign w:val="center"/>
          </w:tcPr>
          <w:p w14:paraId="02EEA76A" w14:textId="77777777" w:rsidR="00FF69B1" w:rsidRDefault="00000000">
            <w:pPr>
              <w:jc w:val="left"/>
            </w:pPr>
            <w:r>
              <w:rPr>
                <w:sz w:val="14"/>
              </w:rPr>
              <w:t>2</w:t>
            </w:r>
          </w:p>
        </w:tc>
        <w:tc>
          <w:tcPr>
            <w:tcW w:w="1118" w:type="dxa"/>
            <w:tcMar>
              <w:top w:w="60" w:type="dxa"/>
              <w:left w:w="80" w:type="dxa"/>
              <w:bottom w:w="60" w:type="dxa"/>
              <w:right w:w="80" w:type="dxa"/>
            </w:tcMar>
            <w:vAlign w:val="center"/>
          </w:tcPr>
          <w:p w14:paraId="18993C1E" w14:textId="77777777" w:rsidR="00FF69B1" w:rsidRDefault="00000000">
            <w:pPr>
              <w:jc w:val="left"/>
            </w:pPr>
            <w:r>
              <w:rPr>
                <w:sz w:val="14"/>
              </w:rPr>
              <w:t>No</w:t>
            </w:r>
          </w:p>
        </w:tc>
        <w:tc>
          <w:tcPr>
            <w:tcW w:w="1115" w:type="dxa"/>
            <w:tcMar>
              <w:top w:w="60" w:type="dxa"/>
              <w:left w:w="80" w:type="dxa"/>
              <w:bottom w:w="60" w:type="dxa"/>
              <w:right w:w="80" w:type="dxa"/>
            </w:tcMar>
            <w:vAlign w:val="center"/>
          </w:tcPr>
          <w:p w14:paraId="49A3FDA1" w14:textId="77777777" w:rsidR="00FF69B1" w:rsidRDefault="00FD5697">
            <w:pPr>
              <w:jc w:val="left"/>
            </w:pPr>
            <w:r>
              <w:rPr>
                <w:sz w:val="14"/>
              </w:rPr>
              <w:t>-</w:t>
            </w:r>
          </w:p>
        </w:tc>
        <w:tc>
          <w:tcPr>
            <w:tcW w:w="913" w:type="dxa"/>
            <w:tcMar>
              <w:top w:w="60" w:type="dxa"/>
              <w:left w:w="80" w:type="dxa"/>
              <w:bottom w:w="60" w:type="dxa"/>
              <w:right w:w="80" w:type="dxa"/>
            </w:tcMar>
            <w:vAlign w:val="center"/>
          </w:tcPr>
          <w:p w14:paraId="3345D2D8" w14:textId="77777777" w:rsidR="00FF69B1" w:rsidRDefault="00000000">
            <w:pPr>
              <w:jc w:val="left"/>
            </w:pPr>
            <w:r>
              <w:rPr>
                <w:sz w:val="14"/>
              </w:rPr>
              <w:t>CE11</w:t>
            </w:r>
          </w:p>
        </w:tc>
      </w:tr>
    </w:tbl>
    <w:p w14:paraId="2BB20DE2" w14:textId="77777777" w:rsidR="007E5B84" w:rsidRDefault="007E5B84">
      <w:pPr>
        <w:sectPr w:rsidR="007E5B84">
          <w:type w:val="continuous"/>
          <w:pgSz w:w="11520" w:h="15660"/>
          <w:pgMar w:top="1300" w:right="740" w:bottom="1040" w:left="740" w:header="360" w:footer="360" w:gutter="0"/>
          <w:cols w:num="1" w:space="720"/>
        </w:sectPr>
      </w:pPr>
    </w:p>
    <w:p w14:paraId="68CB5FA1" w14:textId="77777777" w:rsidR="00FF69B1" w:rsidRDefault="00FF69B1"/>
    <w:p w14:paraId="5D209D18" w14:textId="77777777" w:rsidR="00FF69B1" w:rsidRDefault="00000000">
      <w:pPr>
        <w:spacing w:before="60" w:after="80"/>
        <w:jc w:val="center"/>
      </w:pPr>
      <w:r>
        <w:rPr>
          <w:rFonts w:ascii="Helvetica" w:eastAsia="Helvetica" w:hAnsi="Helvetica"/>
          <w:i/>
          <w:sz w:val="16"/>
        </w:rPr>
        <w:t>Table A1. Consolidated per</w:t>
      </w:r>
      <w:r w:rsidR="00FD5697">
        <w:rPr>
          <w:rFonts w:ascii="Helvetica" w:eastAsia="Helvetica" w:hAnsi="Helvetica"/>
          <w:i/>
          <w:sz w:val="16"/>
        </w:rPr>
        <w:t>-</w:t>
      </w:r>
      <w:r>
        <w:rPr>
          <w:rFonts w:ascii="Helvetica" w:eastAsia="Helvetica" w:hAnsi="Helvetica"/>
          <w:i/>
          <w:sz w:val="16"/>
        </w:rPr>
        <w:t>mutant summary.</w:t>
      </w:r>
    </w:p>
    <w:p w14:paraId="47379A5A" w14:textId="77777777" w:rsidR="00FF69B1" w:rsidRDefault="00FF69B1"/>
    <w:p>
      <w:pPr>
        <w:pStyle w:val="Heading1"/>
      </w:pPr>
      <w:r>
        <w:t>Appendix B. Oracle-Basis Classification</w:t>
      </w:r>
    </w:p>
    <w:p>
      <w:r>
        <w:t>The oracle-basis classification below is descriptive and was applied to the frozen v1.0.1 oracle records without changing any benchmark ground truth or detection outcome.</w:t>
      </w:r>
    </w:p>
    <w:tbl>
      <w:tblPr>
        <w:tblStyle w:val="TableGrid"/>
        <w:tblW w:type="dxa" w:w="4550"/>
        <w:tblLayout w:type="fixed"/>
        <w:tblLook w:firstColumn="1" w:firstRow="1" w:lastColumn="0" w:lastRow="0" w:noHBand="0" w:noVBand="1" w:val="04A0"/>
      </w:tblPr>
      <w:tblGrid>
        <w:gridCol w:w="1550"/>
        <w:gridCol w:w="1750"/>
        <w:gridCol w:w="1250"/>
      </w:tblGrid>
      <w:tr>
        <w:tc>
          <w:tcPr>
            <w:tcW w:type="dxa" w:w="1550"/>
            <w:shd w:fill="D9E2F3"/>
          </w:tcPr>
          <w:p>
            <w:pPr>
              <w:spacing w:after="0"/>
            </w:pPr>
            <w:r>
              <w:rPr>
                <w:rFonts w:ascii="Times New Roman" w:hAnsi="Times New Roman"/>
                <w:b/>
                <w:sz w:val="10"/>
              </w:rPr>
              <w:t>Mutant</w:t>
            </w:r>
          </w:p>
        </w:tc>
        <w:tc>
          <w:tcPr>
            <w:tcW w:type="dxa" w:w="1750"/>
            <w:shd w:fill="D9E2F3"/>
          </w:tcPr>
          <w:p>
            <w:pPr>
              <w:spacing w:after="0"/>
            </w:pPr>
            <w:r>
              <w:rPr>
                <w:rFonts w:ascii="Times New Roman" w:hAnsi="Times New Roman"/>
                <w:b/>
                <w:sz w:val="10"/>
              </w:rPr>
              <w:t>Fault class</w:t>
            </w:r>
          </w:p>
        </w:tc>
        <w:tc>
          <w:tcPr>
            <w:tcW w:type="dxa" w:w="1250"/>
            <w:shd w:fill="D9E2F3"/>
          </w:tcPr>
          <w:p>
            <w:pPr>
              <w:spacing w:after="0"/>
            </w:pPr>
            <w:r>
              <w:rPr>
                <w:rFonts w:ascii="Times New Roman" w:hAnsi="Times New Roman"/>
                <w:b/>
                <w:sz w:val="10"/>
              </w:rPr>
              <w:t>Oracle basis</w:t>
            </w:r>
          </w:p>
        </w:tc>
      </w:tr>
      <w:tr>
        <w:tc>
          <w:tcPr>
            <w:tcW w:type="dxa" w:w="1550"/>
          </w:tcPr>
          <w:p>
            <w:pPr>
              <w:spacing w:after="0"/>
            </w:pPr>
            <w:r>
              <w:rPr>
                <w:rFonts w:ascii="Times New Roman" w:hAnsi="Times New Roman"/>
                <w:sz w:val="10"/>
              </w:rPr>
              <w:t>B001_AR01_001</w:t>
            </w:r>
          </w:p>
        </w:tc>
        <w:tc>
          <w:tcPr>
            <w:tcW w:type="dxa" w:w="1750"/>
          </w:tcPr>
          <w:p>
            <w:pPr>
              <w:spacing w:after="0"/>
            </w:pPr>
            <w:r>
              <w:rPr>
                <w:rFonts w:ascii="Times New Roman" w:hAnsi="Times New Roman"/>
                <w:sz w:val="10"/>
              </w:rPr>
              <w:t>artifact_dataflow</w:t>
            </w:r>
          </w:p>
        </w:tc>
        <w:tc>
          <w:tcPr>
            <w:tcW w:type="dxa" w:w="1250"/>
          </w:tcPr>
          <w:p>
            <w:pPr>
              <w:spacing w:after="0"/>
            </w:pPr>
            <w:r>
              <w:rPr>
                <w:rFonts w:ascii="Times New Roman" w:hAnsi="Times New Roman"/>
                <w:sz w:val="10"/>
              </w:rPr>
              <w:t>Platform-semantic</w:t>
            </w:r>
          </w:p>
        </w:tc>
      </w:tr>
      <w:tr>
        <w:tc>
          <w:tcPr>
            <w:tcW w:type="dxa" w:w="1550"/>
          </w:tcPr>
          <w:p>
            <w:pPr>
              <w:spacing w:after="0"/>
            </w:pPr>
            <w:r>
              <w:rPr>
                <w:rFonts w:ascii="Times New Roman" w:hAnsi="Times New Roman"/>
                <w:sz w:val="10"/>
              </w:rPr>
              <w:t>B001_AR02_001</w:t>
            </w:r>
          </w:p>
        </w:tc>
        <w:tc>
          <w:tcPr>
            <w:tcW w:type="dxa" w:w="1750"/>
          </w:tcPr>
          <w:p>
            <w:pPr>
              <w:spacing w:after="0"/>
            </w:pPr>
            <w:r>
              <w:rPr>
                <w:rFonts w:ascii="Times New Roman" w:hAnsi="Times New Roman"/>
                <w:sz w:val="10"/>
              </w:rPr>
              <w:t>artifact_dataflow</w:t>
            </w:r>
          </w:p>
        </w:tc>
        <w:tc>
          <w:tcPr>
            <w:tcW w:type="dxa" w:w="1250"/>
          </w:tcPr>
          <w:p>
            <w:pPr>
              <w:spacing w:after="0"/>
            </w:pPr>
            <w:r>
              <w:rPr>
                <w:rFonts w:ascii="Times New Roman" w:hAnsi="Times New Roman"/>
                <w:sz w:val="10"/>
              </w:rPr>
              <w:t>Platform-semantic</w:t>
            </w:r>
          </w:p>
        </w:tc>
      </w:tr>
      <w:tr>
        <w:tc>
          <w:tcPr>
            <w:tcW w:type="dxa" w:w="1550"/>
          </w:tcPr>
          <w:p>
            <w:pPr>
              <w:spacing w:after="0"/>
            </w:pPr>
            <w:r>
              <w:rPr>
                <w:rFonts w:ascii="Times New Roman" w:hAnsi="Times New Roman"/>
                <w:sz w:val="10"/>
              </w:rPr>
              <w:t>B001_AR03_001</w:t>
            </w:r>
          </w:p>
        </w:tc>
        <w:tc>
          <w:tcPr>
            <w:tcW w:type="dxa" w:w="1750"/>
          </w:tcPr>
          <w:p>
            <w:pPr>
              <w:spacing w:after="0"/>
            </w:pPr>
            <w:r>
              <w:rPr>
                <w:rFonts w:ascii="Times New Roman" w:hAnsi="Times New Roman"/>
                <w:sz w:val="10"/>
              </w:rPr>
              <w:t>artifact_dataflow</w:t>
            </w:r>
          </w:p>
        </w:tc>
        <w:tc>
          <w:tcPr>
            <w:tcW w:type="dxa" w:w="1250"/>
          </w:tcPr>
          <w:p>
            <w:pPr>
              <w:spacing w:after="0"/>
            </w:pPr>
            <w:r>
              <w:rPr>
                <w:rFonts w:ascii="Times New Roman" w:hAnsi="Times New Roman"/>
                <w:sz w:val="10"/>
              </w:rPr>
              <w:t>Platform-semantic</w:t>
            </w:r>
          </w:p>
        </w:tc>
      </w:tr>
      <w:tr>
        <w:tc>
          <w:tcPr>
            <w:tcW w:type="dxa" w:w="1550"/>
          </w:tcPr>
          <w:p>
            <w:pPr>
              <w:spacing w:after="0"/>
            </w:pPr>
            <w:r>
              <w:rPr>
                <w:rFonts w:ascii="Times New Roman" w:hAnsi="Times New Roman"/>
                <w:sz w:val="10"/>
              </w:rPr>
              <w:t>B001_CF01_001</w:t>
            </w:r>
          </w:p>
        </w:tc>
        <w:tc>
          <w:tcPr>
            <w:tcW w:type="dxa" w:w="1750"/>
          </w:tcPr>
          <w:p>
            <w:pPr>
              <w:spacing w:after="0"/>
            </w:pPr>
            <w:r>
              <w:rPr>
                <w:rFonts w:ascii="Times New Roman" w:hAnsi="Times New Roman"/>
                <w:sz w:val="10"/>
              </w:rPr>
              <w:t>dependency</w:t>
            </w:r>
          </w:p>
        </w:tc>
        <w:tc>
          <w:tcPr>
            <w:tcW w:type="dxa" w:w="1250"/>
          </w:tcPr>
          <w:p>
            <w:pPr>
              <w:spacing w:after="0"/>
            </w:pPr>
            <w:r>
              <w:rPr>
                <w:rFonts w:ascii="Times New Roman" w:hAnsi="Times New Roman"/>
                <w:sz w:val="10"/>
              </w:rPr>
              <w:t>Platform-semantic</w:t>
            </w:r>
          </w:p>
        </w:tc>
      </w:tr>
      <w:tr>
        <w:tc>
          <w:tcPr>
            <w:tcW w:type="dxa" w:w="1550"/>
          </w:tcPr>
          <w:p>
            <w:pPr>
              <w:spacing w:after="0"/>
            </w:pPr>
            <w:r>
              <w:rPr>
                <w:rFonts w:ascii="Times New Roman" w:hAnsi="Times New Roman"/>
                <w:sz w:val="10"/>
              </w:rPr>
              <w:t>B002_REF02_001</w:t>
            </w:r>
          </w:p>
        </w:tc>
        <w:tc>
          <w:tcPr>
            <w:tcW w:type="dxa" w:w="1750"/>
          </w:tcPr>
          <w:p>
            <w:pPr>
              <w:spacing w:after="0"/>
            </w:pPr>
            <w:r>
              <w:rPr>
                <w:rFonts w:ascii="Times New Roman" w:hAnsi="Times New Roman"/>
                <w:sz w:val="10"/>
              </w:rPr>
              <w:t>undefined_context_reference</w:t>
            </w:r>
          </w:p>
        </w:tc>
        <w:tc>
          <w:tcPr>
            <w:tcW w:type="dxa" w:w="1250"/>
          </w:tcPr>
          <w:p>
            <w:pPr>
              <w:spacing w:after="0"/>
            </w:pPr>
            <w:r>
              <w:rPr>
                <w:rFonts w:ascii="Times New Roman" w:hAnsi="Times New Roman"/>
                <w:sz w:val="10"/>
              </w:rPr>
              <w:t>Platform-semantic</w:t>
            </w:r>
          </w:p>
        </w:tc>
      </w:tr>
      <w:tr>
        <w:tc>
          <w:tcPr>
            <w:tcW w:type="dxa" w:w="1550"/>
          </w:tcPr>
          <w:p>
            <w:pPr>
              <w:spacing w:after="0"/>
            </w:pPr>
            <w:r>
              <w:rPr>
                <w:rFonts w:ascii="Times New Roman" w:hAnsi="Times New Roman"/>
                <w:sz w:val="10"/>
              </w:rPr>
              <w:t>B002_MX01_001</w:t>
            </w:r>
          </w:p>
        </w:tc>
        <w:tc>
          <w:tcPr>
            <w:tcW w:type="dxa" w:w="1750"/>
          </w:tcPr>
          <w:p>
            <w:pPr>
              <w:spacing w:after="0"/>
            </w:pPr>
            <w:r>
              <w:rPr>
                <w:rFonts w:ascii="Times New Roman" w:hAnsi="Times New Roman"/>
                <w:sz w:val="10"/>
              </w:rPr>
              <w:t>coverage_intent</w:t>
            </w:r>
          </w:p>
        </w:tc>
        <w:tc>
          <w:tcPr>
            <w:tcW w:type="dxa" w:w="1250"/>
          </w:tcPr>
          <w:p>
            <w:pPr>
              <w:spacing w:after="0"/>
            </w:pPr>
            <w:r>
              <w:rPr>
                <w:rFonts w:ascii="Times New Roman" w:hAnsi="Times New Roman"/>
                <w:sz w:val="10"/>
              </w:rPr>
              <w:t>Declared-intent</w:t>
            </w:r>
          </w:p>
        </w:tc>
      </w:tr>
      <w:tr>
        <w:tc>
          <w:tcPr>
            <w:tcW w:type="dxa" w:w="1550"/>
          </w:tcPr>
          <w:p>
            <w:pPr>
              <w:spacing w:after="0"/>
            </w:pPr>
            <w:r>
              <w:rPr>
                <w:rFonts w:ascii="Times New Roman" w:hAnsi="Times New Roman"/>
                <w:sz w:val="10"/>
              </w:rPr>
              <w:t>B002_MX02_001</w:t>
            </w:r>
          </w:p>
        </w:tc>
        <w:tc>
          <w:tcPr>
            <w:tcW w:type="dxa" w:w="1750"/>
          </w:tcPr>
          <w:p>
            <w:pPr>
              <w:spacing w:after="0"/>
            </w:pPr>
            <w:r>
              <w:rPr>
                <w:rFonts w:ascii="Times New Roman" w:hAnsi="Times New Roman"/>
                <w:sz w:val="10"/>
              </w:rPr>
              <w:t>coverage_intent</w:t>
            </w:r>
          </w:p>
        </w:tc>
        <w:tc>
          <w:tcPr>
            <w:tcW w:type="dxa" w:w="1250"/>
          </w:tcPr>
          <w:p>
            <w:pPr>
              <w:spacing w:after="0"/>
            </w:pPr>
            <w:r>
              <w:rPr>
                <w:rFonts w:ascii="Times New Roman" w:hAnsi="Times New Roman"/>
                <w:sz w:val="10"/>
              </w:rPr>
              <w:t>Declared-intent</w:t>
            </w:r>
          </w:p>
        </w:tc>
      </w:tr>
      <w:tr>
        <w:tc>
          <w:tcPr>
            <w:tcW w:type="dxa" w:w="1550"/>
          </w:tcPr>
          <w:p>
            <w:pPr>
              <w:spacing w:after="0"/>
            </w:pPr>
            <w:r>
              <w:rPr>
                <w:rFonts w:ascii="Times New Roman" w:hAnsi="Times New Roman"/>
                <w:sz w:val="10"/>
              </w:rPr>
              <w:t>B002_RL01_001</w:t>
            </w:r>
          </w:p>
        </w:tc>
        <w:tc>
          <w:tcPr>
            <w:tcW w:type="dxa" w:w="1750"/>
          </w:tcPr>
          <w:p>
            <w:pPr>
              <w:spacing w:after="0"/>
            </w:pPr>
            <w:r>
              <w:rPr>
                <w:rFonts w:ascii="Times New Roman" w:hAnsi="Times New Roman"/>
                <w:sz w:val="10"/>
              </w:rPr>
              <w:t>failure_handling</w:t>
            </w:r>
          </w:p>
        </w:tc>
        <w:tc>
          <w:tcPr>
            <w:tcW w:type="dxa" w:w="1250"/>
          </w:tcPr>
          <w:p>
            <w:pPr>
              <w:spacing w:after="0"/>
            </w:pPr>
            <w:r>
              <w:rPr>
                <w:rFonts w:ascii="Times New Roman" w:hAnsi="Times New Roman"/>
                <w:sz w:val="10"/>
              </w:rPr>
              <w:t>Declared-intent</w:t>
            </w:r>
          </w:p>
        </w:tc>
      </w:tr>
      <w:tr>
        <w:tc>
          <w:tcPr>
            <w:tcW w:type="dxa" w:w="1550"/>
          </w:tcPr>
          <w:p>
            <w:pPr>
              <w:spacing w:after="0"/>
            </w:pPr>
            <w:r>
              <w:rPr>
                <w:rFonts w:ascii="Times New Roman" w:hAnsi="Times New Roman"/>
                <w:sz w:val="10"/>
              </w:rPr>
              <w:t>B003_CF03_001</w:t>
            </w:r>
          </w:p>
        </w:tc>
        <w:tc>
          <w:tcPr>
            <w:tcW w:type="dxa" w:w="1750"/>
          </w:tcPr>
          <w:p>
            <w:pPr>
              <w:spacing w:after="0"/>
            </w:pPr>
            <w:r>
              <w:rPr>
                <w:rFonts w:ascii="Times New Roman" w:hAnsi="Times New Roman"/>
                <w:sz w:val="10"/>
              </w:rPr>
              <w:t>failure_handling</w:t>
            </w:r>
          </w:p>
        </w:tc>
        <w:tc>
          <w:tcPr>
            <w:tcW w:type="dxa" w:w="1250"/>
          </w:tcPr>
          <w:p>
            <w:pPr>
              <w:spacing w:after="0"/>
            </w:pPr>
            <w:r>
              <w:rPr>
                <w:rFonts w:ascii="Times New Roman" w:hAnsi="Times New Roman"/>
                <w:sz w:val="10"/>
              </w:rPr>
              <w:t>Declared-intent</w:t>
            </w:r>
          </w:p>
        </w:tc>
      </w:tr>
      <w:tr>
        <w:tc>
          <w:tcPr>
            <w:tcW w:type="dxa" w:w="1550"/>
          </w:tcPr>
          <w:p>
            <w:pPr>
              <w:spacing w:after="0"/>
            </w:pPr>
            <w:r>
              <w:rPr>
                <w:rFonts w:ascii="Times New Roman" w:hAnsi="Times New Roman"/>
                <w:sz w:val="10"/>
              </w:rPr>
              <w:t>B003_RL01_001</w:t>
            </w:r>
          </w:p>
        </w:tc>
        <w:tc>
          <w:tcPr>
            <w:tcW w:type="dxa" w:w="1750"/>
          </w:tcPr>
          <w:p>
            <w:pPr>
              <w:spacing w:after="0"/>
            </w:pPr>
            <w:r>
              <w:rPr>
                <w:rFonts w:ascii="Times New Roman" w:hAnsi="Times New Roman"/>
                <w:sz w:val="10"/>
              </w:rPr>
              <w:t>failure_handling</w:t>
            </w:r>
          </w:p>
        </w:tc>
        <w:tc>
          <w:tcPr>
            <w:tcW w:type="dxa" w:w="1250"/>
          </w:tcPr>
          <w:p>
            <w:pPr>
              <w:spacing w:after="0"/>
            </w:pPr>
            <w:r>
              <w:rPr>
                <w:rFonts w:ascii="Times New Roman" w:hAnsi="Times New Roman"/>
                <w:sz w:val="10"/>
              </w:rPr>
              <w:t>Declared-intent</w:t>
            </w:r>
          </w:p>
        </w:tc>
      </w:tr>
      <w:tr>
        <w:tc>
          <w:tcPr>
            <w:tcW w:type="dxa" w:w="1550"/>
          </w:tcPr>
          <w:p>
            <w:pPr>
              <w:spacing w:after="0"/>
            </w:pPr>
            <w:r>
              <w:rPr>
                <w:rFonts w:ascii="Times New Roman" w:hAnsi="Times New Roman"/>
                <w:sz w:val="10"/>
              </w:rPr>
              <w:t>B003_RL03_001</w:t>
            </w:r>
          </w:p>
        </w:tc>
        <w:tc>
          <w:tcPr>
            <w:tcW w:type="dxa" w:w="1750"/>
          </w:tcPr>
          <w:p>
            <w:pPr>
              <w:spacing w:after="0"/>
            </w:pPr>
            <w:r>
              <w:rPr>
                <w:rFonts w:ascii="Times New Roman" w:hAnsi="Times New Roman"/>
                <w:sz w:val="10"/>
              </w:rPr>
              <w:t>failure_handling</w:t>
            </w:r>
          </w:p>
        </w:tc>
        <w:tc>
          <w:tcPr>
            <w:tcW w:type="dxa" w:w="1250"/>
          </w:tcPr>
          <w:p>
            <w:pPr>
              <w:spacing w:after="0"/>
            </w:pPr>
            <w:r>
              <w:rPr>
                <w:rFonts w:ascii="Times New Roman" w:hAnsi="Times New Roman"/>
                <w:sz w:val="10"/>
              </w:rPr>
              <w:t>Declared-intent</w:t>
            </w:r>
          </w:p>
        </w:tc>
      </w:tr>
      <w:tr>
        <w:tc>
          <w:tcPr>
            <w:tcW w:type="dxa" w:w="1550"/>
          </w:tcPr>
          <w:p>
            <w:pPr>
              <w:spacing w:after="0"/>
            </w:pPr>
            <w:r>
              <w:rPr>
                <w:rFonts w:ascii="Times New Roman" w:hAnsi="Times New Roman"/>
                <w:sz w:val="10"/>
              </w:rPr>
              <w:t>B004_TR01_001</w:t>
            </w:r>
          </w:p>
        </w:tc>
        <w:tc>
          <w:tcPr>
            <w:tcW w:type="dxa" w:w="1750"/>
          </w:tcPr>
          <w:p>
            <w:pPr>
              <w:spacing w:after="0"/>
            </w:pPr>
            <w:r>
              <w:rPr>
                <w:rFonts w:ascii="Times New Roman" w:hAnsi="Times New Roman"/>
                <w:sz w:val="10"/>
              </w:rPr>
              <w:t>trigger_intent</w:t>
            </w:r>
          </w:p>
        </w:tc>
        <w:tc>
          <w:tcPr>
            <w:tcW w:type="dxa" w:w="1250"/>
          </w:tcPr>
          <w:p>
            <w:pPr>
              <w:spacing w:after="0"/>
            </w:pPr>
            <w:r>
              <w:rPr>
                <w:rFonts w:ascii="Times New Roman" w:hAnsi="Times New Roman"/>
                <w:sz w:val="10"/>
              </w:rPr>
              <w:t>Declared-intent</w:t>
            </w:r>
          </w:p>
        </w:tc>
      </w:tr>
      <w:tr>
        <w:tc>
          <w:tcPr>
            <w:tcW w:type="dxa" w:w="1550"/>
          </w:tcPr>
          <w:p>
            <w:pPr>
              <w:spacing w:after="0"/>
            </w:pPr>
            <w:r>
              <w:rPr>
                <w:rFonts w:ascii="Times New Roman" w:hAnsi="Times New Roman"/>
                <w:sz w:val="10"/>
              </w:rPr>
              <w:t>B004_TR02_001</w:t>
            </w:r>
          </w:p>
        </w:tc>
        <w:tc>
          <w:tcPr>
            <w:tcW w:type="dxa" w:w="1750"/>
          </w:tcPr>
          <w:p>
            <w:pPr>
              <w:spacing w:after="0"/>
            </w:pPr>
            <w:r>
              <w:rPr>
                <w:rFonts w:ascii="Times New Roman" w:hAnsi="Times New Roman"/>
                <w:sz w:val="10"/>
              </w:rPr>
              <w:t>trigger_intent</w:t>
            </w:r>
          </w:p>
        </w:tc>
        <w:tc>
          <w:tcPr>
            <w:tcW w:type="dxa" w:w="1250"/>
          </w:tcPr>
          <w:p>
            <w:pPr>
              <w:spacing w:after="0"/>
            </w:pPr>
            <w:r>
              <w:rPr>
                <w:rFonts w:ascii="Times New Roman" w:hAnsi="Times New Roman"/>
                <w:sz w:val="10"/>
              </w:rPr>
              <w:t>Declared-intent</w:t>
            </w:r>
          </w:p>
        </w:tc>
      </w:tr>
      <w:tr>
        <w:tc>
          <w:tcPr>
            <w:tcW w:type="dxa" w:w="1550"/>
          </w:tcPr>
          <w:p>
            <w:pPr>
              <w:spacing w:after="0"/>
            </w:pPr>
            <w:r>
              <w:rPr>
                <w:rFonts w:ascii="Times New Roman" w:hAnsi="Times New Roman"/>
                <w:sz w:val="10"/>
              </w:rPr>
              <w:t>B002_MX03_001</w:t>
            </w:r>
          </w:p>
        </w:tc>
        <w:tc>
          <w:tcPr>
            <w:tcW w:type="dxa" w:w="1750"/>
          </w:tcPr>
          <w:p>
            <w:pPr>
              <w:spacing w:after="0"/>
            </w:pPr>
            <w:r>
              <w:rPr>
                <w:rFonts w:ascii="Times New Roman" w:hAnsi="Times New Roman"/>
                <w:sz w:val="10"/>
              </w:rPr>
              <w:t>coverage_intent</w:t>
            </w:r>
          </w:p>
        </w:tc>
        <w:tc>
          <w:tcPr>
            <w:tcW w:type="dxa" w:w="1250"/>
          </w:tcPr>
          <w:p>
            <w:pPr>
              <w:spacing w:after="0"/>
            </w:pPr>
            <w:r>
              <w:rPr>
                <w:rFonts w:ascii="Times New Roman" w:hAnsi="Times New Roman"/>
                <w:sz w:val="10"/>
              </w:rPr>
              <w:t>Mixed</w:t>
            </w:r>
          </w:p>
        </w:tc>
      </w:tr>
      <w:tr>
        <w:tc>
          <w:tcPr>
            <w:tcW w:type="dxa" w:w="1550"/>
          </w:tcPr>
          <w:p>
            <w:pPr>
              <w:spacing w:after="0"/>
            </w:pPr>
            <w:r>
              <w:rPr>
                <w:rFonts w:ascii="Times New Roman" w:hAnsi="Times New Roman"/>
                <w:sz w:val="10"/>
              </w:rPr>
              <w:t>B003_CF02_001</w:t>
            </w:r>
          </w:p>
        </w:tc>
        <w:tc>
          <w:tcPr>
            <w:tcW w:type="dxa" w:w="1750"/>
          </w:tcPr>
          <w:p>
            <w:pPr>
              <w:spacing w:after="0"/>
            </w:pPr>
            <w:r>
              <w:rPr>
                <w:rFonts w:ascii="Times New Roman" w:hAnsi="Times New Roman"/>
                <w:sz w:val="10"/>
              </w:rPr>
              <w:t>failure_handling</w:t>
            </w:r>
          </w:p>
        </w:tc>
        <w:tc>
          <w:tcPr>
            <w:tcW w:type="dxa" w:w="1250"/>
          </w:tcPr>
          <w:p>
            <w:pPr>
              <w:spacing w:after="0"/>
            </w:pPr>
            <w:r>
              <w:rPr>
                <w:rFonts w:ascii="Times New Roman" w:hAnsi="Times New Roman"/>
                <w:sz w:val="10"/>
              </w:rPr>
              <w:t>Mixed</w:t>
            </w:r>
          </w:p>
        </w:tc>
      </w:tr>
      <w:tr>
        <w:tc>
          <w:tcPr>
            <w:tcW w:type="dxa" w:w="1550"/>
          </w:tcPr>
          <w:p>
            <w:pPr>
              <w:spacing w:after="0"/>
            </w:pPr>
            <w:r>
              <w:rPr>
                <w:rFonts w:ascii="Times New Roman" w:hAnsi="Times New Roman"/>
                <w:sz w:val="10"/>
              </w:rPr>
              <w:t>B003_RL02_001</w:t>
            </w:r>
          </w:p>
        </w:tc>
        <w:tc>
          <w:tcPr>
            <w:tcW w:type="dxa" w:w="1750"/>
          </w:tcPr>
          <w:p>
            <w:pPr>
              <w:spacing w:after="0"/>
            </w:pPr>
            <w:r>
              <w:rPr>
                <w:rFonts w:ascii="Times New Roman" w:hAnsi="Times New Roman"/>
                <w:sz w:val="10"/>
              </w:rPr>
              <w:t>failure_handling</w:t>
            </w:r>
          </w:p>
        </w:tc>
        <w:tc>
          <w:tcPr>
            <w:tcW w:type="dxa" w:w="1250"/>
          </w:tcPr>
          <w:p>
            <w:pPr>
              <w:spacing w:after="0"/>
            </w:pPr>
            <w:r>
              <w:rPr>
                <w:rFonts w:ascii="Times New Roman" w:hAnsi="Times New Roman"/>
                <w:sz w:val="10"/>
              </w:rPr>
              <w:t>Mixed</w:t>
            </w:r>
          </w:p>
        </w:tc>
      </w:tr>
      <w:tr>
        <w:tc>
          <w:tcPr>
            <w:tcW w:type="dxa" w:w="1550"/>
          </w:tcPr>
          <w:p>
            <w:pPr>
              <w:spacing w:after="0"/>
            </w:pPr>
            <w:r>
              <w:rPr>
                <w:rFonts w:ascii="Times New Roman" w:hAnsi="Times New Roman"/>
                <w:sz w:val="10"/>
              </w:rPr>
              <w:t>B005_CC01_001</w:t>
            </w:r>
          </w:p>
        </w:tc>
        <w:tc>
          <w:tcPr>
            <w:tcW w:type="dxa" w:w="1750"/>
          </w:tcPr>
          <w:p>
            <w:pPr>
              <w:spacing w:after="0"/>
            </w:pPr>
            <w:r>
              <w:rPr>
                <w:rFonts w:ascii="Times New Roman" w:hAnsi="Times New Roman"/>
                <w:sz w:val="10"/>
              </w:rPr>
              <w:t>concurrency</w:t>
            </w:r>
          </w:p>
        </w:tc>
        <w:tc>
          <w:tcPr>
            <w:tcW w:type="dxa" w:w="1250"/>
          </w:tcPr>
          <w:p>
            <w:pPr>
              <w:spacing w:after="0"/>
            </w:pPr>
            <w:r>
              <w:rPr>
                <w:rFonts w:ascii="Times New Roman" w:hAnsi="Times New Roman"/>
                <w:sz w:val="10"/>
              </w:rPr>
              <w:t>Mixed</w:t>
            </w:r>
          </w:p>
        </w:tc>
      </w:tr>
      <w:tr>
        <w:tc>
          <w:tcPr>
            <w:tcW w:type="dxa" w:w="1550"/>
          </w:tcPr>
          <w:p>
            <w:pPr>
              <w:spacing w:after="0"/>
            </w:pPr>
            <w:r>
              <w:rPr>
                <w:rFonts w:ascii="Times New Roman" w:hAnsi="Times New Roman"/>
                <w:sz w:val="10"/>
              </w:rPr>
              <w:t>B005_CC02_001</w:t>
            </w:r>
          </w:p>
        </w:tc>
        <w:tc>
          <w:tcPr>
            <w:tcW w:type="dxa" w:w="1750"/>
          </w:tcPr>
          <w:p>
            <w:pPr>
              <w:spacing w:after="0"/>
            </w:pPr>
            <w:r>
              <w:rPr>
                <w:rFonts w:ascii="Times New Roman" w:hAnsi="Times New Roman"/>
                <w:sz w:val="10"/>
              </w:rPr>
              <w:t>concurrency</w:t>
            </w:r>
          </w:p>
        </w:tc>
        <w:tc>
          <w:tcPr>
            <w:tcW w:type="dxa" w:w="1250"/>
          </w:tcPr>
          <w:p>
            <w:pPr>
              <w:spacing w:after="0"/>
            </w:pPr>
            <w:r>
              <w:rPr>
                <w:rFonts w:ascii="Times New Roman" w:hAnsi="Times New Roman"/>
                <w:sz w:val="10"/>
              </w:rPr>
              <w:t>Mixed</w:t>
            </w:r>
          </w:p>
        </w:tc>
      </w:tr>
    </w:tbl>
    <w:p>
      <w:r>
        <w:t>Table B1. Oracle-basis classification of the 18 controlled mutants.</w:t>
      </w:r>
    </w:p>
    <w:p>
      <w:pPr>
        <w:pStyle w:val="Heading1"/>
      </w:pPr>
      <w:r>
        <w:t>Appendix C. Structured Real-World Corpus</w:t>
      </w:r>
    </w:p>
    <w:p>
      <w:r>
        <w:t>Table C1 lists the 30 cases used for structured real-world evaluation. RW-0001 through RW-0020 comprise the recorded A–J protocol phase; the final 10 rows comprise the K–T supplementary continuation beyond the recorded stopping boundary. The later A–J handoff preserves case identities, repositories, family assignments, defect summaries, oracles, the reported 0/20 strict analyzer outcome, and the historical 557 raw-finding aggregate. The finalization audit notes incomplete recovery of some primary ordered-search/freeze and original per-finding analyzer artifacts. A subsequent frozen recovery package reconstructs and preserves immutable pre-fix workflow bytes, SHA-256 hashes, manifests, and raw analyzer outputs for 19/20 A–J cases; RW-0018 was no longer publicly resolvable and was not substituted. The K–T package preserves the frozen 10-case manifest, immutable workflow identifiers, repair-specific oracles, screening summary, hashes, and raw analyzer outputs. Available provenance should therefore be interpreted with the limitations described in §9.5.</w:t>
      </w:r>
    </w:p>
    <w:tbl>
      <w:tblPr>
        <w:tblStyle w:val="TableGrid"/>
        <w:tblW w:type="dxa" w:w="4564"/>
        <w:tblLayout w:type="fixed"/>
        <w:tblLook w:firstColumn="1" w:firstRow="1" w:lastColumn="0" w:lastRow="0" w:noHBand="0" w:noVBand="1" w:val="04A0"/>
      </w:tblPr>
      <w:tblGrid>
        <w:gridCol w:w="5020"/>
        <w:gridCol w:w="5020"/>
      </w:tblGrid>
      <w:tr>
        <w:tc>
          <w:tcPr>
            <w:tcW w:type="dxa" w:w="1036"/>
          </w:tcPr>
          <w:p>
            <w:pPr>
              <w:spacing w:after="0" w:before="0"/>
            </w:pPr>
            <w:r>
              <w:rPr>
                <w:sz w:val="13"/>
              </w:rPr>
              <w:t>ID</w:t>
            </w:r>
          </w:p>
        </w:tc>
        <w:tc>
          <w:tcPr>
            <w:tcW w:type="dxa" w:w="3528"/>
          </w:tcPr>
          <w:p>
            <w:pPr>
              <w:spacing w:after="0" w:before="0"/>
            </w:pPr>
            <w:r>
              <w:rPr>
                <w:sz w:val="13"/>
              </w:rPr>
              <w:t>Repository</w:t>
            </w:r>
          </w:p>
        </w:tc>
      </w:tr>
      <w:tr>
        <w:tc>
          <w:tcPr>
            <w:tcW w:type="dxa" w:w="1036"/>
          </w:tcPr>
          <w:p>
            <w:pPr>
              <w:spacing w:after="0" w:before="0"/>
            </w:pPr>
            <w:r>
              <w:rPr>
                <w:sz w:val="13"/>
              </w:rPr>
              <w:t>RW-0001</w:t>
            </w:r>
          </w:p>
        </w:tc>
        <w:tc>
          <w:tcPr>
            <w:tcW w:type="dxa" w:w="3528"/>
          </w:tcPr>
          <w:p>
            <w:pPr>
              <w:spacing w:after="0" w:before="0"/>
            </w:pPr>
            <w:r>
              <w:rPr>
                <w:sz w:val="13"/>
              </w:rPr>
              <w:t>Ermal-Mamaj/Mobileria-Mamaj</w:t>
            </w:r>
          </w:p>
        </w:tc>
      </w:tr>
      <w:tr>
        <w:tc>
          <w:tcPr>
            <w:tcW w:type="dxa" w:w="1036"/>
          </w:tcPr>
          <w:p>
            <w:pPr>
              <w:spacing w:after="0" w:before="0"/>
            </w:pPr>
            <w:r>
              <w:rPr>
                <w:sz w:val="13"/>
              </w:rPr>
              <w:t>RW-0002</w:t>
            </w:r>
          </w:p>
        </w:tc>
        <w:tc>
          <w:tcPr>
            <w:tcW w:type="dxa" w:w="3528"/>
          </w:tcPr>
          <w:p>
            <w:pPr>
              <w:spacing w:after="0" w:before="0"/>
            </w:pPr>
            <w:r>
              <w:rPr>
                <w:sz w:val="13"/>
              </w:rPr>
              <w:t>dougis-org/session-combat</w:t>
            </w:r>
          </w:p>
        </w:tc>
      </w:tr>
      <w:tr>
        <w:tc>
          <w:tcPr>
            <w:tcW w:type="dxa" w:w="1036"/>
          </w:tcPr>
          <w:p>
            <w:pPr>
              <w:spacing w:after="0" w:before="0"/>
            </w:pPr>
            <w:r>
              <w:rPr>
                <w:sz w:val="13"/>
              </w:rPr>
              <w:t>RW-0003</w:t>
            </w:r>
          </w:p>
        </w:tc>
        <w:tc>
          <w:tcPr>
            <w:tcW w:type="dxa" w:w="3528"/>
          </w:tcPr>
          <w:p>
            <w:pPr>
              <w:spacing w:after="0" w:before="0"/>
            </w:pPr>
            <w:r>
              <w:rPr>
                <w:sz w:val="13"/>
              </w:rPr>
              <w:t>carstenartur/Taxonomy</w:t>
            </w:r>
          </w:p>
        </w:tc>
      </w:tr>
      <w:tr>
        <w:tc>
          <w:tcPr>
            <w:tcW w:type="dxa" w:w="1036"/>
          </w:tcPr>
          <w:p>
            <w:pPr>
              <w:spacing w:after="0" w:before="0"/>
            </w:pPr>
            <w:r>
              <w:rPr>
                <w:sz w:val="13"/>
              </w:rPr>
              <w:t>RW-0004</w:t>
            </w:r>
          </w:p>
        </w:tc>
        <w:tc>
          <w:tcPr>
            <w:tcW w:type="dxa" w:w="3528"/>
          </w:tcPr>
          <w:p>
            <w:pPr>
              <w:spacing w:after="0" w:before="0"/>
            </w:pPr>
            <w:r>
              <w:rPr>
                <w:sz w:val="13"/>
              </w:rPr>
              <w:t>jamesthemullet/roastdinnersaroundtheworld</w:t>
            </w:r>
          </w:p>
        </w:tc>
      </w:tr>
      <w:tr>
        <w:tc>
          <w:tcPr>
            <w:tcW w:type="dxa" w:w="1036"/>
          </w:tcPr>
          <w:p>
            <w:pPr>
              <w:spacing w:after="0" w:before="0"/>
            </w:pPr>
            <w:r>
              <w:rPr>
                <w:sz w:val="13"/>
              </w:rPr>
              <w:t>RW-0005</w:t>
            </w:r>
          </w:p>
        </w:tc>
        <w:tc>
          <w:tcPr>
            <w:tcW w:type="dxa" w:w="3528"/>
          </w:tcPr>
          <w:p>
            <w:pPr>
              <w:spacing w:after="0" w:before="0"/>
            </w:pPr>
            <w:r>
              <w:rPr>
                <w:sz w:val="13"/>
              </w:rPr>
              <w:t>mrploch/ploch-data</w:t>
            </w:r>
          </w:p>
        </w:tc>
      </w:tr>
      <w:tr>
        <w:tc>
          <w:tcPr>
            <w:tcW w:type="dxa" w:w="1036"/>
          </w:tcPr>
          <w:p>
            <w:pPr>
              <w:spacing w:after="0" w:before="0"/>
            </w:pPr>
            <w:r>
              <w:rPr>
                <w:sz w:val="13"/>
              </w:rPr>
              <w:t>RW-0006</w:t>
            </w:r>
          </w:p>
        </w:tc>
        <w:tc>
          <w:tcPr>
            <w:tcW w:type="dxa" w:w="3528"/>
          </w:tcPr>
          <w:p>
            <w:pPr>
              <w:spacing w:after="0" w:before="0"/>
            </w:pPr>
            <w:r>
              <w:rPr>
                <w:sz w:val="13"/>
              </w:rPr>
              <w:t>memogrg/Compound-Ascend</w:t>
            </w:r>
          </w:p>
        </w:tc>
      </w:tr>
      <w:tr>
        <w:tc>
          <w:tcPr>
            <w:tcW w:type="dxa" w:w="1036"/>
          </w:tcPr>
          <w:p>
            <w:pPr>
              <w:spacing w:after="0" w:before="0"/>
            </w:pPr>
            <w:r>
              <w:rPr>
                <w:sz w:val="13"/>
              </w:rPr>
              <w:t>RW-0007</w:t>
            </w:r>
          </w:p>
        </w:tc>
        <w:tc>
          <w:tcPr>
            <w:tcW w:type="dxa" w:w="3528"/>
          </w:tcPr>
          <w:p>
            <w:pPr>
              <w:spacing w:after="0" w:before="0"/>
            </w:pPr>
            <w:r>
              <w:rPr>
                <w:sz w:val="13"/>
              </w:rPr>
              <w:t>hdot123-org/infra-core</w:t>
            </w:r>
          </w:p>
        </w:tc>
      </w:tr>
      <w:tr>
        <w:tc>
          <w:tcPr>
            <w:tcW w:type="dxa" w:w="1036"/>
          </w:tcPr>
          <w:p>
            <w:pPr>
              <w:spacing w:after="0" w:before="0"/>
            </w:pPr>
            <w:r>
              <w:rPr>
                <w:sz w:val="13"/>
              </w:rPr>
              <w:t>RW-0008</w:t>
            </w:r>
          </w:p>
        </w:tc>
        <w:tc>
          <w:tcPr>
            <w:tcW w:type="dxa" w:w="3528"/>
          </w:tcPr>
          <w:p>
            <w:pPr>
              <w:spacing w:after="0" w:before="0"/>
            </w:pPr>
            <w:r>
              <w:rPr>
                <w:sz w:val="13"/>
              </w:rPr>
              <w:t>Avarok-Cybersecurity/atlas-recipes</w:t>
            </w:r>
          </w:p>
        </w:tc>
      </w:tr>
      <w:tr>
        <w:tc>
          <w:tcPr>
            <w:tcW w:type="dxa" w:w="1036"/>
          </w:tcPr>
          <w:p>
            <w:pPr>
              <w:spacing w:after="0" w:before="0"/>
            </w:pPr>
            <w:r>
              <w:rPr>
                <w:sz w:val="13"/>
              </w:rPr>
              <w:t>RW-0009</w:t>
            </w:r>
          </w:p>
        </w:tc>
        <w:tc>
          <w:tcPr>
            <w:tcW w:type="dxa" w:w="3528"/>
          </w:tcPr>
          <w:p>
            <w:pPr>
              <w:spacing w:after="0" w:before="0"/>
            </w:pPr>
            <w:r>
              <w:rPr>
                <w:sz w:val="13"/>
              </w:rPr>
              <w:t>dis-bzh/OpenAether-infra</w:t>
            </w:r>
          </w:p>
        </w:tc>
      </w:tr>
      <w:tr>
        <w:tc>
          <w:tcPr>
            <w:tcW w:type="dxa" w:w="1036"/>
          </w:tcPr>
          <w:p>
            <w:pPr>
              <w:spacing w:after="0" w:before="0"/>
            </w:pPr>
            <w:r>
              <w:rPr>
                <w:sz w:val="13"/>
              </w:rPr>
              <w:t>RW-0010</w:t>
            </w:r>
          </w:p>
        </w:tc>
        <w:tc>
          <w:tcPr>
            <w:tcW w:type="dxa" w:w="3528"/>
          </w:tcPr>
          <w:p>
            <w:pPr>
              <w:spacing w:after="0" w:before="0"/>
            </w:pPr>
            <w:r>
              <w:rPr>
                <w:sz w:val="13"/>
              </w:rPr>
              <w:t>iwacollection/CICD</w:t>
            </w:r>
          </w:p>
        </w:tc>
      </w:tr>
      <w:tr>
        <w:tc>
          <w:tcPr>
            <w:tcW w:type="dxa" w:w="1036"/>
          </w:tcPr>
          <w:p>
            <w:pPr>
              <w:spacing w:after="0" w:before="0"/>
            </w:pPr>
            <w:r>
              <w:rPr>
                <w:sz w:val="13"/>
              </w:rPr>
              <w:t>RW-0011</w:t>
            </w:r>
          </w:p>
        </w:tc>
        <w:tc>
          <w:tcPr>
            <w:tcW w:type="dxa" w:w="3528"/>
          </w:tcPr>
          <w:p>
            <w:pPr>
              <w:spacing w:after="0" w:before="0"/>
            </w:pPr>
            <w:r>
              <w:rPr>
                <w:sz w:val="13"/>
              </w:rPr>
              <w:t>ClearMeasureLabs/bootcamp-palermo-workorders</w:t>
            </w:r>
          </w:p>
        </w:tc>
      </w:tr>
      <w:tr>
        <w:tc>
          <w:tcPr>
            <w:tcW w:type="dxa" w:w="1036"/>
          </w:tcPr>
          <w:p>
            <w:pPr>
              <w:spacing w:after="0" w:before="0"/>
            </w:pPr>
            <w:r>
              <w:rPr>
                <w:sz w:val="13"/>
              </w:rPr>
              <w:t>RW-0012</w:t>
            </w:r>
          </w:p>
        </w:tc>
        <w:tc>
          <w:tcPr>
            <w:tcW w:type="dxa" w:w="3528"/>
          </w:tcPr>
          <w:p>
            <w:pPr>
              <w:spacing w:after="0" w:before="0"/>
            </w:pPr>
            <w:r>
              <w:rPr>
                <w:sz w:val="13"/>
              </w:rPr>
              <w:t>Azure/osdu-spi</w:t>
            </w:r>
          </w:p>
        </w:tc>
      </w:tr>
      <w:tr>
        <w:tc>
          <w:tcPr>
            <w:tcW w:type="dxa" w:w="1036"/>
          </w:tcPr>
          <w:p>
            <w:pPr>
              <w:spacing w:after="0" w:before="0"/>
            </w:pPr>
            <w:r>
              <w:rPr>
                <w:sz w:val="13"/>
              </w:rPr>
              <w:t>RW-0013</w:t>
            </w:r>
          </w:p>
        </w:tc>
        <w:tc>
          <w:tcPr>
            <w:tcW w:type="dxa" w:w="3528"/>
          </w:tcPr>
          <w:p>
            <w:pPr>
              <w:spacing w:after="0" w:before="0"/>
            </w:pPr>
            <w:r>
              <w:rPr>
                <w:sz w:val="13"/>
              </w:rPr>
              <w:t>Daatan/daatan</w:t>
            </w:r>
          </w:p>
        </w:tc>
      </w:tr>
      <w:tr>
        <w:tc>
          <w:tcPr>
            <w:tcW w:type="dxa" w:w="1036"/>
          </w:tcPr>
          <w:p>
            <w:pPr>
              <w:spacing w:after="0" w:before="0"/>
            </w:pPr>
            <w:r>
              <w:rPr>
                <w:sz w:val="13"/>
              </w:rPr>
              <w:t>RW-0014</w:t>
            </w:r>
          </w:p>
        </w:tc>
        <w:tc>
          <w:tcPr>
            <w:tcW w:type="dxa" w:w="3528"/>
          </w:tcPr>
          <w:p>
            <w:pPr>
              <w:spacing w:after="0" w:before="0"/>
            </w:pPr>
            <w:r>
              <w:rPr>
                <w:sz w:val="13"/>
              </w:rPr>
              <w:t>geoff-coppertop/nixos-config</w:t>
            </w:r>
          </w:p>
        </w:tc>
      </w:tr>
      <w:tr>
        <w:tc>
          <w:tcPr>
            <w:tcW w:type="dxa" w:w="1036"/>
          </w:tcPr>
          <w:p>
            <w:pPr>
              <w:spacing w:after="0" w:before="0"/>
            </w:pPr>
            <w:r>
              <w:rPr>
                <w:sz w:val="13"/>
              </w:rPr>
              <w:t>RW-0015</w:t>
            </w:r>
          </w:p>
        </w:tc>
        <w:tc>
          <w:tcPr>
            <w:tcW w:type="dxa" w:w="3528"/>
          </w:tcPr>
          <w:p>
            <w:pPr>
              <w:spacing w:after="0" w:before="0"/>
            </w:pPr>
            <w:r>
              <w:rPr>
                <w:sz w:val="13"/>
              </w:rPr>
              <w:t>meshtastic/firmware</w:t>
            </w:r>
          </w:p>
        </w:tc>
      </w:tr>
      <w:tr>
        <w:tc>
          <w:tcPr>
            <w:tcW w:type="dxa" w:w="1036"/>
          </w:tcPr>
          <w:p>
            <w:pPr>
              <w:spacing w:after="0" w:before="0"/>
            </w:pPr>
            <w:r>
              <w:rPr>
                <w:sz w:val="13"/>
              </w:rPr>
              <w:t>RW-0016</w:t>
            </w:r>
          </w:p>
        </w:tc>
        <w:tc>
          <w:tcPr>
            <w:tcW w:type="dxa" w:w="3528"/>
          </w:tcPr>
          <w:p>
            <w:pPr>
              <w:spacing w:after="0" w:before="0"/>
            </w:pPr>
            <w:r>
              <w:rPr>
                <w:sz w:val="13"/>
              </w:rPr>
              <w:t>DartHealth/ex_audit</w:t>
            </w:r>
          </w:p>
        </w:tc>
      </w:tr>
      <w:tr>
        <w:tc>
          <w:tcPr>
            <w:tcW w:type="dxa" w:w="1036"/>
          </w:tcPr>
          <w:p>
            <w:pPr>
              <w:spacing w:after="0" w:before="0"/>
            </w:pPr>
            <w:r>
              <w:rPr>
                <w:sz w:val="13"/>
              </w:rPr>
              <w:t>RW-0017</w:t>
            </w:r>
          </w:p>
        </w:tc>
        <w:tc>
          <w:tcPr>
            <w:tcW w:type="dxa" w:w="3528"/>
          </w:tcPr>
          <w:p>
            <w:pPr>
              <w:spacing w:after="0" w:before="0"/>
            </w:pPr>
            <w:r>
              <w:rPr>
                <w:sz w:val="13"/>
              </w:rPr>
              <w:t>0x524a/onvif-go</w:t>
            </w:r>
          </w:p>
        </w:tc>
      </w:tr>
      <w:tr>
        <w:tc>
          <w:tcPr>
            <w:tcW w:type="dxa" w:w="1036"/>
          </w:tcPr>
          <w:p>
            <w:pPr>
              <w:spacing w:after="0" w:before="0"/>
            </w:pPr>
            <w:r>
              <w:rPr>
                <w:sz w:val="13"/>
              </w:rPr>
              <w:t>RW-0018</w:t>
            </w:r>
          </w:p>
        </w:tc>
        <w:tc>
          <w:tcPr>
            <w:tcW w:type="dxa" w:w="3528"/>
          </w:tcPr>
          <w:p>
            <w:pPr>
              <w:spacing w:after="0" w:before="0"/>
            </w:pPr>
            <w:r>
              <w:rPr>
                <w:sz w:val="13"/>
              </w:rPr>
              <w:t>ListenCloser/listencloser</w:t>
            </w:r>
          </w:p>
        </w:tc>
      </w:tr>
      <w:tr>
        <w:tc>
          <w:tcPr>
            <w:tcW w:type="dxa" w:w="1036"/>
          </w:tcPr>
          <w:p>
            <w:pPr>
              <w:spacing w:after="0" w:before="0"/>
            </w:pPr>
            <w:r>
              <w:rPr>
                <w:sz w:val="13"/>
              </w:rPr>
              <w:t>RW-0019</w:t>
            </w:r>
          </w:p>
        </w:tc>
        <w:tc>
          <w:tcPr>
            <w:tcW w:type="dxa" w:w="3528"/>
          </w:tcPr>
          <w:p>
            <w:pPr>
              <w:spacing w:after="0" w:before="0"/>
            </w:pPr>
            <w:r>
              <w:rPr>
                <w:sz w:val="13"/>
              </w:rPr>
              <w:t>dipakkrishnan/lore-mcp</w:t>
            </w:r>
          </w:p>
        </w:tc>
      </w:tr>
      <w:tr>
        <w:tc>
          <w:tcPr>
            <w:tcW w:type="dxa" w:w="1036"/>
          </w:tcPr>
          <w:p>
            <w:pPr>
              <w:spacing w:after="0" w:before="0"/>
            </w:pPr>
            <w:r>
              <w:rPr>
                <w:sz w:val="13"/>
              </w:rPr>
              <w:t>RW-0020</w:t>
            </w:r>
          </w:p>
        </w:tc>
        <w:tc>
          <w:tcPr>
            <w:tcW w:type="dxa" w:w="3528"/>
          </w:tcPr>
          <w:p>
            <w:pPr>
              <w:spacing w:after="0" w:before="0"/>
            </w:pPr>
            <w:r>
              <w:rPr>
                <w:sz w:val="13"/>
              </w:rPr>
              <w:t>Paca-AI/paca</w:t>
            </w:r>
          </w:p>
        </w:tc>
      </w:tr>
      <w:tr>
        <w:tc>
          <w:tcPr>
            <w:tcW w:type="dxa" w:w="5020"/>
          </w:tcPr>
          <w:p>
            <w:r>
              <w:t>SUP-K-001</w:t>
            </w:r>
          </w:p>
        </w:tc>
        <w:tc>
          <w:tcPr>
            <w:tcW w:type="dxa" w:w="5020"/>
          </w:tcPr>
          <w:p>
            <w:r>
              <w:t>Azure/osdu-spi</w:t>
            </w:r>
          </w:p>
        </w:tc>
      </w:tr>
      <w:tr>
        <w:tc>
          <w:tcPr>
            <w:tcW w:type="dxa" w:w="5020"/>
          </w:tcPr>
          <w:p>
            <w:r>
              <w:t>SUP-L-001</w:t>
            </w:r>
          </w:p>
        </w:tc>
        <w:tc>
          <w:tcPr>
            <w:tcW w:type="dxa" w:w="5020"/>
          </w:tcPr>
          <w:p>
            <w:r>
              <w:t>jhackuy/pasay-pm</w:t>
            </w:r>
          </w:p>
        </w:tc>
      </w:tr>
      <w:tr>
        <w:tc>
          <w:tcPr>
            <w:tcW w:type="dxa" w:w="5020"/>
          </w:tcPr>
          <w:p>
            <w:r>
              <w:t>SYS-N004</w:t>
            </w:r>
          </w:p>
        </w:tc>
        <w:tc>
          <w:tcPr>
            <w:tcW w:type="dxa" w:w="5020"/>
          </w:tcPr>
          <w:p>
            <w:r>
              <w:t>bauer-group/automation-templates</w:t>
            </w:r>
          </w:p>
        </w:tc>
      </w:tr>
      <w:tr>
        <w:tc>
          <w:tcPr>
            <w:tcW w:type="dxa" w:w="5020"/>
          </w:tcPr>
          <w:p>
            <w:r>
              <w:t>SYS-N007</w:t>
            </w:r>
          </w:p>
        </w:tc>
        <w:tc>
          <w:tcPr>
            <w:tcW w:type="dxa" w:w="5020"/>
          </w:tcPr>
          <w:p>
            <w:r>
              <w:t>paruff/uFawkesObs</w:t>
            </w:r>
          </w:p>
        </w:tc>
      </w:tr>
      <w:tr>
        <w:tc>
          <w:tcPr>
            <w:tcW w:type="dxa" w:w="5020"/>
          </w:tcPr>
          <w:p>
            <w:r>
              <w:t>SYS-O015</w:t>
            </w:r>
          </w:p>
        </w:tc>
        <w:tc>
          <w:tcPr>
            <w:tcW w:type="dxa" w:w="5020"/>
          </w:tcPr>
          <w:p>
            <w:r>
              <w:t>jakob1806/Klangradar</w:t>
            </w:r>
          </w:p>
        </w:tc>
      </w:tr>
      <w:tr>
        <w:tc>
          <w:tcPr>
            <w:tcW w:type="dxa" w:w="5020"/>
          </w:tcPr>
          <w:p>
            <w:r>
              <w:t>SYS-Q019</w:t>
            </w:r>
          </w:p>
        </w:tc>
        <w:tc>
          <w:tcPr>
            <w:tcW w:type="dxa" w:w="5020"/>
          </w:tcPr>
          <w:p>
            <w:r>
              <w:t>elijah-pass/tubearchivist-jf-plugin</w:t>
            </w:r>
          </w:p>
        </w:tc>
      </w:tr>
      <w:tr>
        <w:tc>
          <w:tcPr>
            <w:tcW w:type="dxa" w:w="5020"/>
          </w:tcPr>
          <w:p>
            <w:r>
              <w:t>SYS-S013</w:t>
            </w:r>
          </w:p>
        </w:tc>
        <w:tc>
          <w:tcPr>
            <w:tcW w:type="dxa" w:w="5020"/>
          </w:tcPr>
          <w:p>
            <w:r>
              <w:t>makr-code/ThemisDB</w:t>
            </w:r>
          </w:p>
        </w:tc>
      </w:tr>
      <w:tr>
        <w:tc>
          <w:tcPr>
            <w:tcW w:type="dxa" w:w="5020"/>
          </w:tcPr>
          <w:p>
            <w:r>
              <w:t>SYS-S017</w:t>
            </w:r>
          </w:p>
        </w:tc>
        <w:tc>
          <w:tcPr>
            <w:tcW w:type="dxa" w:w="5020"/>
          </w:tcPr>
          <w:p>
            <w:r>
              <w:t>HereLiesAz/illumera</w:t>
            </w:r>
          </w:p>
        </w:tc>
      </w:tr>
      <w:tr>
        <w:tc>
          <w:tcPr>
            <w:tcW w:type="dxa" w:w="5020"/>
          </w:tcPr>
          <w:p>
            <w:r>
              <w:t>SYS-S019</w:t>
            </w:r>
          </w:p>
        </w:tc>
        <w:tc>
          <w:tcPr>
            <w:tcW w:type="dxa" w:w="5020"/>
          </w:tcPr>
          <w:p>
            <w:r>
              <w:t>ashlesh-t/jobpilot</w:t>
            </w:r>
          </w:p>
        </w:tc>
      </w:tr>
      <w:tr>
        <w:tc>
          <w:tcPr>
            <w:tcW w:type="dxa" w:w="5020"/>
          </w:tcPr>
          <w:p>
            <w:r>
              <w:t>SYS-T005</w:t>
            </w:r>
          </w:p>
        </w:tc>
        <w:tc>
          <w:tcPr>
            <w:tcW w:type="dxa" w:w="5020"/>
          </w:tcPr>
          <w:p>
            <w:r>
              <w:t>hussu97/selfserve-jobs-platform</w:t>
            </w:r>
          </w:p>
        </w:tc>
      </w:tr>
    </w:tbl>
    <w:p>
      <w:r>
        <w:t>Table C1. Structured real-world corpus (recorded 20-case A–J phase plus frozen 10-case K–T continuation; 30 cases total).</w:t>
      </w:r>
    </w:p>
    <w:p w14:paraId="3B295978" w14:textId="77777777" w:rsidR="007E5B84" w:rsidRDefault="00000000">
      <w:pPr>
        <w:pStyle w:val="Heading1"/>
        <w:jc w:val="left"/>
      </w:pPr>
      <w:r>
        <w:rPr>
          <w:rFonts w:ascii="Helvetica" w:eastAsia="Helvetica" w:hAnsi="Helvetica"/>
        </w:rPr>
        <w:t>Funding</w:t>
      </w:r>
    </w:p>
    <w:p w14:paraId="3C5A2437" w14:textId="77777777" w:rsidR="007E5B84" w:rsidRDefault="00000000">
      <w:r>
        <w:t>This research received no external funding.</w:t>
      </w:r>
    </w:p>
    <w:p w14:paraId="692C20BA" w14:textId="77777777" w:rsidR="007E5B84" w:rsidRDefault="00000000">
      <w:pPr>
        <w:pStyle w:val="Heading1"/>
        <w:jc w:val="left"/>
      </w:pPr>
      <w:r>
        <w:rPr>
          <w:rFonts w:ascii="Helvetica" w:eastAsia="Helvetica" w:hAnsi="Helvetica"/>
        </w:rPr>
        <w:t>Conflict of Interest</w:t>
      </w:r>
    </w:p>
    <w:p w14:paraId="5CF07C1A" w14:textId="77777777" w:rsidR="007E5B84" w:rsidRDefault="00000000">
      <w:r>
        <w:t>The author declares no conflict of interest.</w:t>
      </w:r>
    </w:p>
    <w:p w14:paraId="10D5C6F1" w14:textId="77777777" w:rsidR="007E5B84" w:rsidRDefault="00000000">
      <w:pPr>
        <w:pStyle w:val="Heading1"/>
        <w:jc w:val="left"/>
      </w:pPr>
      <w:r>
        <w:rPr>
          <w:rFonts w:ascii="Helvetica" w:eastAsia="Helvetica" w:hAnsi="Helvetica"/>
        </w:rPr>
        <w:t>Employer Independence Statement</w:t>
      </w:r>
    </w:p>
    <w:p w14:paraId="743DC8B0" w14:textId="77777777" w:rsidR="007E5B84" w:rsidRDefault="00000000">
      <w:r>
        <w:t>This research was conducted independently and does not represent the views or positions of the author’s employer.</w:t>
      </w:r>
    </w:p>
    <w:p w14:paraId="01491089" w14:textId="77777777" w:rsidR="007E5B84" w:rsidRDefault="00000000">
      <w:pPr>
        <w:pStyle w:val="Heading1"/>
        <w:jc w:val="left"/>
      </w:pPr>
      <w:r>
        <w:rPr>
          <w:rFonts w:ascii="Helvetica" w:eastAsia="Helvetica" w:hAnsi="Helvetica"/>
        </w:rPr>
        <w:t>AI Assistance Disclosure</w:t>
      </w:r>
    </w:p>
    <w:p w14:paraId="6B0C1057" w14:textId="77777777" w:rsidR="007E5B84" w:rsidRDefault="00000000">
      <w:r>
        <w:t>An AI tool was used for language refinement, structural review, and document formatting.</w:t>
      </w:r>
    </w:p>
    <w:p w14:paraId="48DBB8C4" w14:textId="77777777" w:rsidR="00FF69B1" w:rsidRDefault="00000000">
      <w:pPr>
        <w:pStyle w:val="Heading1"/>
        <w:jc w:val="left"/>
      </w:pPr>
      <w:r>
        <w:rPr>
          <w:rFonts w:ascii="Helvetica" w:eastAsia="Helvetica" w:hAnsi="Helvetica"/>
        </w:rPr>
        <w:t>References</w:t>
      </w:r>
    </w:p>
    <w:p w14:paraId="304C1072" w14:textId="77777777" w:rsidR="00FF69B1" w:rsidRDefault="00000000" w:rsidP="0034461A">
      <w:pPr>
        <w:spacing w:after="40"/>
        <w:ind w:left="216" w:hanging="216"/>
      </w:pPr>
      <w:r>
        <w:rPr>
          <w:sz w:val="16"/>
        </w:rPr>
        <w:t xml:space="preserve">[1] A. Decan, T. </w:t>
      </w:r>
      <w:proofErr w:type="spellStart"/>
      <w:r>
        <w:rPr>
          <w:sz w:val="16"/>
        </w:rPr>
        <w:t>Mens</w:t>
      </w:r>
      <w:proofErr w:type="spellEnd"/>
      <w:r>
        <w:rPr>
          <w:sz w:val="16"/>
        </w:rPr>
        <w:t xml:space="preserve">, P. R. </w:t>
      </w:r>
      <w:proofErr w:type="spellStart"/>
      <w:r>
        <w:rPr>
          <w:sz w:val="16"/>
        </w:rPr>
        <w:t>Mazrae</w:t>
      </w:r>
      <w:proofErr w:type="spellEnd"/>
      <w:r>
        <w:rPr>
          <w:sz w:val="16"/>
        </w:rPr>
        <w:t xml:space="preserve">, and M. </w:t>
      </w:r>
      <w:proofErr w:type="spellStart"/>
      <w:r>
        <w:rPr>
          <w:sz w:val="16"/>
        </w:rPr>
        <w:t>Golzadeh</w:t>
      </w:r>
      <w:proofErr w:type="spellEnd"/>
      <w:r>
        <w:rPr>
          <w:sz w:val="16"/>
        </w:rPr>
        <w:t>, “On the Use of GitHub Actions in Software Development Repositories,” in Proc. ICSME, 2022, pp. 235–245, doi:10.1109/ICSME55016.2022.00029.</w:t>
      </w:r>
    </w:p>
    <w:p w14:paraId="711FA5B3" w14:textId="77777777" w:rsidR="00FF69B1" w:rsidRDefault="00000000" w:rsidP="0034461A">
      <w:pPr>
        <w:spacing w:after="40"/>
        <w:ind w:left="216" w:hanging="216"/>
      </w:pPr>
      <w:r>
        <w:rPr>
          <w:sz w:val="16"/>
        </w:rPr>
        <w:t xml:space="preserve">[2] M. </w:t>
      </w:r>
      <w:proofErr w:type="spellStart"/>
      <w:r>
        <w:rPr>
          <w:sz w:val="16"/>
        </w:rPr>
        <w:t>Golzadeh</w:t>
      </w:r>
      <w:proofErr w:type="spellEnd"/>
      <w:r>
        <w:rPr>
          <w:sz w:val="16"/>
        </w:rPr>
        <w:t xml:space="preserve">, A. Decan, and T. </w:t>
      </w:r>
      <w:proofErr w:type="spellStart"/>
      <w:r>
        <w:rPr>
          <w:sz w:val="16"/>
        </w:rPr>
        <w:t>Mens</w:t>
      </w:r>
      <w:proofErr w:type="spellEnd"/>
      <w:r>
        <w:rPr>
          <w:sz w:val="16"/>
        </w:rPr>
        <w:t>, “On the Rise and Fall of CI Services in GitHub,” in Proc. SANER, 2022, pp. 662–672, doi:10.1109/SANER53432.2022.00084.</w:t>
      </w:r>
    </w:p>
    <w:p w14:paraId="6624BE62" w14:textId="77777777" w:rsidR="00FF69B1" w:rsidRDefault="00000000" w:rsidP="0034461A">
      <w:pPr>
        <w:spacing w:after="40"/>
        <w:ind w:left="216" w:hanging="216"/>
      </w:pPr>
      <w:r>
        <w:rPr>
          <w:sz w:val="16"/>
        </w:rPr>
        <w:t xml:space="preserve">[3] S. G. </w:t>
      </w:r>
      <w:proofErr w:type="spellStart"/>
      <w:r>
        <w:rPr>
          <w:sz w:val="16"/>
        </w:rPr>
        <w:t>Saroar</w:t>
      </w:r>
      <w:proofErr w:type="spellEnd"/>
      <w:r>
        <w:rPr>
          <w:sz w:val="16"/>
        </w:rPr>
        <w:t xml:space="preserve"> and M. Nayebi, “Developers’ Perception of GitHub Actions: A Survey Analysis,” in Proc. 27th Int. Conf. Evaluation and Assessment in Software Engineering (EASE), 2023, pp. 121–130, doi:10.1145/3593434.3593475.</w:t>
      </w:r>
    </w:p>
    <w:p w14:paraId="2AA8A745" w14:textId="77777777" w:rsidR="00FF69B1" w:rsidRDefault="00000000" w:rsidP="0034461A">
      <w:pPr>
        <w:spacing w:after="40"/>
        <w:ind w:left="216" w:hanging="216"/>
      </w:pPr>
      <w:r>
        <w:rPr>
          <w:sz w:val="16"/>
        </w:rPr>
        <w:t>[4] P. Valenzuela</w:t>
      </w:r>
      <w:r w:rsidR="00FD5697">
        <w:rPr>
          <w:sz w:val="16"/>
        </w:rPr>
        <w:t>-</w:t>
      </w:r>
      <w:r>
        <w:rPr>
          <w:sz w:val="16"/>
        </w:rPr>
        <w:t>Toledo, A. Bergel, T. Kehrer, and O. Nierstrasz, “The Hidden Costs of Automation: An Empirical Study on GitHub Actions Workflow Maintenance,” in Proc. SCAM, 2024, pp. 213–223, doi:10.1109/SCAM63643.2024.00029.</w:t>
      </w:r>
    </w:p>
    <w:p w14:paraId="2325CA99" w14:textId="77777777" w:rsidR="00FF69B1" w:rsidRDefault="00000000" w:rsidP="0034461A">
      <w:pPr>
        <w:spacing w:after="40"/>
        <w:ind w:left="216" w:hanging="216"/>
      </w:pPr>
      <w:r>
        <w:rPr>
          <w:sz w:val="16"/>
        </w:rPr>
        <w:t xml:space="preserve">[5] A. Khatami, C. </w:t>
      </w:r>
      <w:proofErr w:type="spellStart"/>
      <w:r>
        <w:rPr>
          <w:sz w:val="16"/>
        </w:rPr>
        <w:t>Willekens</w:t>
      </w:r>
      <w:proofErr w:type="spellEnd"/>
      <w:r>
        <w:rPr>
          <w:sz w:val="16"/>
        </w:rPr>
        <w:t>, and A. Zaidman, “Catching Smells in the Act: A GitHub Actions Workflow Investigation,” in Proc. SCAM, 2024, pp. 47–58, doi:10.1109/SCAM63643.2024.00015.</w:t>
      </w:r>
    </w:p>
    <w:p w14:paraId="7BDA22D3" w14:textId="77777777" w:rsidR="00FF69B1" w:rsidRDefault="00000000" w:rsidP="0034461A">
      <w:pPr>
        <w:spacing w:after="40"/>
        <w:ind w:left="216" w:hanging="216"/>
      </w:pPr>
      <w:r>
        <w:rPr>
          <w:sz w:val="16"/>
        </w:rPr>
        <w:t xml:space="preserve">[6] L. Zheng, S. Li, X. Huang, J. Huang, B. Lin, J. Chen, and J. Xuan, “Why Do GitHub Actions Workflows Fail? An Empirical Study,” ACM Trans. </w:t>
      </w:r>
      <w:proofErr w:type="spellStart"/>
      <w:r>
        <w:rPr>
          <w:sz w:val="16"/>
        </w:rPr>
        <w:t>Softw</w:t>
      </w:r>
      <w:proofErr w:type="spellEnd"/>
      <w:r>
        <w:rPr>
          <w:sz w:val="16"/>
        </w:rPr>
        <w:t xml:space="preserve">. Eng. </w:t>
      </w:r>
      <w:proofErr w:type="spellStart"/>
      <w:r>
        <w:rPr>
          <w:sz w:val="16"/>
        </w:rPr>
        <w:t>Methodol</w:t>
      </w:r>
      <w:proofErr w:type="spellEnd"/>
      <w:r>
        <w:rPr>
          <w:sz w:val="16"/>
        </w:rPr>
        <w:t>., vol. 35, no. 5, Art. 139, pp. 1–29, 2026, doi:10.1145/3749371.</w:t>
      </w:r>
    </w:p>
    <w:p w14:paraId="7A76F149" w14:textId="77777777" w:rsidR="00FF69B1" w:rsidRDefault="00000000" w:rsidP="0034461A">
      <w:pPr>
        <w:spacing w:after="40"/>
        <w:ind w:left="216" w:hanging="216"/>
      </w:pPr>
      <w:r>
        <w:rPr>
          <w:sz w:val="16"/>
        </w:rPr>
        <w:t xml:space="preserve">[7] I. </w:t>
      </w:r>
      <w:proofErr w:type="spellStart"/>
      <w:r>
        <w:rPr>
          <w:sz w:val="16"/>
        </w:rPr>
        <w:t>Bouzenia</w:t>
      </w:r>
      <w:proofErr w:type="spellEnd"/>
      <w:r>
        <w:rPr>
          <w:sz w:val="16"/>
        </w:rPr>
        <w:t xml:space="preserve"> and M. Pradel, “Resource Usage and Optimization Opportunities in Workflows of GitHub Actions,” in Proc. 46th IEEE/ACM Int. Conf. Software Engineering (ICSE), 2024, Art. 25, pp. 1–12, doi:10.1145/3597503.3623303.</w:t>
      </w:r>
    </w:p>
    <w:p w14:paraId="40136871" w14:textId="77777777" w:rsidR="00FF69B1" w:rsidRDefault="00000000" w:rsidP="0034461A">
      <w:pPr>
        <w:spacing w:after="40"/>
        <w:ind w:left="216" w:hanging="216"/>
      </w:pPr>
      <w:r>
        <w:rPr>
          <w:sz w:val="16"/>
        </w:rPr>
        <w:t xml:space="preserve">[8] A. Mastropaolo, F. Zampetti, G. </w:t>
      </w:r>
      <w:proofErr w:type="spellStart"/>
      <w:r>
        <w:rPr>
          <w:sz w:val="16"/>
        </w:rPr>
        <w:t>Bavota</w:t>
      </w:r>
      <w:proofErr w:type="spellEnd"/>
      <w:r>
        <w:rPr>
          <w:sz w:val="16"/>
        </w:rPr>
        <w:t xml:space="preserve">, and M. </w:t>
      </w:r>
      <w:proofErr w:type="gramStart"/>
      <w:r>
        <w:rPr>
          <w:sz w:val="16"/>
        </w:rPr>
        <w:t>Di</w:t>
      </w:r>
      <w:proofErr w:type="gramEnd"/>
      <w:r>
        <w:rPr>
          <w:sz w:val="16"/>
        </w:rPr>
        <w:t xml:space="preserve"> Penta, “Toward Automatically Completing GitHub Workflows,” in Proc. ICSE, 2024, pp. 1–12, doi:10.1145/3597503.3623351.</w:t>
      </w:r>
    </w:p>
    <w:p w14:paraId="439A98AF" w14:textId="77777777" w:rsidR="00FF69B1" w:rsidRDefault="00000000" w:rsidP="0034461A">
      <w:pPr>
        <w:spacing w:after="40"/>
        <w:ind w:left="216" w:hanging="216"/>
      </w:pPr>
      <w:r>
        <w:rPr>
          <w:sz w:val="16"/>
        </w:rPr>
        <w:t>[9] G. Benedetti, L. Verderame, and A. Merlo, “Automatic Security Assessment of GitHub Actions Workflows,” in Proc. SCORED, 2022, pp. 37–45, doi:10.1145/3560835.3564554.</w:t>
      </w:r>
    </w:p>
    <w:p w14:paraId="1CE03F0D" w14:textId="77777777" w:rsidR="00FF69B1" w:rsidRDefault="00000000" w:rsidP="0034461A">
      <w:pPr>
        <w:spacing w:after="40"/>
        <w:ind w:left="216" w:hanging="216"/>
      </w:pPr>
      <w:r>
        <w:rPr>
          <w:sz w:val="16"/>
        </w:rPr>
        <w:t>[10] J. Ayala and J. Garcia, “An Empirical Study on Workflows and Security Policies in Popular GitHub Repositories,” arXiv:2305.16120, 2023, doi:10.48550/arXiv.2305.16120.</w:t>
      </w:r>
    </w:p>
    <w:p w14:paraId="61DFA884" w14:textId="77777777" w:rsidR="00FF69B1" w:rsidRDefault="00000000" w:rsidP="0034461A">
      <w:pPr>
        <w:spacing w:after="40"/>
        <w:ind w:left="216" w:hanging="216"/>
      </w:pPr>
      <w:r>
        <w:rPr>
          <w:sz w:val="16"/>
        </w:rPr>
        <w:t xml:space="preserve">[11] Y. Jia and M. Harman, “An Analysis and Survey of the Development of Mutation Testing,” IEEE Trans. </w:t>
      </w:r>
      <w:proofErr w:type="spellStart"/>
      <w:r>
        <w:rPr>
          <w:sz w:val="16"/>
        </w:rPr>
        <w:t>Softw</w:t>
      </w:r>
      <w:proofErr w:type="spellEnd"/>
      <w:r>
        <w:rPr>
          <w:sz w:val="16"/>
        </w:rPr>
        <w:t>. Eng., vol. 37, no. 5, pp. 649–678, 2011, doi:10.1109/TSE.2010.62.</w:t>
      </w:r>
    </w:p>
    <w:p w14:paraId="5C50C524" w14:textId="77777777" w:rsidR="00FF69B1" w:rsidRDefault="00000000" w:rsidP="0034461A">
      <w:pPr>
        <w:spacing w:after="40"/>
        <w:ind w:left="216" w:hanging="216"/>
      </w:pPr>
      <w:r>
        <w:rPr>
          <w:sz w:val="16"/>
        </w:rPr>
        <w:t xml:space="preserve">[12] A. B. Sánchez, J. A. Parejo, S. Segura, A. Durán, and M. Papadakis, “Mutation Testing in Practice: Insights </w:t>
      </w:r>
      <w:proofErr w:type="gramStart"/>
      <w:r>
        <w:rPr>
          <w:sz w:val="16"/>
        </w:rPr>
        <w:t>From</w:t>
      </w:r>
      <w:proofErr w:type="gramEnd"/>
      <w:r>
        <w:rPr>
          <w:sz w:val="16"/>
        </w:rPr>
        <w:t xml:space="preserve"> Open</w:t>
      </w:r>
      <w:r w:rsidR="00FD5697">
        <w:rPr>
          <w:sz w:val="16"/>
        </w:rPr>
        <w:t>-</w:t>
      </w:r>
      <w:r>
        <w:rPr>
          <w:sz w:val="16"/>
        </w:rPr>
        <w:t xml:space="preserve">Source Software Developers,” IEEE Trans. </w:t>
      </w:r>
      <w:proofErr w:type="spellStart"/>
      <w:r>
        <w:rPr>
          <w:sz w:val="16"/>
        </w:rPr>
        <w:t>Softw</w:t>
      </w:r>
      <w:proofErr w:type="spellEnd"/>
      <w:r>
        <w:rPr>
          <w:sz w:val="16"/>
        </w:rPr>
        <w:t>. Eng., vol. 50, no. 5, pp. 1130–1143, 2024, doi:10.1109/TSE.2024.3377378.</w:t>
      </w:r>
    </w:p>
    <w:p w14:paraId="21A7D337" w14:textId="77777777" w:rsidR="00FF69B1" w:rsidRDefault="00000000" w:rsidP="0034461A">
      <w:pPr>
        <w:spacing w:after="40"/>
        <w:ind w:left="216" w:hanging="216"/>
      </w:pPr>
      <w:r>
        <w:rPr>
          <w:sz w:val="16"/>
        </w:rPr>
        <w:t>[13] GitHub, “Workflow Syntax for GitHub Actions” and “Running Variations of Jobs in a Workflow,” GitHub Documentation, accessed July 26, 2026, https://docs.github.com/actions/writing-</w:t>
      </w:r>
      <w:r>
        <w:rPr>
          <w:sz w:val="16"/>
        </w:rPr>
        <w:t>workflows/workflow-syntax-for-github-actions; https://docs.github.com/actions/using-jobs/using-a-matrix-for-your-jobs.</w:t>
      </w:r>
    </w:p>
    <w:p w14:paraId="3E5EB65A" w14:textId="77777777" w:rsidR="00FF69B1" w:rsidRDefault="00000000" w:rsidP="0034461A">
      <w:pPr>
        <w:spacing w:after="40"/>
        <w:ind w:left="216" w:hanging="216"/>
      </w:pPr>
      <w:r>
        <w:rPr>
          <w:sz w:val="16"/>
        </w:rPr>
        <w:t>[14] GitHub, “Control the Concurrency of Workflows and Jobs,” GitHub Documentation, accessed July 26, 2026, https://docs.github.com/actions/using-jobs/using-concurrency.</w:t>
      </w:r>
    </w:p>
    <w:p w14:paraId="52867E93" w14:textId="77777777" w:rsidR="00FF69B1" w:rsidRDefault="00000000" w:rsidP="0034461A">
      <w:pPr>
        <w:spacing w:after="40"/>
        <w:ind w:left="216" w:hanging="216"/>
      </w:pPr>
      <w:r>
        <w:rPr>
          <w:sz w:val="16"/>
        </w:rPr>
        <w:t xml:space="preserve">[15] </w:t>
      </w:r>
      <w:proofErr w:type="spellStart"/>
      <w:r>
        <w:rPr>
          <w:sz w:val="16"/>
        </w:rPr>
        <w:t>Rhysd</w:t>
      </w:r>
      <w:proofErr w:type="spellEnd"/>
      <w:r>
        <w:rPr>
          <w:sz w:val="16"/>
        </w:rPr>
        <w:t>, “</w:t>
      </w:r>
      <w:proofErr w:type="spellStart"/>
      <w:r>
        <w:rPr>
          <w:sz w:val="16"/>
        </w:rPr>
        <w:t>actionlint</w:t>
      </w:r>
      <w:proofErr w:type="spellEnd"/>
      <w:r>
        <w:rPr>
          <w:sz w:val="16"/>
        </w:rPr>
        <w:t>: Static Checker for GitHub Actions Workflow Files,” official repository, version 1.7.12, accessed July 26, 2026, https://github.com/rhysd/actionlint.</w:t>
      </w:r>
    </w:p>
    <w:p w14:paraId="0CB2AC1D" w14:textId="77777777" w:rsidR="00FF69B1" w:rsidRDefault="00000000" w:rsidP="0034461A">
      <w:pPr>
        <w:spacing w:after="40"/>
        <w:ind w:left="216" w:hanging="216"/>
      </w:pPr>
      <w:r>
        <w:rPr>
          <w:sz w:val="16"/>
        </w:rPr>
        <w:t xml:space="preserve">[16] </w:t>
      </w:r>
      <w:proofErr w:type="spellStart"/>
      <w:r>
        <w:rPr>
          <w:sz w:val="16"/>
        </w:rPr>
        <w:t>zizmor</w:t>
      </w:r>
      <w:proofErr w:type="spellEnd"/>
      <w:r>
        <w:rPr>
          <w:sz w:val="16"/>
        </w:rPr>
        <w:t xml:space="preserve"> contributors, “</w:t>
      </w:r>
      <w:proofErr w:type="spellStart"/>
      <w:r>
        <w:rPr>
          <w:sz w:val="16"/>
        </w:rPr>
        <w:t>zizmor</w:t>
      </w:r>
      <w:proofErr w:type="spellEnd"/>
      <w:r>
        <w:rPr>
          <w:sz w:val="16"/>
        </w:rPr>
        <w:t xml:space="preserve"> Documentation,” official project documentation, version 1.28.0, accessed July 26, 2026, https://docs.zizmor.sh/.</w:t>
      </w:r>
    </w:p>
    <w:p w14:paraId="3D819ECA" w14:textId="77777777" w:rsidR="00FF69B1" w:rsidRDefault="00000000" w:rsidP="0034461A">
      <w:pPr>
        <w:spacing w:after="40"/>
        <w:ind w:left="216" w:hanging="216"/>
      </w:pPr>
      <w:r>
        <w:rPr>
          <w:sz w:val="16"/>
        </w:rPr>
        <w:t>[17] Boost Security, “poutine: A Supply Chain Vulnerability Scanner for Build Pipelines,” official repository, version 1.1.4, accessed July 26, 2026, https://github.com/boostsecurityio/poutine.</w:t>
      </w:r>
    </w:p>
    <w:p w14:paraId="30B58573" w14:textId="77777777" w:rsidR="00FF69B1" w:rsidRDefault="00000000" w:rsidP="0034461A">
      <w:pPr>
        <w:spacing w:after="40"/>
        <w:ind w:left="216" w:hanging="216"/>
      </w:pPr>
      <w:r>
        <w:rPr>
          <w:sz w:val="16"/>
        </w:rPr>
        <w:t xml:space="preserve">[18] S. Muralee, I. Koishybayev, A. </w:t>
      </w:r>
      <w:proofErr w:type="spellStart"/>
      <w:r>
        <w:rPr>
          <w:sz w:val="16"/>
        </w:rPr>
        <w:t>Nahapetyan</w:t>
      </w:r>
      <w:proofErr w:type="spellEnd"/>
      <w:r>
        <w:rPr>
          <w:sz w:val="16"/>
        </w:rPr>
        <w:t xml:space="preserve">, G. Tystahl, B. Reaves, A. Bianchi, W. Enck, A. </w:t>
      </w:r>
      <w:proofErr w:type="spellStart"/>
      <w:r>
        <w:rPr>
          <w:sz w:val="16"/>
        </w:rPr>
        <w:t>Kapravelos</w:t>
      </w:r>
      <w:proofErr w:type="spellEnd"/>
      <w:r>
        <w:rPr>
          <w:sz w:val="16"/>
        </w:rPr>
        <w:t xml:space="preserve">, and A. </w:t>
      </w:r>
      <w:proofErr w:type="spellStart"/>
      <w:r>
        <w:rPr>
          <w:sz w:val="16"/>
        </w:rPr>
        <w:t>Machiry</w:t>
      </w:r>
      <w:proofErr w:type="spellEnd"/>
      <w:r>
        <w:rPr>
          <w:sz w:val="16"/>
        </w:rPr>
        <w:t>, “ARGUS: A Framework for Staged Static Taint Analysis of GitHub Workflows and Actions,” in Proc. 32nd USENIX Security Symp., 2023, pp. 6983–7000.</w:t>
      </w:r>
    </w:p>
    <w:p w14:paraId="3ECD4CFE" w14:textId="77777777" w:rsidR="00FF69B1" w:rsidRDefault="00000000" w:rsidP="0034461A">
      <w:pPr>
        <w:spacing w:after="40"/>
        <w:ind w:left="216" w:hanging="216"/>
      </w:pPr>
      <w:r>
        <w:rPr>
          <w:sz w:val="16"/>
        </w:rPr>
        <w:t>[19] M. Fares, Y. Gamage, and B. Baudry, “Unpacking Security Scanners for GitHub Actions Workflows,” arXiv:2601.14455v2, 2026, doi:10.48550/arXiv.2601.14455.</w:t>
      </w:r>
    </w:p>
    <w:p w14:paraId="650F794C" w14:textId="77777777" w:rsidR="00FF69B1" w:rsidRDefault="00000000" w:rsidP="0034461A">
      <w:pPr>
        <w:spacing w:after="40"/>
        <w:ind w:left="216" w:hanging="216"/>
      </w:pPr>
      <w:r>
        <w:rPr>
          <w:sz w:val="16"/>
        </w:rPr>
        <w:t xml:space="preserve">[20] M. </w:t>
      </w:r>
      <w:proofErr w:type="spellStart"/>
      <w:r>
        <w:rPr>
          <w:sz w:val="16"/>
        </w:rPr>
        <w:t>Ojdanic</w:t>
      </w:r>
      <w:proofErr w:type="spellEnd"/>
      <w:r>
        <w:rPr>
          <w:sz w:val="16"/>
        </w:rPr>
        <w:t xml:space="preserve">, A. Garg, A. </w:t>
      </w:r>
      <w:proofErr w:type="spellStart"/>
      <w:r>
        <w:rPr>
          <w:sz w:val="16"/>
        </w:rPr>
        <w:t>Khanfir</w:t>
      </w:r>
      <w:proofErr w:type="spellEnd"/>
      <w:r>
        <w:rPr>
          <w:sz w:val="16"/>
        </w:rPr>
        <w:t xml:space="preserve">, R. Degiovanni, M. Papadakis, and Y. Le </w:t>
      </w:r>
      <w:proofErr w:type="spellStart"/>
      <w:r>
        <w:rPr>
          <w:sz w:val="16"/>
        </w:rPr>
        <w:t>Traon</w:t>
      </w:r>
      <w:proofErr w:type="spellEnd"/>
      <w:r>
        <w:rPr>
          <w:sz w:val="16"/>
        </w:rPr>
        <w:t xml:space="preserve">, “Syntactic Versus Semantic Similarity of Artificial and Real Faults in Mutation Testing Studies,” IEEE Trans. </w:t>
      </w:r>
      <w:proofErr w:type="spellStart"/>
      <w:r>
        <w:rPr>
          <w:sz w:val="16"/>
        </w:rPr>
        <w:t>Softw</w:t>
      </w:r>
      <w:proofErr w:type="spellEnd"/>
      <w:r>
        <w:rPr>
          <w:sz w:val="16"/>
        </w:rPr>
        <w:t>. Eng., vol. 49, no. 7, pp. 3922–3938, 2023, doi:10.1109/TSE.2023.3277564.</w:t>
      </w:r>
    </w:p>
    <w:p w14:paraId="1DAD4E53" w14:textId="77777777" w:rsidR="00FF69B1" w:rsidRDefault="00000000" w:rsidP="0034461A">
      <w:pPr>
        <w:spacing w:after="40"/>
        <w:ind w:left="216" w:hanging="216"/>
      </w:pPr>
      <w:r>
        <w:rPr>
          <w:sz w:val="16"/>
        </w:rPr>
        <w:t xml:space="preserve">[21] H. Du, V. K. Palepu, and J. A. Jones, “Ripples of a Mutation — An Empirical Study of Propagation Effects in Mutation Testing,” in Proc. IEEE/ACM 46th Int. Conf. </w:t>
      </w:r>
      <w:proofErr w:type="spellStart"/>
      <w:r>
        <w:rPr>
          <w:sz w:val="16"/>
        </w:rPr>
        <w:t>Softw</w:t>
      </w:r>
      <w:proofErr w:type="spellEnd"/>
      <w:r>
        <w:rPr>
          <w:sz w:val="16"/>
        </w:rPr>
        <w:t>. Eng. (ICSE), 2024, 13 pp., doi:10.1145/3597503.3639179.</w:t>
      </w:r>
    </w:p>
    <w:p w14:paraId="1CA28758" w14:textId="77777777" w:rsidR="00FF69B1" w:rsidRDefault="00000000" w:rsidP="0034461A">
      <w:pPr>
        <w:spacing w:after="40"/>
        <w:ind w:left="216" w:hanging="216"/>
      </w:pPr>
      <w:r>
        <w:rPr>
          <w:sz w:val="16"/>
        </w:rPr>
        <w:t xml:space="preserve">[22] K. </w:t>
      </w:r>
      <w:proofErr w:type="spellStart"/>
      <w:r>
        <w:rPr>
          <w:sz w:val="16"/>
        </w:rPr>
        <w:t>Androutsopoulos</w:t>
      </w:r>
      <w:proofErr w:type="spellEnd"/>
      <w:r>
        <w:rPr>
          <w:sz w:val="16"/>
        </w:rPr>
        <w:t xml:space="preserve">, D. Clark, H. Dan, R. M. </w:t>
      </w:r>
      <w:proofErr w:type="spellStart"/>
      <w:r>
        <w:rPr>
          <w:sz w:val="16"/>
        </w:rPr>
        <w:t>Hierons</w:t>
      </w:r>
      <w:proofErr w:type="spellEnd"/>
      <w:r>
        <w:rPr>
          <w:sz w:val="16"/>
        </w:rPr>
        <w:t xml:space="preserve">, and M. Harman, “An Analysis of the Relationship Between Conditional Entropy and Failed Error Propagation in Software Testing,” in Proc. 36th Int. Conf. </w:t>
      </w:r>
      <w:proofErr w:type="spellStart"/>
      <w:r>
        <w:rPr>
          <w:sz w:val="16"/>
        </w:rPr>
        <w:t>Softw</w:t>
      </w:r>
      <w:proofErr w:type="spellEnd"/>
      <w:r>
        <w:rPr>
          <w:sz w:val="16"/>
        </w:rPr>
        <w:t>. Eng. (ICSE), 2014, pp. 573–583, doi:10.1145/2568225.2568314.</w:t>
      </w:r>
    </w:p>
    <w:p w14:paraId="222EEF7F" w14:textId="77777777" w:rsidR="00FF69B1" w:rsidRDefault="00000000" w:rsidP="0034461A">
      <w:pPr>
        <w:spacing w:after="40"/>
        <w:ind w:left="216" w:hanging="216"/>
      </w:pPr>
      <w:r>
        <w:rPr>
          <w:sz w:val="16"/>
        </w:rPr>
        <w:t>[23] S. Torres</w:t>
      </w:r>
      <w:r w:rsidR="00FD5697">
        <w:rPr>
          <w:sz w:val="16"/>
        </w:rPr>
        <w:t>-</w:t>
      </w:r>
      <w:r>
        <w:rPr>
          <w:sz w:val="16"/>
        </w:rPr>
        <w:t xml:space="preserve">Arias, H. Afzali, T. K. Kuppusamy, R. </w:t>
      </w:r>
      <w:proofErr w:type="spellStart"/>
      <w:r>
        <w:rPr>
          <w:sz w:val="16"/>
        </w:rPr>
        <w:t>Curtmola</w:t>
      </w:r>
      <w:proofErr w:type="spellEnd"/>
      <w:r>
        <w:rPr>
          <w:sz w:val="16"/>
        </w:rPr>
        <w:t>, and J. Cappos, “in</w:t>
      </w:r>
      <w:r w:rsidR="00FD5697">
        <w:rPr>
          <w:sz w:val="16"/>
        </w:rPr>
        <w:t>-</w:t>
      </w:r>
      <w:r>
        <w:rPr>
          <w:sz w:val="16"/>
        </w:rPr>
        <w:t>toto: Providing Farm</w:t>
      </w:r>
      <w:r w:rsidR="00FD5697">
        <w:rPr>
          <w:sz w:val="16"/>
        </w:rPr>
        <w:t>-</w:t>
      </w:r>
      <w:r>
        <w:rPr>
          <w:sz w:val="16"/>
        </w:rPr>
        <w:t>to</w:t>
      </w:r>
      <w:r w:rsidR="00FD5697">
        <w:rPr>
          <w:sz w:val="16"/>
        </w:rPr>
        <w:t>-</w:t>
      </w:r>
      <w:r>
        <w:rPr>
          <w:sz w:val="16"/>
        </w:rPr>
        <w:t>Table Guarantees for Bits and Bytes,” in Proc. 28th USENIX Security Symp., 2019, pp. 1393–1410.</w:t>
      </w:r>
    </w:p>
    <w:p w14:paraId="7DA69B46" w14:textId="77777777" w:rsidR="007E5B84" w:rsidRDefault="00000000">
      <w:pPr>
        <w:spacing w:after="40"/>
        <w:ind w:left="216" w:hanging="216"/>
      </w:pPr>
      <w:r>
        <w:rPr>
          <w:sz w:val="16"/>
        </w:rPr>
        <w:t>[24] S. X. Sun, J. L. Zhao, J. F. Nunamaker, and O. R. Liu Sheng, “Formulating the Data-Flow Perspective for Business Process Management,” Information Systems Research, vol. 17, no. 4, pp. 374–391, 2006, doi:10.1287/isre.1060.0105.</w:t>
      </w:r>
    </w:p>
    <w:p w14:paraId="7B9FB8D9" w14:textId="77777777" w:rsidR="007E5B84" w:rsidRDefault="00000000">
      <w:pPr>
        <w:spacing w:after="40"/>
        <w:ind w:left="216" w:hanging="216"/>
      </w:pPr>
      <w:r>
        <w:rPr>
          <w:sz w:val="16"/>
        </w:rPr>
        <w:t xml:space="preserve">[25] C.-H. Wang and F.-J. Wang, “Detecting Artifact Anomalies in Business Process Specifications with a Formal Model,” Journal of Systems and Software, vol. 82, no. 10, pp. 1600–1619, 2009, </w:t>
      </w:r>
      <w:proofErr w:type="gramStart"/>
      <w:r>
        <w:rPr>
          <w:sz w:val="16"/>
        </w:rPr>
        <w:t>doi:10.1016/j.jss</w:t>
      </w:r>
      <w:proofErr w:type="gramEnd"/>
      <w:r>
        <w:rPr>
          <w:sz w:val="16"/>
        </w:rPr>
        <w:t>.2009.03.077.</w:t>
      </w:r>
    </w:p>
    <w:p w14:paraId="398356BE" w14:textId="77777777" w:rsidR="007E5B84" w:rsidRDefault="00000000">
      <w:pPr>
        <w:spacing w:after="40"/>
        <w:ind w:left="216" w:hanging="216"/>
      </w:pPr>
      <w:r>
        <w:rPr>
          <w:sz w:val="16"/>
        </w:rPr>
        <w:t xml:space="preserve">[26] N. </w:t>
      </w:r>
      <w:proofErr w:type="spellStart"/>
      <w:r>
        <w:rPr>
          <w:sz w:val="16"/>
        </w:rPr>
        <w:t>Trčka</w:t>
      </w:r>
      <w:proofErr w:type="spellEnd"/>
      <w:r>
        <w:rPr>
          <w:sz w:val="16"/>
        </w:rPr>
        <w:t>, W. M. P. van der Aalst, and N. Sidorova, “Data-Flow Anti-Patterns: Discovering Dataflow Errors in Workflows,” in Advanced Information Systems Engineering, LNCS 5565, 2009, pp. 425–439.</w:t>
      </w:r>
    </w:p>
    <w:p w14:paraId="7EA37EE0" w14:textId="77777777" w:rsidR="007E5B84" w:rsidRDefault="00000000">
      <w:pPr>
        <w:spacing w:after="40"/>
        <w:ind w:left="216" w:hanging="216"/>
      </w:pPr>
      <w:r>
        <w:rPr>
          <w:sz w:val="16"/>
        </w:rPr>
        <w:t xml:space="preserve">[27] M. Santolucito, J. Zhang, E. Zhai, and R. </w:t>
      </w:r>
      <w:proofErr w:type="spellStart"/>
      <w:r>
        <w:rPr>
          <w:sz w:val="16"/>
        </w:rPr>
        <w:t>Piskac</w:t>
      </w:r>
      <w:proofErr w:type="spellEnd"/>
      <w:r>
        <w:rPr>
          <w:sz w:val="16"/>
        </w:rPr>
        <w:t>, “Statically Verifying Continuous Integration Configurations,” arXiv:1805.04473, 2018, doi:10.48550/arXiv.1805.04473.</w:t>
      </w:r>
    </w:p>
    <w:p w14:paraId="61475EFE" w14:textId="77777777" w:rsidR="007E5B84" w:rsidRDefault="00000000">
      <w:pPr>
        <w:spacing w:after="40"/>
        <w:ind w:left="216" w:hanging="216"/>
      </w:pPr>
      <w:r>
        <w:rPr>
          <w:sz w:val="16"/>
        </w:rPr>
        <w:t xml:space="preserve">[28] K. </w:t>
      </w:r>
      <w:proofErr w:type="spellStart"/>
      <w:r>
        <w:rPr>
          <w:sz w:val="16"/>
        </w:rPr>
        <w:t>Gallaba</w:t>
      </w:r>
      <w:proofErr w:type="spellEnd"/>
      <w:r>
        <w:rPr>
          <w:sz w:val="16"/>
        </w:rPr>
        <w:t xml:space="preserve"> and S. McIntosh, “Use and Misuse of Continuous Integration Features: An Empirical Study of Projects That (Mis)Use Travis CI,” IEEE Trans. </w:t>
      </w:r>
      <w:proofErr w:type="spellStart"/>
      <w:r>
        <w:rPr>
          <w:sz w:val="16"/>
        </w:rPr>
        <w:t>Softw</w:t>
      </w:r>
      <w:proofErr w:type="spellEnd"/>
      <w:r>
        <w:rPr>
          <w:sz w:val="16"/>
        </w:rPr>
        <w:t>. Eng., vol. 46, no. 1, pp. 33–50, 2020, doi:10.1109/TSE.2018.2838131.</w:t>
      </w:r>
    </w:p>
    <w:p w14:paraId="0A142DCA" w14:textId="77777777" w:rsidR="007E5B84" w:rsidRDefault="00000000">
      <w:pPr>
        <w:spacing w:after="40"/>
        <w:ind w:left="216" w:hanging="216"/>
      </w:pPr>
      <w:r>
        <w:rPr>
          <w:sz w:val="16"/>
        </w:rPr>
        <w:t xml:space="preserve">[29] C. Vassallo, S. Proksch, A. </w:t>
      </w:r>
      <w:proofErr w:type="spellStart"/>
      <w:r>
        <w:rPr>
          <w:sz w:val="16"/>
        </w:rPr>
        <w:t>Jancso</w:t>
      </w:r>
      <w:proofErr w:type="spellEnd"/>
      <w:r>
        <w:rPr>
          <w:sz w:val="16"/>
        </w:rPr>
        <w:t xml:space="preserve">, H. C. Gall, and M. </w:t>
      </w:r>
      <w:proofErr w:type="gramStart"/>
      <w:r>
        <w:rPr>
          <w:sz w:val="16"/>
        </w:rPr>
        <w:t>Di</w:t>
      </w:r>
      <w:proofErr w:type="gramEnd"/>
      <w:r>
        <w:rPr>
          <w:sz w:val="16"/>
        </w:rPr>
        <w:t xml:space="preserve"> Penta, “Configuration Smells in Continuous Delivery Pipelines: A Linter and a Six-Month Study on GitLab,” in Proc. 28th ACM Joint Meeting Eur. </w:t>
      </w:r>
      <w:proofErr w:type="spellStart"/>
      <w:r>
        <w:rPr>
          <w:sz w:val="16"/>
        </w:rPr>
        <w:t>Softw</w:t>
      </w:r>
      <w:proofErr w:type="spellEnd"/>
      <w:r>
        <w:rPr>
          <w:sz w:val="16"/>
        </w:rPr>
        <w:t xml:space="preserve">. Eng. Conf. Symp. Found. </w:t>
      </w:r>
      <w:proofErr w:type="spellStart"/>
      <w:r>
        <w:rPr>
          <w:sz w:val="16"/>
        </w:rPr>
        <w:t>Softw</w:t>
      </w:r>
      <w:proofErr w:type="spellEnd"/>
      <w:r>
        <w:rPr>
          <w:sz w:val="16"/>
        </w:rPr>
        <w:t>. Eng. (ESEC/FSE), 2020, pp. 327–337, doi:10.1145/3368089.3409709.</w:t>
      </w:r>
    </w:p>
    <w:p w14:paraId="432D46FE" w14:textId="77777777" w:rsidR="007E5B84" w:rsidRDefault="00000000">
      <w:pPr>
        <w:spacing w:after="40"/>
        <w:ind w:left="216" w:hanging="216"/>
      </w:pPr>
      <w:r>
        <w:rPr>
          <w:sz w:val="16"/>
        </w:rPr>
        <w:t>[30] A. Rahman, S. Elder, F. H. Shezan, V. Frost, J. Stallings, and L. Williams, “Bugs in Infrastructure as Code,” arXiv:1809.07937, 2018, doi:10.48550/arXiv.1809.07937.</w:t>
      </w:r>
    </w:p>
    <w:p w14:paraId="3B096959" w14:textId="77777777" w:rsidR="007E5B84" w:rsidRDefault="00000000">
      <w:pPr>
        <w:spacing w:after="40"/>
        <w:ind w:left="216" w:hanging="216"/>
      </w:pPr>
      <w:r>
        <w:t xml:space="preserve">[31] Apache Airflow, “publish-docs-to-s3 fails on tags cut before #66100,” GitHub issue #66436 and related pull request #66438, May 2026, accessed Aug. 12, 2026, </w:t>
      </w:r>
      <w:r>
        <w:lastRenderedPageBreak/>
        <w:t>https://github.com/apache/airflow/issues/66436; https://github.com/apache/airflow/pull/66438.</w:t>
      </w:r>
    </w:p>
    <w:p w14:paraId="731B4476" w14:textId="77777777" w:rsidR="007E5B84" w:rsidRDefault="00000000">
      <w:pPr>
        <w:spacing w:after="40"/>
        <w:ind w:left="216" w:hanging="216"/>
      </w:pPr>
      <w:r>
        <w:t xml:space="preserve">[32] </w:t>
      </w:r>
      <w:proofErr w:type="spellStart"/>
      <w:r>
        <w:t>FastAPI</w:t>
      </w:r>
      <w:proofErr w:type="spellEnd"/>
      <w:r>
        <w:t>, “Allow skipping benchmark job in test workflow,” GitHub pull request #14974, Feb. 23, 2026, accessed Aug. 12, 2026, https://github.com/fastapi/fastapi/pull/14974.</w:t>
      </w:r>
    </w:p>
    <w:p w14:paraId="781E477E" w14:textId="77777777" w:rsidR="007E5B84" w:rsidRDefault="00000000">
      <w:pPr>
        <w:spacing w:after="40"/>
        <w:ind w:left="216" w:hanging="216"/>
      </w:pPr>
      <w:r>
        <w:t xml:space="preserve">[33] </w:t>
      </w:r>
      <w:proofErr w:type="spellStart"/>
      <w:r>
        <w:t>succinctlabs</w:t>
      </w:r>
      <w:proofErr w:type="spellEnd"/>
      <w:r>
        <w:t xml:space="preserve">/op-succinct, “fix(ci): unblock book deploy-pages by overriding transitive skip” and “fix(ci): use </w:t>
      </w:r>
      <w:proofErr w:type="gramStart"/>
      <w:r>
        <w:t>always(</w:t>
      </w:r>
      <w:proofErr w:type="gramEnd"/>
      <w:r>
        <w:t>) + explicit needs result checks for deploy-pages,” GitHub pull requests #909 and #910, May 12, 2026, accessed Aug. 12, 2026, https://github.com/succinctlabs/op-succinct/pull/909; https://github.com/succinctlabs/op-succinct/pull/910.</w:t>
      </w:r>
    </w:p>
    <w:p w14:paraId="3CA9AAE1" w14:textId="77777777" w:rsidR="007E5B84" w:rsidRDefault="00000000">
      <w:pPr>
        <w:spacing w:after="40"/>
        <w:ind w:left="216" w:hanging="216"/>
      </w:pPr>
      <w:r>
        <w:t xml:space="preserve">[34] </w:t>
      </w:r>
      <w:proofErr w:type="spellStart"/>
      <w:r>
        <w:t>succinctlabs</w:t>
      </w:r>
      <w:proofErr w:type="spellEnd"/>
      <w:r>
        <w:t>/op-succinct, “fix(ci): report all required check names on PRs to unblock merge queue,” GitHub pull request #885, Apr. 21, 2026, accessed Aug. 12, 2026, https://github.com/succinctlabs/op-succinct/pull/885.</w:t>
      </w:r>
    </w:p>
    <w:p w14:paraId="540D4830" w14:textId="77777777" w:rsidR="007E5B84" w:rsidRDefault="00000000">
      <w:pPr>
        <w:spacing w:after="40"/>
        <w:ind w:left="216" w:hanging="216"/>
      </w:pPr>
      <w:r>
        <w:t xml:space="preserve">[35] </w:t>
      </w:r>
      <w:proofErr w:type="spellStart"/>
      <w:r>
        <w:t>Pydantic</w:t>
      </w:r>
      <w:proofErr w:type="spellEnd"/>
      <w:r>
        <w:t>, “Update v1 fixes ci to only deploy docs on release,” GitHub pull request #7740, Oct. 9, 2023, accessed Aug. 12, 2026, https://github.com/pydantic/pydantic/pull/7740.</w:t>
      </w:r>
    </w:p>
    <w:p w14:paraId="1C973A19" w14:textId="77777777" w:rsidR="007E5B84" w:rsidRDefault="00000000">
      <w:pPr>
        <w:spacing w:after="40"/>
        <w:ind w:left="216" w:hanging="216"/>
      </w:pPr>
      <w:r>
        <w:t xml:space="preserve">[36] P. Rostami Mazrae, A. Decan, T. </w:t>
      </w:r>
      <w:proofErr w:type="spellStart"/>
      <w:r>
        <w:t>Mens</w:t>
      </w:r>
      <w:proofErr w:type="spellEnd"/>
      <w:r>
        <w:t xml:space="preserve">, and M. Wessel, “An Empirical Study of the Evolution of GitHub Actions Workflows,” Journal of Systems and Software, vol. 236, Art. 112824, 2026, </w:t>
      </w:r>
      <w:proofErr w:type="gramStart"/>
      <w:r>
        <w:t>doi:10.1016/j.jss</w:t>
      </w:r>
      <w:proofErr w:type="gramEnd"/>
      <w:r>
        <w:t>.2026.112824.</w:t>
      </w:r>
    </w:p>
    <w:p w14:paraId="709C90B2" w14:textId="77777777" w:rsidR="007E5B84" w:rsidRDefault="00000000">
      <w:pPr>
        <w:spacing w:after="40"/>
        <w:ind w:left="216" w:hanging="216"/>
      </w:pPr>
      <w:r>
        <w:t xml:space="preserve">[37] A. </w:t>
      </w:r>
      <w:proofErr w:type="spellStart"/>
      <w:r>
        <w:t>Talebzadeh</w:t>
      </w:r>
      <w:proofErr w:type="spellEnd"/>
      <w:r>
        <w:t xml:space="preserve"> Bardsiri, A. Decan, and T. </w:t>
      </w:r>
      <w:proofErr w:type="spellStart"/>
      <w:r>
        <w:t>Mens</w:t>
      </w:r>
      <w:proofErr w:type="spellEnd"/>
      <w:r>
        <w:t>, “On the GitHub Actions Language: Usage, Evolution, and Workflow Reliability,” in Proc. 42nd IEEE Int. Conf. Software Maintenance and Evolution (ICSME), 2026; preprint arXiv:2605.26825, doi:10.48550/arXiv.2605.26825.</w:t>
      </w:r>
    </w:p>
    <w:p w14:paraId="4167DEAC" w14:textId="77777777" w:rsidR="007E5B84" w:rsidRDefault="00000000">
      <w:pPr>
        <w:spacing w:after="40"/>
        <w:ind w:left="216" w:hanging="216"/>
      </w:pPr>
      <w:r>
        <w:t>[38] A. Khatami, C. Brandt, and A. Zaidman, “Beyond the YAML File: Understanding Real-World GitHub Actions Workflow Adoption,” in Proc. 30th Int. Conf. Evaluation and Assessment in Software Engineering (EASE), 2026; preprint arXiv:2604.17662, doi:10.48550/arXiv.2604.17662.</w:t>
      </w:r>
    </w:p>
    <w:p w14:paraId="48D63670" w14:textId="77777777" w:rsidR="007E5B84" w:rsidRDefault="00000000">
      <w:pPr>
        <w:spacing w:after="40"/>
        <w:ind w:left="216" w:hanging="216"/>
      </w:pPr>
      <w:r>
        <w:t xml:space="preserve">[39] E. </w:t>
      </w:r>
      <w:proofErr w:type="spellStart"/>
      <w:r>
        <w:t>Abrokwah</w:t>
      </w:r>
      <w:proofErr w:type="spellEnd"/>
      <w:r>
        <w:t xml:space="preserve"> and T. A. Ghaleb, “How Compliant Are GitHub Actions Workflows? A Checklist-Based Study with LLM-Assisted Auditing,” in Proc. 30th Int. Conf. Evaluation and Assessment in Software Engineering (EASE), 2026; preprint arXiv:2605.02091, doi:10.48550/arXiv.2605.02091.</w:t>
      </w:r>
    </w:p>
    <w:p w14:paraId="5CF34B3D" w14:textId="77777777" w:rsidR="007E5B84" w:rsidRDefault="00000000">
      <w:pPr>
        <w:spacing w:after="40"/>
        <w:ind w:left="216" w:hanging="216"/>
      </w:pPr>
      <w:r>
        <w:t xml:space="preserve">[40] P. Rostami Mazrae, A. Decan, and T. </w:t>
      </w:r>
      <w:proofErr w:type="spellStart"/>
      <w:r>
        <w:t>Mens</w:t>
      </w:r>
      <w:proofErr w:type="spellEnd"/>
      <w:r>
        <w:t>, “gawd: A Differencing Tool for GitHub Actions Workflows,” in Proc. 21st Int. Conf. Mining Software Repositories (MSR), Data and Tool Showcase Track, 2024, p. 682, doi:10.1145/3643991.3644873.</w:t>
      </w:r>
    </w:p>
    <w:p w14:paraId="7C9A5A38" w14:textId="77777777" w:rsidR="007E5B84" w:rsidRDefault="00000000">
      <w:r>
        <w:t xml:space="preserve">[41] </w:t>
      </w:r>
      <w:proofErr w:type="spellStart"/>
      <w:r>
        <w:t>github</w:t>
      </w:r>
      <w:proofErr w:type="spellEnd"/>
      <w:r>
        <w:t>/</w:t>
      </w:r>
      <w:proofErr w:type="spellStart"/>
      <w:r>
        <w:t>gh</w:t>
      </w:r>
      <w:proofErr w:type="spellEnd"/>
      <w:r>
        <w:t xml:space="preserve">-aw, “Upload activation artifact step missing include-hidden-files: true — silently </w:t>
      </w:r>
      <w:proofErr w:type="gramStart"/>
      <w:r>
        <w:t>drops .</w:t>
      </w:r>
      <w:proofErr w:type="spellStart"/>
      <w:r>
        <w:t>claude</w:t>
      </w:r>
      <w:proofErr w:type="spellEnd"/>
      <w:r>
        <w:t>/.</w:t>
      </w:r>
      <w:proofErr w:type="spellStart"/>
      <w:r>
        <w:t>github</w:t>
      </w:r>
      <w:proofErr w:type="spellEnd"/>
      <w:proofErr w:type="gramEnd"/>
      <w:r>
        <w:t xml:space="preserve"> from activation snapshot,” GitHub issue #29499 and fix pull request #29510, May 2026, accessed Aug. 13, 2026, https://github.com/github/gh-aw/issues/29499; https://github.com/github/gh-aw/pull/29510.</w:t>
      </w:r>
    </w:p>
    <w:p w14:paraId="4884083C" w14:textId="77777777" w:rsidR="007E5B84" w:rsidRDefault="00000000">
      <w:pPr>
        <w:keepNext/>
        <w:spacing w:before="240"/>
      </w:pPr>
      <w:r>
        <w:rPr>
          <w:rFonts w:ascii="Helvetica" w:eastAsia="Helvetica" w:hAnsi="Helvetica"/>
          <w:b/>
          <w:color w:val="00629B"/>
          <w:sz w:val="18"/>
        </w:rPr>
        <w:t>TANYA SRIVASTAVA</w:t>
      </w:r>
    </w:p>
    <w:p w14:paraId="0C3CC33C" w14:textId="77777777" w:rsidR="007E5B84" w:rsidRDefault="00000000">
      <w:r>
        <w:rPr>
          <w:sz w:val="16"/>
        </w:rPr>
        <w:t>Tanya Srivastava received the B.Tech. degree in electronics and communication engineering from Uttar Pradesh Technical University, India, and the M.S. degree in electrical engineering from the University of Missouri, Columbia, MO, USA, in 2018. She is a Senior GPU Engineer based in San Diego, CA, USA. Her research interests include GPU infrastructure, embedded systems, continuous-integration reliability, validation automation, and software engineering for heterogeneous computing.</w:t>
      </w:r>
    </w:p>
    <w:sectPr w:rsidR="007E5B84" w:rsidSect="00D37DB5">
      <w:headerReference w:type="default" r:id="rId14"/>
      <w:footerReference w:type="default" r:id="rId15"/>
      <w:footerReference w:type="first" r:id="rId16"/>
      <w:pgSz w:w="11520" w:h="15660"/>
      <w:pgMar w:top="1300" w:right="740" w:bottom="1040" w:left="740" w:header="360" w:footer="360" w:gutter="0"/>
      <w:cols w:space="400" w:num="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0F89C" w14:textId="77777777" w:rsidR="001C25CA" w:rsidRDefault="001C25CA">
      <w:r>
        <w:separator/>
      </w:r>
    </w:p>
  </w:endnote>
  <w:endnote w:type="continuationSeparator" w:id="0">
    <w:p w14:paraId="6572F385" w14:textId="77777777" w:rsidR="001C25CA" w:rsidRDefault="001C2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83128" w14:textId="435C4C9D" w:rsidR="00FF69B1" w:rsidRDefault="00000000">
    <w:pPr>
      <w:pStyle w:val="Footer"/>
      <w:jc w:val="right"/>
    </w:pPr>
    <w:r>
      <w:rPr>
        <w:rFonts w:ascii="Helvetica" w:eastAsia="Helvetica" w:hAnsi="Helvetica"/>
        <w:sz w:val="16"/>
      </w:rPr>
      <w:fldChar w:fldCharType="begin"/>
    </w:r>
    <w:r>
      <w:rPr>
        <w:rFonts w:ascii="Helvetica" w:eastAsia="Helvetica" w:hAnsi="Helvetica"/>
        <w:sz w:val="16"/>
      </w:rPr>
      <w:instrText xml:space="preserve"> PAGE </w:instrText>
    </w:r>
    <w:r w:rsidR="00F55F26">
      <w:rPr>
        <w:rFonts w:ascii="Helvetica" w:eastAsia="Helvetica" w:hAnsi="Helvetica"/>
        <w:sz w:val="16"/>
      </w:rPr>
      <w:fldChar w:fldCharType="separate"/>
    </w:r>
    <w:r w:rsidR="00F55F26">
      <w:rPr>
        <w:rFonts w:ascii="Helvetica" w:eastAsia="Helvetica" w:hAnsi="Helvetica"/>
        <w:noProof/>
        <w:sz w:val="16"/>
      </w:rPr>
      <w:t>17</w:t>
    </w:r>
    <w:r>
      <w:rPr>
        <w:rFonts w:ascii="Helvetica" w:eastAsia="Helvetica" w:hAnsi="Helvetica"/>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BDB8" w14:textId="77777777" w:rsidR="007E5B84" w:rsidRDefault="00000000">
    <w:pPr>
      <w:pStyle w:val="Footer"/>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61F29" w14:textId="77777777" w:rsidR="001C25CA" w:rsidRDefault="001C25CA">
      <w:r>
        <w:separator/>
      </w:r>
    </w:p>
  </w:footnote>
  <w:footnote w:type="continuationSeparator" w:id="0">
    <w:p w14:paraId="2E7D4F63" w14:textId="77777777" w:rsidR="001C25CA" w:rsidRDefault="001C2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5CA5" w14:textId="77777777" w:rsidR="007E5B84" w:rsidRDefault="00000000">
    <w:pPr>
      <w:pStyle w:val="Header"/>
      <w:pBdr>
        <w:bottom w:val="single" w:sz="4" w:space="2" w:color="666666"/>
      </w:pBdr>
      <w:jc w:val="right"/>
    </w:pPr>
    <w:r>
      <w:rPr>
        <w:noProof/>
      </w:rPr>
      <w:drawing>
        <wp:inline distT="0" distB="0" distL="0" distR="0" wp14:anchorId="79A776B0" wp14:editId="2881305B">
          <wp:extent cx="1325880" cy="332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325880" cy="33233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D3CF" w14:textId="77777777" w:rsidR="007E5B84" w:rsidRDefault="00000000">
    <w:pPr>
      <w:pStyle w:val="Header"/>
      <w:pBdr>
        <w:bottom w:val="single" w:sz="4" w:space="2" w:color="666666"/>
      </w:pBdr>
      <w:jc w:val="right"/>
    </w:pPr>
    <w:r>
      <w:rPr>
        <w:noProof/>
      </w:rPr>
      <w:drawing>
        <wp:inline distT="0" distB="0" distL="0" distR="0" wp14:anchorId="7F28D49E" wp14:editId="5C71AF20">
          <wp:extent cx="1325880" cy="332335"/>
          <wp:effectExtent l="0" t="0" r="0" b="0"/>
          <wp:docPr id="464578175" name="Picture 46457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325880" cy="33233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BC00" w14:textId="77777777" w:rsidR="007E5B84" w:rsidRDefault="00000000">
    <w:pPr>
      <w:pStyle w:val="Header"/>
      <w:pBdr>
        <w:bottom w:val="single" w:sz="4" w:space="2" w:color="666666"/>
      </w:pBdr>
      <w:jc w:val="right"/>
    </w:pPr>
    <w:r>
      <w:rPr>
        <w:noProof/>
      </w:rPr>
      <w:drawing>
        <wp:inline distT="0" distB="0" distL="0" distR="0" wp14:anchorId="1058570A" wp14:editId="280FCA24">
          <wp:extent cx="1325880" cy="332335"/>
          <wp:effectExtent l="0" t="0" r="0" b="0"/>
          <wp:docPr id="1786646016" name="Picture 178664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access_logo.png"/>
                  <pic:cNvPicPr/>
                </pic:nvPicPr>
                <pic:blipFill>
                  <a:blip r:embed="rId1"/>
                  <a:stretch>
                    <a:fillRect/>
                  </a:stretch>
                </pic:blipFill>
                <pic:spPr>
                  <a:xfrm>
                    <a:off x="0" y="0"/>
                    <a:ext cx="1325880" cy="3323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999462">
    <w:abstractNumId w:val="8"/>
  </w:num>
  <w:num w:numId="2" w16cid:durableId="1315602031">
    <w:abstractNumId w:val="6"/>
  </w:num>
  <w:num w:numId="3" w16cid:durableId="125590399">
    <w:abstractNumId w:val="5"/>
  </w:num>
  <w:num w:numId="4" w16cid:durableId="162428465">
    <w:abstractNumId w:val="4"/>
  </w:num>
  <w:num w:numId="5" w16cid:durableId="1003969065">
    <w:abstractNumId w:val="7"/>
  </w:num>
  <w:num w:numId="6" w16cid:durableId="611980091">
    <w:abstractNumId w:val="3"/>
  </w:num>
  <w:num w:numId="7" w16cid:durableId="928274206">
    <w:abstractNumId w:val="2"/>
  </w:num>
  <w:num w:numId="8" w16cid:durableId="390691646">
    <w:abstractNumId w:val="1"/>
  </w:num>
  <w:num w:numId="9" w16cid:durableId="1362972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0FD"/>
    <w:rsid w:val="001B7918"/>
    <w:rsid w:val="001C25CA"/>
    <w:rsid w:val="0026000E"/>
    <w:rsid w:val="0029639D"/>
    <w:rsid w:val="002D56CA"/>
    <w:rsid w:val="00326F90"/>
    <w:rsid w:val="003277EA"/>
    <w:rsid w:val="0034461A"/>
    <w:rsid w:val="00390E68"/>
    <w:rsid w:val="0044322A"/>
    <w:rsid w:val="00472C60"/>
    <w:rsid w:val="00520AE3"/>
    <w:rsid w:val="0056460C"/>
    <w:rsid w:val="00685DC0"/>
    <w:rsid w:val="006D05A6"/>
    <w:rsid w:val="007217D5"/>
    <w:rsid w:val="007B0F00"/>
    <w:rsid w:val="007B530D"/>
    <w:rsid w:val="007E5B84"/>
    <w:rsid w:val="0086713A"/>
    <w:rsid w:val="009B0ADB"/>
    <w:rsid w:val="009C737B"/>
    <w:rsid w:val="009E4F3A"/>
    <w:rsid w:val="00A15325"/>
    <w:rsid w:val="00AA1D8D"/>
    <w:rsid w:val="00AC3A1B"/>
    <w:rsid w:val="00B47730"/>
    <w:rsid w:val="00C528B7"/>
    <w:rsid w:val="00CB0664"/>
    <w:rsid w:val="00CD366C"/>
    <w:rsid w:val="00D06BAF"/>
    <w:rsid w:val="00D37DB5"/>
    <w:rsid w:val="00F23C87"/>
    <w:rsid w:val="00F55F26"/>
    <w:rsid w:val="00FC693F"/>
    <w:rsid w:val="00FD5697"/>
    <w:rsid w:val="00FF69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820A6"/>
  <w14:defaultImageDpi w14:val="300"/>
  <w15:docId w15:val="{F57323CD-1D3E-4914-8A40-E8A3E0B37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smallCaps/>
      <w:color w:val="00629B"/>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i/>
      <w:color w:val="00629B"/>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19"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2927</TotalTime>
  <Pages>17</Pages>
  <Words>9924</Words>
  <Characters>56570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Valid Files, Broken Pipelines: A Mutation-Based Benchmark for Operational-Semantic Error Detection in GitHub Actions Workflows</vt:lpstr>
    </vt:vector>
  </TitlesOfParts>
  <Manager/>
  <Company/>
  <LinksUpToDate>false</LinksUpToDate>
  <CharactersWithSpaces>66362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 Files, Broken Pipelines: A Mutation-Based Benchmark for Operational-Semantic Error Detection in GitHub Actions Workflows</dc:title>
  <dc:subject>engrXiv preprint manuscript on operational-semantic error detection in GitHub Actions workflows</dc:subject>
  <dc:creator>Tanya Srivastava</dc:creator>
  <cp:keywords>GitHub Actions, CI/CD, workflow analysis, mutation testing, operational-semantic errors, static analysis, software engineering, benchmark</cp:keywords>
  <dc:description>Final engrXiv preprint manuscript.</dc:description>
  <cp:lastModifiedBy>TANYA SRIVASTAVA</cp:lastModifiedBy>
  <cp:revision>3</cp:revision>
  <dcterms:created xsi:type="dcterms:W3CDTF">2026-08-15T08:23:00Z</dcterms:created>
  <dcterms:modified xsi:type="dcterms:W3CDTF">2026-08-15T09:08:00Z</dcterms:modified>
  <cp:category/>
</cp:coreProperties>
</file>