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FUSIONDRIVE AI</w:t>
      </w:r>
    </w:p>
    <w:p>
      <w:pPr>
        <w:jc w:val="center"/>
      </w:pPr>
      <w:r>
        <w:rPr>
          <w:b/>
          <w:sz w:val="32"/>
        </w:rPr>
        <w:t>Week 1: Strategic Roadmap for an AI-Powered Driver Assistance System</w:t>
      </w:r>
    </w:p>
    <w:p>
      <w:r>
        <w:t>Document status: Strategic proposal. Budgets, performance indicators, risk scores, and timelines are planning estimates or illustrative calculations unless explicitly identified as measured. No road testing or production validation is claimed.</w:t>
      </w:r>
    </w:p>
    <w:p>
      <w:pPr>
        <w:pStyle w:val="Heading1"/>
      </w:pPr>
      <w:r>
        <w:t>1. Executive Summary</w:t>
      </w:r>
    </w:p>
    <w:p>
      <w:r>
        <w:t>FusionDrive AI is a proposed driver-assistance research prototype that aims to identify traffic participants, estimate developing collision risk, and provide a warning to a driver or an offline dashboard. The roadmap is divided into requirements, data preparation, perception, tracking, risk estimation, simulation, evaluation, and future validation. The project should be developed incrementally, beginning with recorded or simulated data rather than controlling a real vehicle.</w:t>
      </w:r>
    </w:p>
    <w:p>
      <w:r>
        <w:t>The central design principle is to make every claim testable. Instead of describing the system as simply accurate or safe, the project will record object-detection precision and recall, end-to-end processing latency, warning frequency, and performance on difficult scenarios. The initial figures in this roadmap are proposed targets rather than achieved results. A transparent risk example and a preliminary cost estimate are included so that the plan can be assessed and revised as evidence becomes available.</w:t>
      </w:r>
    </w:p>
    <w:p>
      <w:pPr>
        <w:pStyle w:val="Heading1"/>
      </w:pPr>
      <w:r>
        <w:t>2. Problem Definition and Scope</w:t>
      </w:r>
    </w:p>
    <w:p>
      <w:r>
        <w:t>Driving scenes change quickly: vehicles brake, change lanes, pedestrians cross, and visibility can be reduced by darkness or weather. A perception model can miss an object or produce an incorrect detection, and a risk estimator can become unreliable when distance or speed estimates are uncertain. FusionDrive AI is intended to study how perception and risk estimation can be connected into a traceable prototype.</w:t>
      </w:r>
    </w:p>
    <w:p>
      <w:r>
        <w:t>Initial scope: offline video/image analysis, object detection, optional object tracking, a transparent risk-estimation function, and structured output logs. Excluded from scope: autonomous steering, braking, vehicle-network integration, claims of roadworthiness, and unvalidated real-time deployment. Sensor fusion involving radar or LiDAR is a future extension unless those sensors are actually integrated.</w:t>
      </w:r>
    </w:p>
    <w:p>
      <w:pPr>
        <w:pStyle w:val="Heading1"/>
      </w:pPr>
      <w:r>
        <w:t>3. Requirements and Deliverables</w:t>
      </w:r>
    </w:p>
    <w:tbl>
      <w:tblPr>
        <w:tblStyle w:val="TableGrid"/>
        <w:tblW w:type="auto" w:w="0"/>
        <w:tblLook w:firstColumn="1" w:firstRow="1" w:lastColumn="0" w:lastRow="0" w:noHBand="0" w:noVBand="1" w:val="04A0"/>
      </w:tblPr>
      <w:tblGrid>
        <w:gridCol w:w="3264"/>
        <w:gridCol w:w="3264"/>
        <w:gridCol w:w="3264"/>
      </w:tblGrid>
      <w:tr>
        <w:tc>
          <w:tcPr>
            <w:tcW w:type="dxa" w:w="3264"/>
          </w:tcPr>
          <w:p>
            <w:r>
              <w:t>Area</w:t>
            </w:r>
          </w:p>
        </w:tc>
        <w:tc>
          <w:tcPr>
            <w:tcW w:type="dxa" w:w="3264"/>
          </w:tcPr>
          <w:p>
            <w:r>
              <w:t>Requirement</w:t>
            </w:r>
          </w:p>
        </w:tc>
        <w:tc>
          <w:tcPr>
            <w:tcW w:type="dxa" w:w="3264"/>
          </w:tcPr>
          <w:p>
            <w:r>
              <w:t>Evidence / deliverable</w:t>
            </w:r>
          </w:p>
        </w:tc>
      </w:tr>
      <w:tr>
        <w:tc>
          <w:tcPr>
            <w:tcW w:type="dxa" w:w="3264"/>
          </w:tcPr>
          <w:p>
            <w:r>
              <w:t>Perception</w:t>
            </w:r>
          </w:p>
        </w:tc>
        <w:tc>
          <w:tcPr>
            <w:tcW w:type="dxa" w:w="3264"/>
          </w:tcPr>
          <w:p>
            <w:r>
              <w:t>Detect relevant road users in labelled frames</w:t>
            </w:r>
          </w:p>
        </w:tc>
        <w:tc>
          <w:tcPr>
            <w:tcW w:type="dxa" w:w="3264"/>
          </w:tcPr>
          <w:p>
            <w:r>
              <w:t>Model configuration and labelled evaluation results</w:t>
            </w:r>
          </w:p>
        </w:tc>
      </w:tr>
      <w:tr>
        <w:tc>
          <w:tcPr>
            <w:tcW w:type="dxa" w:w="3264"/>
          </w:tcPr>
          <w:p>
            <w:r>
              <w:t>Tracking</w:t>
            </w:r>
          </w:p>
        </w:tc>
        <w:tc>
          <w:tcPr>
            <w:tcW w:type="dxa" w:w="3264"/>
          </w:tcPr>
          <w:p>
            <w:r>
              <w:t>Associate detections over time if implemented</w:t>
            </w:r>
          </w:p>
        </w:tc>
        <w:tc>
          <w:tcPr>
            <w:tcW w:type="dxa" w:w="3264"/>
          </w:tcPr>
          <w:p>
            <w:r>
              <w:t>Track continuity and ID-switch analysis</w:t>
            </w:r>
          </w:p>
        </w:tc>
      </w:tr>
      <w:tr>
        <w:tc>
          <w:tcPr>
            <w:tcW w:type="dxa" w:w="3264"/>
          </w:tcPr>
          <w:p>
            <w:r>
              <w:t>Risk estimation</w:t>
            </w:r>
          </w:p>
        </w:tc>
        <w:tc>
          <w:tcPr>
            <w:tcW w:type="dxa" w:w="3264"/>
          </w:tcPr>
          <w:p>
            <w:r>
              <w:t>Convert relative-motion indicators into a documented risk state</w:t>
            </w:r>
          </w:p>
        </w:tc>
        <w:tc>
          <w:tcPr>
            <w:tcW w:type="dxa" w:w="3264"/>
          </w:tcPr>
          <w:p>
            <w:r>
              <w:t>Formula, assumptions, worked examples, edge-case tests</w:t>
            </w:r>
          </w:p>
        </w:tc>
      </w:tr>
      <w:tr>
        <w:tc>
          <w:tcPr>
            <w:tcW w:type="dxa" w:w="3264"/>
          </w:tcPr>
          <w:p>
            <w:r>
              <w:t>Performance</w:t>
            </w:r>
          </w:p>
        </w:tc>
        <w:tc>
          <w:tcPr>
            <w:tcW w:type="dxa" w:w="3264"/>
          </w:tcPr>
          <w:p>
            <w:r>
              <w:t>Measure quality and runtime</w:t>
            </w:r>
          </w:p>
        </w:tc>
        <w:tc>
          <w:tcPr>
            <w:tcW w:type="dxa" w:w="3264"/>
          </w:tcPr>
          <w:p>
            <w:r>
              <w:t>Precision, recall, F1, median and 95th-percentile latency</w:t>
            </w:r>
          </w:p>
        </w:tc>
      </w:tr>
      <w:tr>
        <w:tc>
          <w:tcPr>
            <w:tcW w:type="dxa" w:w="3264"/>
          </w:tcPr>
          <w:p>
            <w:r>
              <w:t>Reliability</w:t>
            </w:r>
          </w:p>
        </w:tc>
        <w:tc>
          <w:tcPr>
            <w:tcW w:type="dxa" w:w="3264"/>
          </w:tcPr>
          <w:p>
            <w:r>
              <w:t>Handle missing, invalid, or stale inputs</w:t>
            </w:r>
          </w:p>
        </w:tc>
        <w:tc>
          <w:tcPr>
            <w:tcW w:type="dxa" w:w="3264"/>
          </w:tcPr>
          <w:p>
            <w:r>
              <w:t>Unit tests and fault-injection log</w:t>
            </w:r>
          </w:p>
        </w:tc>
      </w:tr>
      <w:tr>
        <w:tc>
          <w:tcPr>
            <w:tcW w:type="dxa" w:w="3264"/>
          </w:tcPr>
          <w:p>
            <w:r>
              <w:t>Security/privacy</w:t>
            </w:r>
          </w:p>
        </w:tc>
        <w:tc>
          <w:tcPr>
            <w:tcW w:type="dxa" w:w="3264"/>
          </w:tcPr>
          <w:p>
            <w:r>
              <w:t>Protect data and repository</w:t>
            </w:r>
          </w:p>
        </w:tc>
        <w:tc>
          <w:tcPr>
            <w:tcW w:type="dxa" w:w="3264"/>
          </w:tcPr>
          <w:p>
            <w:r>
              <w:t>Access controls, data policy, secret scan</w:t>
            </w:r>
          </w:p>
        </w:tc>
      </w:tr>
      <w:tr>
        <w:tc>
          <w:tcPr>
            <w:tcW w:type="dxa" w:w="3264"/>
          </w:tcPr>
          <w:p>
            <w:r>
              <w:t>Reproducibility</w:t>
            </w:r>
          </w:p>
        </w:tc>
        <w:tc>
          <w:tcPr>
            <w:tcW w:type="dxa" w:w="3264"/>
          </w:tcPr>
          <w:p>
            <w:r>
              <w:t>Record experiment settings</w:t>
            </w:r>
          </w:p>
        </w:tc>
        <w:tc>
          <w:tcPr>
            <w:tcW w:type="dxa" w:w="3264"/>
          </w:tcPr>
          <w:p>
            <w:r>
              <w:t>Versioned configuration and run-level logs</w:t>
            </w:r>
          </w:p>
        </w:tc>
      </w:tr>
    </w:tbl>
    <w:p>
      <w:pPr>
        <w:pStyle w:val="Heading1"/>
      </w:pPr>
      <w:r>
        <w:t>4. Proposed System Architecture</w:t>
      </w:r>
    </w:p>
    <w:p>
      <w:r>
        <w:t>The planned data flow is: input video or simulator frame → input validation and preprocessing → object detector → tracker, if implemented → relative-motion estimate → risk estimator → warning policy → logger and visualisation. Each module should expose a clear input/output contract. For example, the detector produces class, bounding box, and confidence; the tracker adds an object identifier; the risk module consumes the available motion estimates and records whether its output is valid.</w:t>
      </w:r>
    </w:p>
    <w:p>
      <w:r>
        <w:t>An architecture diagram should be drawn in the final presentation or report if a visual diagram is required. A simple diagram can be created using boxes and arrows: Data Source → Preprocessing → Detection → Tracking → Risk Estimation → Warning / Dashboard, with a parallel branch from every stage to Experiment Logs. Radar/LiDAR fusion should be shown as a future extension unless implemented.</w:t>
      </w:r>
    </w:p>
    <w:p>
      <w:pPr>
        <w:pStyle w:val="Heading1"/>
      </w:pPr>
      <w:r>
        <w:t>5. Risk Estimation: Worked Example</w:t>
      </w:r>
    </w:p>
    <w:p>
      <w:r>
        <w:t>A simple starting indicator is time-to-collision (TTC) under a constant-closing-speed assumption: TTC = gap distance / positive closing speed. If the gap is 18 m and closing speed is 6 m/s, TTC = 18/6 = 3 seconds. If the gap falls to 9 m at the same closing speed, TTC = 9/6 = 1.5 seconds. The second case is more urgent under this simplified indicator. TTC is not meaningful as a finite imminent-collision estimate when closing speed is zero or negative, and it does not model every acceleration or lane-change situation.</w:t>
      </w:r>
    </w:p>
    <w:p>
      <w:r>
        <w:t>An illustrative composite score may be defined as R = 0.50T + 0.25P + 0.15U + 0.10S, where T is normalised urgency, P is estimated conflict probability, U is uncertainty, and S is severity, all in the range 0–1. With T=0.7, P=1.0, U=0.2, S=0.8, R = 0.35 + 0.25 + 0.03 + 0.08 = 0.71. The weights are assumptions for experimentation, not validated safety parameters. They must be tested against labelled scenarios and sensitivity analysis.</w:t>
      </w:r>
    </w:p>
    <w:p>
      <w:pPr>
        <w:pStyle w:val="Heading1"/>
      </w:pPr>
      <w:r>
        <w:t>6. Data and Algorithm Plan</w:t>
      </w:r>
    </w:p>
    <w:p>
      <w:r>
        <w:t>A YOLO-family detector is a candidate for object detection; OpenCV can support image handling and visualisation, and a tracking algorithm can maintain identities across frames. The actual selected model, training configuration, classes, and weights must be documented. Public datasets such as KITTI or nuScenes may be evaluated after checking their annotation format, permitted use, and fit with the selected classes. Simulator-generated scenes can supplement recorded data for controlled edge cases.</w:t>
      </w:r>
    </w:p>
    <w:p>
      <w:r>
        <w:t>Training, validation, and test data must remain separated. Any confidence threshold should be selected on validation data, then fixed for final testing. When comparing models, use the same test examples and report sample counts, not only percentages. If no training or evaluation run has been performed, describe it as planned work.</w:t>
      </w:r>
    </w:p>
    <w:p>
      <w:pPr>
        <w:pStyle w:val="Heading1"/>
      </w:pPr>
      <w:r>
        <w:t>7. Proposed Evaluation Indicators</w:t>
      </w:r>
    </w:p>
    <w:tbl>
      <w:tblPr>
        <w:tblStyle w:val="TableGrid"/>
        <w:tblW w:type="auto" w:w="0"/>
        <w:tblLook w:firstColumn="1" w:firstRow="1" w:lastColumn="0" w:lastRow="0" w:noHBand="0" w:noVBand="1" w:val="04A0"/>
      </w:tblPr>
      <w:tblGrid>
        <w:gridCol w:w="3264"/>
        <w:gridCol w:w="3264"/>
        <w:gridCol w:w="3264"/>
      </w:tblGrid>
      <w:tr>
        <w:tc>
          <w:tcPr>
            <w:tcW w:type="dxa" w:w="3264"/>
          </w:tcPr>
          <w:p>
            <w:r>
              <w:t>Indicator</w:t>
            </w:r>
          </w:p>
        </w:tc>
        <w:tc>
          <w:tcPr>
            <w:tcW w:type="dxa" w:w="3264"/>
          </w:tcPr>
          <w:p>
            <w:r>
              <w:t>Initial proposed target</w:t>
            </w:r>
          </w:p>
        </w:tc>
        <w:tc>
          <w:tcPr>
            <w:tcW w:type="dxa" w:w="3264"/>
          </w:tcPr>
          <w:p>
            <w:r>
              <w:t>How to verify</w:t>
            </w:r>
          </w:p>
        </w:tc>
      </w:tr>
      <w:tr>
        <w:tc>
          <w:tcPr>
            <w:tcW w:type="dxa" w:w="3264"/>
          </w:tcPr>
          <w:p>
            <w:r>
              <w:t>Detection precision</w:t>
            </w:r>
          </w:p>
        </w:tc>
        <w:tc>
          <w:tcPr>
            <w:tcW w:type="dxa" w:w="3264"/>
          </w:tcPr>
          <w:p>
            <w:r>
              <w:t>≥ 0.80</w:t>
            </w:r>
          </w:p>
        </w:tc>
        <w:tc>
          <w:tcPr>
            <w:tcW w:type="dxa" w:w="3264"/>
          </w:tcPr>
          <w:p>
            <w:r>
              <w:t>TP / (TP + FP) on labelled data</w:t>
            </w:r>
          </w:p>
        </w:tc>
      </w:tr>
      <w:tr>
        <w:tc>
          <w:tcPr>
            <w:tcW w:type="dxa" w:w="3264"/>
          </w:tcPr>
          <w:p>
            <w:r>
              <w:t>Detection recall</w:t>
            </w:r>
          </w:p>
        </w:tc>
        <w:tc>
          <w:tcPr>
            <w:tcW w:type="dxa" w:w="3264"/>
          </w:tcPr>
          <w:p>
            <w:r>
              <w:t>≥ 0.75</w:t>
            </w:r>
          </w:p>
        </w:tc>
        <w:tc>
          <w:tcPr>
            <w:tcW w:type="dxa" w:w="3264"/>
          </w:tcPr>
          <w:p>
            <w:r>
              <w:t>TP / (TP + FN) on labelled data</w:t>
            </w:r>
          </w:p>
        </w:tc>
      </w:tr>
      <w:tr>
        <w:tc>
          <w:tcPr>
            <w:tcW w:type="dxa" w:w="3264"/>
          </w:tcPr>
          <w:p>
            <w:r>
              <w:t>F1-score</w:t>
            </w:r>
          </w:p>
        </w:tc>
        <w:tc>
          <w:tcPr>
            <w:tcW w:type="dxa" w:w="3264"/>
          </w:tcPr>
          <w:p>
            <w:r>
              <w:t>Report actual value; no assumed result</w:t>
            </w:r>
          </w:p>
        </w:tc>
        <w:tc>
          <w:tcPr>
            <w:tcW w:type="dxa" w:w="3264"/>
          </w:tcPr>
          <w:p>
            <w:r>
              <w:t>Harmonic mean of precision and recall</w:t>
            </w:r>
          </w:p>
        </w:tc>
      </w:tr>
      <w:tr>
        <w:tc>
          <w:tcPr>
            <w:tcW w:type="dxa" w:w="3264"/>
          </w:tcPr>
          <w:p>
            <w:r>
              <w:t>Median latency</w:t>
            </w:r>
          </w:p>
        </w:tc>
        <w:tc>
          <w:tcPr>
            <w:tcW w:type="dxa" w:w="3264"/>
          </w:tcPr>
          <w:p>
            <w:r>
              <w:t>≤ 200 ms/frame on stated hardware</w:t>
            </w:r>
          </w:p>
        </w:tc>
        <w:tc>
          <w:tcPr>
            <w:tcW w:type="dxa" w:w="3264"/>
          </w:tcPr>
          <w:p>
            <w:r>
              <w:t>Timestamp input and completed output</w:t>
            </w:r>
          </w:p>
        </w:tc>
      </w:tr>
      <w:tr>
        <w:tc>
          <w:tcPr>
            <w:tcW w:type="dxa" w:w="3264"/>
          </w:tcPr>
          <w:p>
            <w:r>
              <w:t>False warnings</w:t>
            </w:r>
          </w:p>
        </w:tc>
        <w:tc>
          <w:tcPr>
            <w:tcW w:type="dxa" w:w="3264"/>
          </w:tcPr>
          <w:p>
            <w:r>
              <w:t>≤ 2 per 10 minutes in selected baseline scenes</w:t>
            </w:r>
          </w:p>
        </w:tc>
        <w:tc>
          <w:tcPr>
            <w:tcW w:type="dxa" w:w="3264"/>
          </w:tcPr>
          <w:p>
            <w:r>
              <w:t>Define warning grouping and count events</w:t>
            </w:r>
          </w:p>
        </w:tc>
      </w:tr>
      <w:tr>
        <w:tc>
          <w:tcPr>
            <w:tcW w:type="dxa" w:w="3264"/>
          </w:tcPr>
          <w:p>
            <w:r>
              <w:t>Critical-event recall</w:t>
            </w:r>
          </w:p>
        </w:tc>
        <w:tc>
          <w:tcPr>
            <w:tcW w:type="dxa" w:w="3264"/>
          </w:tcPr>
          <w:p>
            <w:r>
              <w:t>≥ 0.80 on scripted critical cases</w:t>
            </w:r>
          </w:p>
        </w:tc>
        <w:tc>
          <w:tcPr>
            <w:tcW w:type="dxa" w:w="3264"/>
          </w:tcPr>
          <w:p>
            <w:r>
              <w:t>Detected labelled events / all labelled events</w:t>
            </w:r>
          </w:p>
        </w:tc>
      </w:tr>
      <w:tr>
        <w:tc>
          <w:tcPr>
            <w:tcW w:type="dxa" w:w="3264"/>
          </w:tcPr>
          <w:p>
            <w:r>
              <w:t>Fault handling</w:t>
            </w:r>
          </w:p>
        </w:tc>
        <w:tc>
          <w:tcPr>
            <w:tcW w:type="dxa" w:w="3264"/>
          </w:tcPr>
          <w:p>
            <w:r>
              <w:t>All injected missing-input cases flagged in initial test suite</w:t>
            </w:r>
          </w:p>
        </w:tc>
        <w:tc>
          <w:tcPr>
            <w:tcW w:type="dxa" w:w="3264"/>
          </w:tcPr>
          <w:p>
            <w:r>
              <w:t>Detected faults / injected faults</w:t>
            </w:r>
          </w:p>
        </w:tc>
      </w:tr>
    </w:tbl>
    <w:p>
      <w:r>
        <w:t>These are provisional targets for a student prototype, not industry standards or achieved measurements. Actual results must include device specifications, model version, test-set size, scenario composition, and known exclusions.</w:t>
      </w:r>
    </w:p>
    <w:p>
      <w:pPr>
        <w:pStyle w:val="Heading1"/>
      </w:pPr>
      <w:r>
        <w:t>8. Illustrative Metric Calculation</w:t>
      </w:r>
    </w:p>
    <w:p>
      <w:r>
        <w:t>Suppose a labelled test contains TP=72, FP=8, and FN=28. Precision = 72/(72+8)=0.90 (90%). Recall = 72/(72+28)=0.72 (72%). F1 = 2×0.90×0.72/(0.90+0.72)=0.80 (80%). These invented counts illustrate the formulas only. The interpretation is that the example has relatively high precision but lower recall; investigation should focus on the 28 missed objects and whether misses cluster in particular conditions.</w:t>
      </w:r>
    </w:p>
    <w:p>
      <w:pPr>
        <w:pStyle w:val="Heading1"/>
      </w:pPr>
      <w:r>
        <w:t>9. Indicative Resources and Budget</w:t>
      </w:r>
    </w:p>
    <w:tbl>
      <w:tblPr>
        <w:tblStyle w:val="TableGrid"/>
        <w:tblW w:type="auto" w:w="0"/>
        <w:tblLook w:firstColumn="1" w:firstRow="1" w:lastColumn="0" w:lastRow="0" w:noHBand="0" w:noVBand="1" w:val="04A0"/>
      </w:tblPr>
      <w:tblGrid>
        <w:gridCol w:w="3264"/>
        <w:gridCol w:w="3264"/>
        <w:gridCol w:w="3264"/>
      </w:tblGrid>
      <w:tr>
        <w:tc>
          <w:tcPr>
            <w:tcW w:type="dxa" w:w="3264"/>
          </w:tcPr>
          <w:p>
            <w:r>
              <w:t>Item</w:t>
            </w:r>
          </w:p>
        </w:tc>
        <w:tc>
          <w:tcPr>
            <w:tcW w:type="dxa" w:w="3264"/>
          </w:tcPr>
          <w:p>
            <w:r>
              <w:t>Indicative cost (INR)</w:t>
            </w:r>
          </w:p>
        </w:tc>
        <w:tc>
          <w:tcPr>
            <w:tcW w:type="dxa" w:w="3264"/>
          </w:tcPr>
          <w:p>
            <w:r>
              <w:t>Notes</w:t>
            </w:r>
          </w:p>
        </w:tc>
      </w:tr>
      <w:tr>
        <w:tc>
          <w:tcPr>
            <w:tcW w:type="dxa" w:w="3264"/>
          </w:tcPr>
          <w:p>
            <w:r>
              <w:t>Existing laptop</w:t>
            </w:r>
          </w:p>
        </w:tc>
        <w:tc>
          <w:tcPr>
            <w:tcW w:type="dxa" w:w="3264"/>
          </w:tcPr>
          <w:p>
            <w:r>
              <w:t>₹0 incremental</w:t>
            </w:r>
          </w:p>
        </w:tc>
        <w:tc>
          <w:tcPr>
            <w:tcW w:type="dxa" w:w="3264"/>
          </w:tcPr>
          <w:p>
            <w:r>
              <w:t>Assumes a suitable laptop is already available</w:t>
            </w:r>
          </w:p>
        </w:tc>
      </w:tr>
      <w:tr>
        <w:tc>
          <w:tcPr>
            <w:tcW w:type="dxa" w:w="3264"/>
          </w:tcPr>
          <w:p>
            <w:r>
              <w:t>External SSD</w:t>
            </w:r>
          </w:p>
        </w:tc>
        <w:tc>
          <w:tcPr>
            <w:tcW w:type="dxa" w:w="3264"/>
          </w:tcPr>
          <w:p>
            <w:r>
              <w:t>₹5,000–₹7,000</w:t>
            </w:r>
          </w:p>
        </w:tc>
        <w:tc>
          <w:tcPr>
            <w:tcW w:type="dxa" w:w="3264"/>
          </w:tcPr>
          <w:p>
            <w:r>
              <w:t>Optional; price varies by capacity and vendor</w:t>
            </w:r>
          </w:p>
        </w:tc>
      </w:tr>
      <w:tr>
        <w:tc>
          <w:tcPr>
            <w:tcW w:type="dxa" w:w="3264"/>
          </w:tcPr>
          <w:p>
            <w:r>
              <w:t>USB webcam</w:t>
            </w:r>
          </w:p>
        </w:tc>
        <w:tc>
          <w:tcPr>
            <w:tcW w:type="dxa" w:w="3264"/>
          </w:tcPr>
          <w:p>
            <w:r>
              <w:t>₹1,500–₹3,000</w:t>
            </w:r>
          </w:p>
        </w:tc>
        <w:tc>
          <w:tcPr>
            <w:tcW w:type="dxa" w:w="3264"/>
          </w:tcPr>
          <w:p>
            <w:r>
              <w:t>Optional for a basic controlled capture setup</w:t>
            </w:r>
          </w:p>
        </w:tc>
      </w:tr>
      <w:tr>
        <w:tc>
          <w:tcPr>
            <w:tcW w:type="dxa" w:w="3264"/>
          </w:tcPr>
          <w:p>
            <w:r>
              <w:t>Contingency</w:t>
            </w:r>
          </w:p>
        </w:tc>
        <w:tc>
          <w:tcPr>
            <w:tcW w:type="dxa" w:w="3264"/>
          </w:tcPr>
          <w:p>
            <w:r>
              <w:t>₹1,500–₹2,000</w:t>
            </w:r>
          </w:p>
        </w:tc>
        <w:tc>
          <w:tcPr>
            <w:tcW w:type="dxa" w:w="3264"/>
          </w:tcPr>
          <w:p>
            <w:r>
              <w:t>Cables, storage, or small accessories</w:t>
            </w:r>
          </w:p>
        </w:tc>
      </w:tr>
      <w:tr>
        <w:tc>
          <w:tcPr>
            <w:tcW w:type="dxa" w:w="3264"/>
          </w:tcPr>
          <w:p>
            <w:r>
              <w:t>Optional GPU/compute allowance</w:t>
            </w:r>
          </w:p>
        </w:tc>
        <w:tc>
          <w:tcPr>
            <w:tcW w:type="dxa" w:w="3264"/>
          </w:tcPr>
          <w:p>
            <w:r>
              <w:t>₹3,200</w:t>
            </w:r>
          </w:p>
        </w:tc>
        <w:tc>
          <w:tcPr>
            <w:tcW w:type="dxa" w:w="3264"/>
          </w:tcPr>
          <w:p>
            <w:r>
              <w:t>Planning placeholder only; verify current local pricing and actual need</w:t>
            </w:r>
          </w:p>
        </w:tc>
      </w:tr>
      <w:tr>
        <w:tc>
          <w:tcPr>
            <w:tcW w:type="dxa" w:w="3264"/>
          </w:tcPr>
          <w:p>
            <w:r>
              <w:t>Estimated optional spend</w:t>
            </w:r>
          </w:p>
        </w:tc>
        <w:tc>
          <w:tcPr>
            <w:tcW w:type="dxa" w:w="3264"/>
          </w:tcPr>
          <w:p>
            <w:r>
              <w:t>₹11,200–₹15,200</w:t>
            </w:r>
          </w:p>
        </w:tc>
        <w:tc>
          <w:tcPr>
            <w:tcW w:type="dxa" w:w="3264"/>
          </w:tcPr>
          <w:p>
            <w:r>
              <w:t>Rough planning range, not a supplier quote</w:t>
            </w:r>
          </w:p>
        </w:tc>
      </w:tr>
    </w:tbl>
    <w:p>
      <w:r>
        <w:t>The project should first use existing hardware and offline datasets to minimise cost. Actual purchase decisions should follow a basic benchmark of inference speed and memory use. Cloud compute or paid services should not be assumed free; usage and billing should be checked before enabling them.</w:t>
      </w:r>
    </w:p>
    <w:p>
      <w:pPr>
        <w:pStyle w:val="Heading1"/>
      </w:pPr>
      <w:r>
        <w:t>10. Cybersecurity and Privacy</w:t>
      </w:r>
    </w:p>
    <w:p>
      <w:pPr>
        <w:pStyle w:val="ListBullet"/>
      </w:pPr>
      <w:r>
        <w:t>Use least-privilege access for datasets, cloud storage, and repositories; enable MFA where available.</w:t>
      </w:r>
    </w:p>
    <w:p>
      <w:pPr>
        <w:pStyle w:val="ListBullet"/>
      </w:pPr>
      <w:r>
        <w:t>Never commit API keys, passwords, certificates, private video, or identifying data to a public repository.</w:t>
      </w:r>
    </w:p>
    <w:p>
      <w:pPr>
        <w:pStyle w:val="ListBullet"/>
      </w:pPr>
      <w:r>
        <w:t>Use encrypted transport for data transfers and encrypted storage where supported; restrict public access.</w:t>
      </w:r>
    </w:p>
    <w:p>
      <w:pPr>
        <w:pStyle w:val="ListBullet"/>
      </w:pPr>
      <w:r>
        <w:t>Validate image files, timestamps, configuration values, and numeric outputs; reject malformed or stale inputs.</w:t>
      </w:r>
    </w:p>
    <w:p>
      <w:pPr>
        <w:pStyle w:val="ListBullet"/>
      </w:pPr>
      <w:r>
        <w:t>Pin and review software dependencies; scan for known vulnerabilities and secrets before publishing.</w:t>
      </w:r>
    </w:p>
    <w:p>
      <w:pPr>
        <w:pStyle w:val="ListBullet"/>
      </w:pPr>
      <w:r>
        <w:t>Document data source, licence, purpose, access roles, retention period, and deletion process.</w:t>
      </w:r>
    </w:p>
    <w:p>
      <w:pPr>
        <w:pStyle w:val="ListBullet"/>
      </w:pPr>
      <w:r>
        <w:t>Log model/configuration versions and faults while avoiding unnecessary personal data.</w:t>
      </w:r>
    </w:p>
    <w:p>
      <w:pPr>
        <w:pStyle w:val="ListBullet"/>
      </w:pPr>
      <w:r>
        <w:t>Do not connect the prototype to steering, braking, or vehicle-control systems.</w:t>
      </w:r>
    </w:p>
    <w:p>
      <w:pPr>
        <w:pStyle w:val="Heading1"/>
      </w:pPr>
      <w:r>
        <w:t>11. Risks, Mitigations, and Milestones</w:t>
      </w:r>
    </w:p>
    <w:tbl>
      <w:tblPr>
        <w:tblStyle w:val="TableGrid"/>
        <w:tblW w:type="auto" w:w="0"/>
        <w:tblLook w:firstColumn="1" w:firstRow="1" w:lastColumn="0" w:lastRow="0" w:noHBand="0" w:noVBand="1" w:val="04A0"/>
      </w:tblPr>
      <w:tblGrid>
        <w:gridCol w:w="3264"/>
        <w:gridCol w:w="3264"/>
        <w:gridCol w:w="3264"/>
      </w:tblGrid>
      <w:tr>
        <w:tc>
          <w:tcPr>
            <w:tcW w:type="dxa" w:w="3264"/>
          </w:tcPr>
          <w:p>
            <w:r>
              <w:t>Risk</w:t>
            </w:r>
          </w:p>
        </w:tc>
        <w:tc>
          <w:tcPr>
            <w:tcW w:type="dxa" w:w="3264"/>
          </w:tcPr>
          <w:p>
            <w:r>
              <w:t>Potential impact</w:t>
            </w:r>
          </w:p>
        </w:tc>
        <w:tc>
          <w:tcPr>
            <w:tcW w:type="dxa" w:w="3264"/>
          </w:tcPr>
          <w:p>
            <w:r>
              <w:t>Mitigation / evidence</w:t>
            </w:r>
          </w:p>
        </w:tc>
      </w:tr>
      <w:tr>
        <w:tc>
          <w:tcPr>
            <w:tcW w:type="dxa" w:w="3264"/>
          </w:tcPr>
          <w:p>
            <w:r>
              <w:t>Insufficient labelled data</w:t>
            </w:r>
          </w:p>
        </w:tc>
        <w:tc>
          <w:tcPr>
            <w:tcW w:type="dxa" w:w="3264"/>
          </w:tcPr>
          <w:p>
            <w:r>
              <w:t>Misleading metric estimates</w:t>
            </w:r>
          </w:p>
        </w:tc>
        <w:tc>
          <w:tcPr>
            <w:tcW w:type="dxa" w:w="3264"/>
          </w:tcPr>
          <w:p>
            <w:r>
              <w:t>Use a documented dataset; report counts and limits</w:t>
            </w:r>
          </w:p>
        </w:tc>
      </w:tr>
      <w:tr>
        <w:tc>
          <w:tcPr>
            <w:tcW w:type="dxa" w:w="3264"/>
          </w:tcPr>
          <w:p>
            <w:r>
              <w:t>Poor low-light performance</w:t>
            </w:r>
          </w:p>
        </w:tc>
        <w:tc>
          <w:tcPr>
            <w:tcW w:type="dxa" w:w="3264"/>
          </w:tcPr>
          <w:p>
            <w:r>
              <w:t>Missed road users</w:t>
            </w:r>
          </w:p>
        </w:tc>
        <w:tc>
          <w:tcPr>
            <w:tcW w:type="dxa" w:w="3264"/>
          </w:tcPr>
          <w:p>
            <w:r>
              <w:t>Separate night/visibility tests and analyse misses</w:t>
            </w:r>
          </w:p>
        </w:tc>
      </w:tr>
      <w:tr>
        <w:tc>
          <w:tcPr>
            <w:tcW w:type="dxa" w:w="3264"/>
          </w:tcPr>
          <w:p>
            <w:r>
              <w:t>Noisy risk estimates</w:t>
            </w:r>
          </w:p>
        </w:tc>
        <w:tc>
          <w:tcPr>
            <w:tcW w:type="dxa" w:w="3264"/>
          </w:tcPr>
          <w:p>
            <w:r>
              <w:t>False or late alerts</w:t>
            </w:r>
          </w:p>
        </w:tc>
        <w:tc>
          <w:tcPr>
            <w:tcW w:type="dxa" w:w="3264"/>
          </w:tcPr>
          <w:p>
            <w:r>
              <w:t>Validate motion assumptions and log uncertainty</w:t>
            </w:r>
          </w:p>
        </w:tc>
      </w:tr>
      <w:tr>
        <w:tc>
          <w:tcPr>
            <w:tcW w:type="dxa" w:w="3264"/>
          </w:tcPr>
          <w:p>
            <w:r>
              <w:t>High inference latency</w:t>
            </w:r>
          </w:p>
        </w:tc>
        <w:tc>
          <w:tcPr>
            <w:tcW w:type="dxa" w:w="3264"/>
          </w:tcPr>
          <w:p>
            <w:r>
              <w:t>Delayed output</w:t>
            </w:r>
          </w:p>
        </w:tc>
        <w:tc>
          <w:tcPr>
            <w:tcW w:type="dxa" w:w="3264"/>
          </w:tcPr>
          <w:p>
            <w:r>
              <w:t>Profile on stated hardware; report percentile latency</w:t>
            </w:r>
          </w:p>
        </w:tc>
      </w:tr>
      <w:tr>
        <w:tc>
          <w:tcPr>
            <w:tcW w:type="dxa" w:w="3264"/>
          </w:tcPr>
          <w:p>
            <w:r>
              <w:t>Uncontrolled scope</w:t>
            </w:r>
          </w:p>
        </w:tc>
        <w:tc>
          <w:tcPr>
            <w:tcW w:type="dxa" w:w="3264"/>
          </w:tcPr>
          <w:p>
            <w:r>
              <w:t>Incomplete deliverables</w:t>
            </w:r>
          </w:p>
        </w:tc>
        <w:tc>
          <w:tcPr>
            <w:tcW w:type="dxa" w:w="3264"/>
          </w:tcPr>
          <w:p>
            <w:r>
              <w:t>Keep sensor fusion and vehicle integration as future work unless implemented</w:t>
            </w:r>
          </w:p>
        </w:tc>
      </w:tr>
      <w:tr>
        <w:tc>
          <w:tcPr>
            <w:tcW w:type="dxa" w:w="3264"/>
          </w:tcPr>
          <w:p>
            <w:r>
              <w:t>Data exposure</w:t>
            </w:r>
          </w:p>
        </w:tc>
        <w:tc>
          <w:tcPr>
            <w:tcW w:type="dxa" w:w="3264"/>
          </w:tcPr>
          <w:p>
            <w:r>
              <w:t>Privacy/security harm</w:t>
            </w:r>
          </w:p>
        </w:tc>
        <w:tc>
          <w:tcPr>
            <w:tcW w:type="dxa" w:w="3264"/>
          </w:tcPr>
          <w:p>
            <w:r>
              <w:t>Restrict access, minimise data, scan repository</w:t>
            </w:r>
          </w:p>
        </w:tc>
      </w:tr>
    </w:tbl>
    <w:p>
      <w:r>
        <w:t>Milestones: (1) requirements and repository setup; (2) data and scenario preparation; (3) baseline detector integration; (4) tracking and risk-estimation experiments if implemented; (5) simulation/stress testing; (6) evaluation, limitations, and final report. At each milestone, retain evidence such as configuration files, logs, screenshots, and version history.</w:t>
      </w:r>
    </w:p>
    <w:p>
      <w:pPr>
        <w:pStyle w:val="Heading1"/>
      </w:pPr>
      <w:r>
        <w:t>12. Conclusion</w:t>
      </w:r>
    </w:p>
    <w:p>
      <w:r>
        <w:t>FusionDrive AI should be presented as a research prototype with a measurable development plan. Its credibility depends on documenting what has actually been implemented, distinguishing planned targets from measured results, and analysing failures rather than only describing intended benefits. The worked examples and proposed metrics make the roadmap testable, while the staged scope and safety limitations prevent unsupported claims.</w:t>
      </w:r>
    </w:p>
    <w:p>
      <w:pPr>
        <w:pStyle w:val="Heading1"/>
      </w:pPr>
      <w:r>
        <w:t>References</w:t>
      </w:r>
    </w:p>
    <w:p>
      <w:pPr>
        <w:pStyle w:val="ListBullet"/>
      </w:pPr>
      <w:r>
        <w:t>CARLA Simulator documentation: https://carla.readthedocs.io/</w:t>
      </w:r>
    </w:p>
    <w:p>
      <w:pPr>
        <w:pStyle w:val="ListBullet"/>
      </w:pPr>
      <w:r>
        <w:t>KITTI Vision Benchmark Suite: https://www.cvlibs.net/datasets/kitti/</w:t>
      </w:r>
    </w:p>
    <w:p>
      <w:pPr>
        <w:pStyle w:val="ListBullet"/>
      </w:pPr>
      <w:r>
        <w:t>nuScenes dataset: https://www.nuscenes.org/</w:t>
      </w:r>
    </w:p>
    <w:p>
      <w:pPr>
        <w:pStyle w:val="ListBullet"/>
      </w:pPr>
      <w:r>
        <w:t>OpenCV documentation: https://docs.opencv.org/</w:t>
      </w:r>
    </w:p>
    <w:p>
      <w:pPr>
        <w:pStyle w:val="ListBullet"/>
      </w:pPr>
      <w:r>
        <w:t>NIST Cybersecurity Framework: https://www.nist.gov/cyberframework</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