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FUSIONDRIVE AI</w:t>
      </w:r>
    </w:p>
    <w:p>
      <w:pPr>
        <w:jc w:val="center"/>
      </w:pPr>
      <w:r>
        <w:rPr>
          <w:b/>
          <w:sz w:val="32"/>
        </w:rPr>
        <w:t>Week 2: Sensor-Fusion Feasibility Study for Traffic Understanding</w:t>
      </w:r>
    </w:p>
    <w:p>
      <w:r>
        <w:t>Document status: Feasibility study and proposed evaluation plan. Numerical examples are illustrative. No hardware integration or experimental performance is claimed unless separately measured.</w:t>
      </w:r>
    </w:p>
    <w:p>
      <w:pPr>
        <w:pStyle w:val="Heading1"/>
      </w:pPr>
      <w:r>
        <w:t>1. Executive Summary</w:t>
      </w:r>
    </w:p>
    <w:p>
      <w:r>
        <w:t>This report evaluates the feasibility of combining complementary sensor information for a driver-assistance research prototype. A camera provides rich appearance and class information but can be affected by darkness, glare, and occlusion. Radar can estimate range and relative velocity in many conditions but typically provides less detailed appearance information. LiDAR can provide geometric range measurements, while ultrasonic sensors are generally useful at short distances. Sensor fusion may reduce some single-sensor weaknesses, but it adds calibration, timestamp alignment, association, compute, cost, and failure-handling requirements.</w:t>
      </w:r>
    </w:p>
    <w:p>
      <w:r>
        <w:t>The recommended development strategy is incremental: begin with a reproducible camera-based baseline, define sensor interfaces and quality flags, and compare it with a fused approach only when synchronised, labelled multi-sensor data or suitable simulator outputs are available. This avoids claiming fusion performance before the necessary inputs exist. The report includes a comparison matrix, a worked alignment example, an illustrative confidence-aware fusion calculation, a feasibility assessment, proposed metrics, and cybersecurity/privacy controls.</w:t>
      </w:r>
    </w:p>
    <w:p>
      <w:pPr>
        <w:pStyle w:val="Heading1"/>
      </w:pPr>
      <w:r>
        <w:t>2. Problem Statement and Scope</w:t>
      </w:r>
    </w:p>
    <w:p>
      <w:r>
        <w:t>The system aims to understand traffic scenes and estimate developing hazards. The feasibility question is whether complementary sensor signals can improve object awareness and risk estimation enough to justify additional integration complexity. This study does not establish that a camera-radar-LiDAR stack has been built. It defines the conditions under which such a stack should be tested.</w:t>
      </w:r>
    </w:p>
    <w:p>
      <w:pPr>
        <w:pStyle w:val="Heading1"/>
      </w:pPr>
      <w:r>
        <w:t>3. Sensor Comparison</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Sensor</w:t>
            </w:r>
          </w:p>
        </w:tc>
        <w:tc>
          <w:tcPr>
            <w:tcW w:type="dxa" w:w="2448"/>
          </w:tcPr>
          <w:p>
            <w:r>
              <w:t>Useful information</w:t>
            </w:r>
          </w:p>
        </w:tc>
        <w:tc>
          <w:tcPr>
            <w:tcW w:type="dxa" w:w="2448"/>
          </w:tcPr>
          <w:p>
            <w:r>
              <w:t>Typical limitations</w:t>
            </w:r>
          </w:p>
        </w:tc>
        <w:tc>
          <w:tcPr>
            <w:tcW w:type="dxa" w:w="2448"/>
          </w:tcPr>
          <w:p>
            <w:r>
              <w:t>Prototype role</w:t>
            </w:r>
          </w:p>
        </w:tc>
      </w:tr>
      <w:tr>
        <w:tc>
          <w:tcPr>
            <w:tcW w:type="dxa" w:w="2448"/>
          </w:tcPr>
          <w:p>
            <w:r>
              <w:t>RGB camera</w:t>
            </w:r>
          </w:p>
        </w:tc>
        <w:tc>
          <w:tcPr>
            <w:tcW w:type="dxa" w:w="2448"/>
          </w:tcPr>
          <w:p>
            <w:r>
              <w:t>Appearance, colour, classes, lane/scene context</w:t>
            </w:r>
          </w:p>
        </w:tc>
        <w:tc>
          <w:tcPr>
            <w:tcW w:type="dxa" w:w="2448"/>
          </w:tcPr>
          <w:p>
            <w:r>
              <w:t>Lighting, glare, blur, occlusion; monocular distance uncertainty</w:t>
            </w:r>
          </w:p>
        </w:tc>
        <w:tc>
          <w:tcPr>
            <w:tcW w:type="dxa" w:w="2448"/>
          </w:tcPr>
          <w:p>
            <w:r>
              <w:t>Baseline perception input</w:t>
            </w:r>
          </w:p>
        </w:tc>
      </w:tr>
      <w:tr>
        <w:tc>
          <w:tcPr>
            <w:tcW w:type="dxa" w:w="2448"/>
          </w:tcPr>
          <w:p>
            <w:r>
              <w:t>Radar</w:t>
            </w:r>
          </w:p>
        </w:tc>
        <w:tc>
          <w:tcPr>
            <w:tcW w:type="dxa" w:w="2448"/>
          </w:tcPr>
          <w:p>
            <w:r>
              <w:t>Range and relative velocity; often robust in poor visibility</w:t>
            </w:r>
          </w:p>
        </w:tc>
        <w:tc>
          <w:tcPr>
            <w:tcW w:type="dxa" w:w="2448"/>
          </w:tcPr>
          <w:p>
            <w:r>
              <w:t>Lower semantic detail; clutter and association ambiguity</w:t>
            </w:r>
          </w:p>
        </w:tc>
        <w:tc>
          <w:tcPr>
            <w:tcW w:type="dxa" w:w="2448"/>
          </w:tcPr>
          <w:p>
            <w:r>
              <w:t>Potential motion/range cross-check</w:t>
            </w:r>
          </w:p>
        </w:tc>
      </w:tr>
      <w:tr>
        <w:tc>
          <w:tcPr>
            <w:tcW w:type="dxa" w:w="2448"/>
          </w:tcPr>
          <w:p>
            <w:r>
              <w:t>LiDAR</w:t>
            </w:r>
          </w:p>
        </w:tc>
        <w:tc>
          <w:tcPr>
            <w:tcW w:type="dxa" w:w="2448"/>
          </w:tcPr>
          <w:p>
            <w:r>
              <w:t>3D geometry and range</w:t>
            </w:r>
          </w:p>
        </w:tc>
        <w:tc>
          <w:tcPr>
            <w:tcW w:type="dxa" w:w="2448"/>
          </w:tcPr>
          <w:p>
            <w:r>
              <w:t>Cost, weather sensitivity in some conditions, point-cloud processing</w:t>
            </w:r>
          </w:p>
        </w:tc>
        <w:tc>
          <w:tcPr>
            <w:tcW w:type="dxa" w:w="2448"/>
          </w:tcPr>
          <w:p>
            <w:r>
              <w:t>Optional 3D localisation/obstacle input</w:t>
            </w:r>
          </w:p>
        </w:tc>
      </w:tr>
      <w:tr>
        <w:tc>
          <w:tcPr>
            <w:tcW w:type="dxa" w:w="2448"/>
          </w:tcPr>
          <w:p>
            <w:r>
              <w:t>Ultrasonic</w:t>
            </w:r>
          </w:p>
        </w:tc>
        <w:tc>
          <w:tcPr>
            <w:tcW w:type="dxa" w:w="2448"/>
          </w:tcPr>
          <w:p>
            <w:r>
              <w:t>Very short-range proximity</w:t>
            </w:r>
          </w:p>
        </w:tc>
        <w:tc>
          <w:tcPr>
            <w:tcW w:type="dxa" w:w="2448"/>
          </w:tcPr>
          <w:p>
            <w:r>
              <w:t>Limited range and angular/semantic detail</w:t>
            </w:r>
          </w:p>
        </w:tc>
        <w:tc>
          <w:tcPr>
            <w:tcW w:type="dxa" w:w="2448"/>
          </w:tcPr>
          <w:p>
            <w:r>
              <w:t>Low-speed near-field extension</w:t>
            </w:r>
          </w:p>
        </w:tc>
      </w:tr>
      <w:tr>
        <w:tc>
          <w:tcPr>
            <w:tcW w:type="dxa" w:w="2448"/>
          </w:tcPr>
          <w:p>
            <w:r>
              <w:t>Vehicle/IMU signals</w:t>
            </w:r>
          </w:p>
        </w:tc>
        <w:tc>
          <w:tcPr>
            <w:tcW w:type="dxa" w:w="2448"/>
          </w:tcPr>
          <w:p>
            <w:r>
              <w:t>Ego speed, acceleration, yaw when available</w:t>
            </w:r>
          </w:p>
        </w:tc>
        <w:tc>
          <w:tcPr>
            <w:tcW w:type="dxa" w:w="2448"/>
          </w:tcPr>
          <w:p>
            <w:r>
              <w:t>Interface and timestamp dependencies</w:t>
            </w:r>
          </w:p>
        </w:tc>
        <w:tc>
          <w:tcPr>
            <w:tcW w:type="dxa" w:w="2448"/>
          </w:tcPr>
          <w:p>
            <w:r>
              <w:t>Motion context; optional</w:t>
            </w:r>
          </w:p>
        </w:tc>
      </w:tr>
    </w:tbl>
    <w:p>
      <w:pPr>
        <w:pStyle w:val="Heading1"/>
      </w:pPr>
      <w:r>
        <w:t>4. Proposed Architecture and Data Flow</w:t>
      </w:r>
    </w:p>
    <w:p>
      <w:r>
        <w:t>A possible architecture is sensor acquisition → timestamping and health checks → calibration and coordinate transforms → per-sensor preprocessing → object detection or point/target extraction → association → fusion → risk estimation → warning policy → logger. Each message should carry a timestamp, sensor identifier, coordinate frame, measurement fields, and validity flag. A missing or stale sensor should be represented explicitly; it should not be silently treated as a current measurement.</w:t>
      </w:r>
    </w:p>
    <w:p>
      <w:r>
        <w:t>Fusion can occur at different levels. Early/raw-data fusion combines sensor measurements before object-level interpretation but needs accurate alignment and compatible representations. Feature-level fusion combines intermediate features and may require more compute and model training. Object- or decision-level fusion combines detections or estimates from individual sensors and is easier to prototype with independently testable modules. For a student prototype, object-level fusion is the most manageable first experiment.</w:t>
      </w:r>
    </w:p>
    <w:p>
      <w:pPr>
        <w:pStyle w:val="Heading1"/>
      </w:pPr>
      <w:r>
        <w:t>5. Synchronisation and Calibration: Worked Example</w:t>
      </w:r>
    </w:p>
    <w:p>
      <w:r>
        <w:t>Suppose a camera frame is timestamped at 12:00:00.100 and a radar measurement at 12:00:00.160. Their time difference is 60 ms. If the relative closing speed is 10 m/s, the target can move approximately 10 × 0.060 = 0.6 m during that interval under a constant-speed approximation. This displacement may be material for a close-range risk calculation. The example shows why timestamp alignment and interpolation/association policy must be documented; it does not imply that these timestamps or measurements came from a real run.</w:t>
      </w:r>
    </w:p>
    <w:p>
      <w:r>
        <w:t>Calibration also requires coordinate transforms between sensor frames. A point measured in one sensor coordinate system cannot be directly compared with a point in another without a documented transformation. The test protocol should record calibration parameters, units, frame conventions, timestamp tolerance, and how measurements outside the tolerance are rejected or marked stale.</w:t>
      </w:r>
    </w:p>
    <w:p>
      <w:pPr>
        <w:pStyle w:val="Heading1"/>
      </w:pPr>
      <w:r>
        <w:t>6. Confidence-Aware Fusion: Illustrative Calculation</w:t>
      </w:r>
    </w:p>
    <w:p>
      <w:r>
        <w:t>For a simple illustrative one-dimensional range estimate, suppose a camera-derived range is 20 m with an assumed standard deviation of 4 m, while radar range is 18 m with an assumed standard deviation of 1 m. If both errors are independent, unbiased, and approximately Gaussian, inverse-variance weighting gives weights 1/16 and 1/1. The fused estimate is (20/16 + 18/1)/(1/16 + 1) = 19.625/1.0625 ≈ 18.47 m. This simplified calculation gives more weight to the lower-variance radar measurement. The assumed uncertainties are invented for illustration, not measured sensor characteristics.</w:t>
      </w:r>
    </w:p>
    <w:p>
      <w:r>
        <w:t>Real systems must validate whether their uncertainty estimates are calibrated and whether sensor errors are correlated. If a measurement is stale, invalid, or inconsistent, blindly averaging it can worsen the estimate. The implementation should retain source measurements, validity flags, and residuals so fusion behaviour can be audited.</w:t>
      </w:r>
    </w:p>
    <w:p>
      <w:pPr>
        <w:pStyle w:val="Heading1"/>
      </w:pPr>
      <w:r>
        <w:t>7. Feasibility and Integration Requirements</w:t>
      </w:r>
    </w:p>
    <w:tbl>
      <w:tblPr>
        <w:tblStyle w:val="TableGrid"/>
        <w:tblW w:type="auto" w:w="0"/>
        <w:tblLook w:firstColumn="1" w:firstRow="1" w:lastColumn="0" w:lastRow="0" w:noHBand="0" w:noVBand="1" w:val="04A0"/>
      </w:tblPr>
      <w:tblGrid>
        <w:gridCol w:w="3264"/>
        <w:gridCol w:w="3264"/>
        <w:gridCol w:w="3264"/>
      </w:tblGrid>
      <w:tr>
        <w:tc>
          <w:tcPr>
            <w:tcW w:type="dxa" w:w="3264"/>
          </w:tcPr>
          <w:p>
            <w:r>
              <w:t>Requirement</w:t>
            </w:r>
          </w:p>
        </w:tc>
        <w:tc>
          <w:tcPr>
            <w:tcW w:type="dxa" w:w="3264"/>
          </w:tcPr>
          <w:p>
            <w:r>
              <w:t>Feasibility question</w:t>
            </w:r>
          </w:p>
        </w:tc>
        <w:tc>
          <w:tcPr>
            <w:tcW w:type="dxa" w:w="3264"/>
          </w:tcPr>
          <w:p>
            <w:r>
              <w:t>Evidence to collect</w:t>
            </w:r>
          </w:p>
        </w:tc>
      </w:tr>
      <w:tr>
        <w:tc>
          <w:tcPr>
            <w:tcW w:type="dxa" w:w="3264"/>
          </w:tcPr>
          <w:p>
            <w:r>
              <w:t>Data availability</w:t>
            </w:r>
          </w:p>
        </w:tc>
        <w:tc>
          <w:tcPr>
            <w:tcW w:type="dxa" w:w="3264"/>
          </w:tcPr>
          <w:p>
            <w:r>
              <w:t>Are synchronised sensor inputs available?</w:t>
            </w:r>
          </w:p>
        </w:tc>
        <w:tc>
          <w:tcPr>
            <w:tcW w:type="dxa" w:w="3264"/>
          </w:tcPr>
          <w:p>
            <w:r>
              <w:t>Dataset/simulator schema and timestamps</w:t>
            </w:r>
          </w:p>
        </w:tc>
      </w:tr>
      <w:tr>
        <w:tc>
          <w:tcPr>
            <w:tcW w:type="dxa" w:w="3264"/>
          </w:tcPr>
          <w:p>
            <w:r>
              <w:t>Calibration</w:t>
            </w:r>
          </w:p>
        </w:tc>
        <w:tc>
          <w:tcPr>
            <w:tcW w:type="dxa" w:w="3264"/>
          </w:tcPr>
          <w:p>
            <w:r>
              <w:t>Are extrinsics and coordinate frames known?</w:t>
            </w:r>
          </w:p>
        </w:tc>
        <w:tc>
          <w:tcPr>
            <w:tcW w:type="dxa" w:w="3264"/>
          </w:tcPr>
          <w:p>
            <w:r>
              <w:t>Calibration file and transform test</w:t>
            </w:r>
          </w:p>
        </w:tc>
      </w:tr>
      <w:tr>
        <w:tc>
          <w:tcPr>
            <w:tcW w:type="dxa" w:w="3264"/>
          </w:tcPr>
          <w:p>
            <w:r>
              <w:t>Association</w:t>
            </w:r>
          </w:p>
        </w:tc>
        <w:tc>
          <w:tcPr>
            <w:tcW w:type="dxa" w:w="3264"/>
          </w:tcPr>
          <w:p>
            <w:r>
              <w:t>Can measurements be matched to the same actor?</w:t>
            </w:r>
          </w:p>
        </w:tc>
        <w:tc>
          <w:tcPr>
            <w:tcW w:type="dxa" w:w="3264"/>
          </w:tcPr>
          <w:p>
            <w:r>
              <w:t>Association examples and error log</w:t>
            </w:r>
          </w:p>
        </w:tc>
      </w:tr>
      <w:tr>
        <w:tc>
          <w:tcPr>
            <w:tcW w:type="dxa" w:w="3264"/>
          </w:tcPr>
          <w:p>
            <w:r>
              <w:t>Compute</w:t>
            </w:r>
          </w:p>
        </w:tc>
        <w:tc>
          <w:tcPr>
            <w:tcW w:type="dxa" w:w="3264"/>
          </w:tcPr>
          <w:p>
            <w:r>
              <w:t>Can the pipeline run within the latency budget?</w:t>
            </w:r>
          </w:p>
        </w:tc>
        <w:tc>
          <w:tcPr>
            <w:tcW w:type="dxa" w:w="3264"/>
          </w:tcPr>
          <w:p>
            <w:r>
              <w:t>Hardware specification and latency profile</w:t>
            </w:r>
          </w:p>
        </w:tc>
      </w:tr>
      <w:tr>
        <w:tc>
          <w:tcPr>
            <w:tcW w:type="dxa" w:w="3264"/>
          </w:tcPr>
          <w:p>
            <w:r>
              <w:t>Fault handling</w:t>
            </w:r>
          </w:p>
        </w:tc>
        <w:tc>
          <w:tcPr>
            <w:tcW w:type="dxa" w:w="3264"/>
          </w:tcPr>
          <w:p>
            <w:r>
              <w:t>What happens when one sensor drops out?</w:t>
            </w:r>
          </w:p>
        </w:tc>
        <w:tc>
          <w:tcPr>
            <w:tcW w:type="dxa" w:w="3264"/>
          </w:tcPr>
          <w:p>
            <w:r>
              <w:t>Fault-injection tests and degraded-mode output</w:t>
            </w:r>
          </w:p>
        </w:tc>
      </w:tr>
      <w:tr>
        <w:tc>
          <w:tcPr>
            <w:tcW w:type="dxa" w:w="3264"/>
          </w:tcPr>
          <w:p>
            <w:r>
              <w:t>Cost</w:t>
            </w:r>
          </w:p>
        </w:tc>
        <w:tc>
          <w:tcPr>
            <w:tcW w:type="dxa" w:w="3264"/>
          </w:tcPr>
          <w:p>
            <w:r>
              <w:t>Are hardware and cloud costs justified?</w:t>
            </w:r>
          </w:p>
        </w:tc>
        <w:tc>
          <w:tcPr>
            <w:tcW w:type="dxa" w:w="3264"/>
          </w:tcPr>
          <w:p>
            <w:r>
              <w:t>Itemised estimate and actual quotes</w:t>
            </w:r>
          </w:p>
        </w:tc>
      </w:tr>
      <w:tr>
        <w:tc>
          <w:tcPr>
            <w:tcW w:type="dxa" w:w="3264"/>
          </w:tcPr>
          <w:p>
            <w:r>
              <w:t>Privacy/security</w:t>
            </w:r>
          </w:p>
        </w:tc>
        <w:tc>
          <w:tcPr>
            <w:tcW w:type="dxa" w:w="3264"/>
          </w:tcPr>
          <w:p>
            <w:r>
              <w:t>Can data and credentials be protected?</w:t>
            </w:r>
          </w:p>
        </w:tc>
        <w:tc>
          <w:tcPr>
            <w:tcW w:type="dxa" w:w="3264"/>
          </w:tcPr>
          <w:p>
            <w:r>
              <w:t>Access policy, storage controls, secret scan</w:t>
            </w:r>
          </w:p>
        </w:tc>
      </w:tr>
    </w:tbl>
    <w:p>
      <w:r>
        <w:t>A staged implementation reduces risk: first validate each input independently; next validate timestamps and coordinate transforms; then test association; finally compare camera-only and fused estimates on identical labelled cases. This makes it possible to identify whether any improvement comes from fusion rather than a different dataset or threshold.</w:t>
      </w:r>
    </w:p>
    <w:p>
      <w:pPr>
        <w:pStyle w:val="Heading1"/>
      </w:pPr>
      <w:r>
        <w:t>8. Evaluation Design and Worked Metrics</w:t>
      </w:r>
    </w:p>
    <w:p>
      <w:r>
        <w:t>Evaluate object detection and hazard events separately. For detection, define a match rule such as same class and IoU above a documented threshold. For risk estimation, define the event label and the warning deadline before testing. Compare camera-only and fused configurations on the same test scenarios and report sample counts, precision, recall, F1, latency, false warnings, missed critical events, and performance under sensor dropout.</w:t>
      </w:r>
    </w:p>
    <w:p>
      <w:r>
        <w:t>Illustrative example: if a camera-only baseline has TP=60, FP=10, FN=40, precision is 60/70 = 85.7%, recall is 60/100 = 60%, and F1 is about 70%. If a hypothetical fused run has TP=75, FP=12, FN=25, precision is 75/87 = 86.2%, recall is 75/100 = 75%, and F1 is about 80.4%. These invented values demonstrate how to compare systems; they are not FusionDrive AI results. They also show that a small precision change can coexist with a larger recall improvement. Real conclusions require the same labelled test set and repeated, documented runs.</w:t>
      </w:r>
    </w:p>
    <w:p>
      <w:pPr>
        <w:pStyle w:val="Heading1"/>
      </w:pPr>
      <w:r>
        <w:t>9. Proposed Metrics and Targets</w:t>
      </w:r>
    </w:p>
    <w:tbl>
      <w:tblPr>
        <w:tblStyle w:val="TableGrid"/>
        <w:tblW w:type="auto" w:w="0"/>
        <w:tblLook w:firstColumn="1" w:firstRow="1" w:lastColumn="0" w:lastRow="0" w:noHBand="0" w:noVBand="1" w:val="04A0"/>
      </w:tblPr>
      <w:tblGrid>
        <w:gridCol w:w="3264"/>
        <w:gridCol w:w="3264"/>
        <w:gridCol w:w="3264"/>
      </w:tblGrid>
      <w:tr>
        <w:tc>
          <w:tcPr>
            <w:tcW w:type="dxa" w:w="3264"/>
          </w:tcPr>
          <w:p>
            <w:r>
              <w:t>Metric</w:t>
            </w:r>
          </w:p>
        </w:tc>
        <w:tc>
          <w:tcPr>
            <w:tcW w:type="dxa" w:w="3264"/>
          </w:tcPr>
          <w:p>
            <w:r>
              <w:t>Proposed initial criterion</w:t>
            </w:r>
          </w:p>
        </w:tc>
        <w:tc>
          <w:tcPr>
            <w:tcW w:type="dxa" w:w="3264"/>
          </w:tcPr>
          <w:p>
            <w:r>
              <w:t>Notes</w:t>
            </w:r>
          </w:p>
        </w:tc>
      </w:tr>
      <w:tr>
        <w:tc>
          <w:tcPr>
            <w:tcW w:type="dxa" w:w="3264"/>
          </w:tcPr>
          <w:p>
            <w:r>
              <w:t>Detection precision</w:t>
            </w:r>
          </w:p>
        </w:tc>
        <w:tc>
          <w:tcPr>
            <w:tcW w:type="dxa" w:w="3264"/>
          </w:tcPr>
          <w:p>
            <w:r>
              <w:t>≥ 0.80</w:t>
            </w:r>
          </w:p>
        </w:tc>
        <w:tc>
          <w:tcPr>
            <w:tcW w:type="dxa" w:w="3264"/>
          </w:tcPr>
          <w:p>
            <w:r>
              <w:t>Report by object class and environment</w:t>
            </w:r>
          </w:p>
        </w:tc>
      </w:tr>
      <w:tr>
        <w:tc>
          <w:tcPr>
            <w:tcW w:type="dxa" w:w="3264"/>
          </w:tcPr>
          <w:p>
            <w:r>
              <w:t>Detection recall</w:t>
            </w:r>
          </w:p>
        </w:tc>
        <w:tc>
          <w:tcPr>
            <w:tcW w:type="dxa" w:w="3264"/>
          </w:tcPr>
          <w:p>
            <w:r>
              <w:t>≥ 0.75</w:t>
            </w:r>
          </w:p>
        </w:tc>
        <w:tc>
          <w:tcPr>
            <w:tcW w:type="dxa" w:w="3264"/>
          </w:tcPr>
          <w:p>
            <w:r>
              <w:t>Pay particular attention to critical classes</w:t>
            </w:r>
          </w:p>
        </w:tc>
      </w:tr>
      <w:tr>
        <w:tc>
          <w:tcPr>
            <w:tcW w:type="dxa" w:w="3264"/>
          </w:tcPr>
          <w:p>
            <w:r>
              <w:t>Fusion benefit</w:t>
            </w:r>
          </w:p>
        </w:tc>
        <w:tc>
          <w:tcPr>
            <w:tcW w:type="dxa" w:w="3264"/>
          </w:tcPr>
          <w:p>
            <w:r>
              <w:t>Report paired difference versus baseline</w:t>
            </w:r>
          </w:p>
        </w:tc>
        <w:tc>
          <w:tcPr>
            <w:tcW w:type="dxa" w:w="3264"/>
          </w:tcPr>
          <w:p>
            <w:r>
              <w:t>Do not assume fusion must improve every metric</w:t>
            </w:r>
          </w:p>
        </w:tc>
      </w:tr>
      <w:tr>
        <w:tc>
          <w:tcPr>
            <w:tcW w:type="dxa" w:w="3264"/>
          </w:tcPr>
          <w:p>
            <w:r>
              <w:t>Median latency</w:t>
            </w:r>
          </w:p>
        </w:tc>
        <w:tc>
          <w:tcPr>
            <w:tcW w:type="dxa" w:w="3264"/>
          </w:tcPr>
          <w:p>
            <w:r>
              <w:t>≤ 200 ms/frame on stated hardware</w:t>
            </w:r>
          </w:p>
        </w:tc>
        <w:tc>
          <w:tcPr>
            <w:tcW w:type="dxa" w:w="3264"/>
          </w:tcPr>
          <w:p>
            <w:r>
              <w:t>Also report 95th percentile</w:t>
            </w:r>
          </w:p>
        </w:tc>
      </w:tr>
      <w:tr>
        <w:tc>
          <w:tcPr>
            <w:tcW w:type="dxa" w:w="3264"/>
          </w:tcPr>
          <w:p>
            <w:r>
              <w:t>Sensor dropout handling</w:t>
            </w:r>
          </w:p>
        </w:tc>
        <w:tc>
          <w:tcPr>
            <w:tcW w:type="dxa" w:w="3264"/>
          </w:tcPr>
          <w:p>
            <w:r>
              <w:t>All injected dropout cases produce a logged degraded/unknown state</w:t>
            </w:r>
          </w:p>
        </w:tc>
        <w:tc>
          <w:tcPr>
            <w:tcW w:type="dxa" w:w="3264"/>
          </w:tcPr>
          <w:p>
            <w:r>
              <w:t>Do not silently reuse stale values</w:t>
            </w:r>
          </w:p>
        </w:tc>
      </w:tr>
      <w:tr>
        <w:tc>
          <w:tcPr>
            <w:tcW w:type="dxa" w:w="3264"/>
          </w:tcPr>
          <w:p>
            <w:r>
              <w:t>Association quality</w:t>
            </w:r>
          </w:p>
        </w:tc>
        <w:tc>
          <w:tcPr>
            <w:tcW w:type="dxa" w:w="3264"/>
          </w:tcPr>
          <w:p>
            <w:r>
              <w:t>Report match rate and mismatches</w:t>
            </w:r>
          </w:p>
        </w:tc>
        <w:tc>
          <w:tcPr>
            <w:tcW w:type="dxa" w:w="3264"/>
          </w:tcPr>
          <w:p>
            <w:r>
              <w:t>Use labelled or simulator-truth associations</w:t>
            </w:r>
          </w:p>
        </w:tc>
      </w:tr>
      <w:tr>
        <w:tc>
          <w:tcPr>
            <w:tcW w:type="dxa" w:w="3264"/>
          </w:tcPr>
          <w:p>
            <w:r>
              <w:t>TTC error</w:t>
            </w:r>
          </w:p>
        </w:tc>
        <w:tc>
          <w:tcPr>
            <w:tcW w:type="dxa" w:w="3264"/>
          </w:tcPr>
          <w:p>
            <w:r>
              <w:t>Report MAE when reference TTC is available</w:t>
            </w:r>
          </w:p>
        </w:tc>
        <w:tc>
          <w:tcPr>
            <w:tcW w:type="dxa" w:w="3264"/>
          </w:tcPr>
          <w:p>
            <w:r>
              <w:t>Define valid time interval and exclusions</w:t>
            </w:r>
          </w:p>
        </w:tc>
      </w:tr>
    </w:tbl>
    <w:p>
      <w:r>
        <w:t>Targets are proposed engineering goals, not standards or achieved results. The final evaluation should include uncertainty or variation across runs where possible. A result from a small test set must be described as preliminary.</w:t>
      </w:r>
    </w:p>
    <w:p>
      <w:pPr>
        <w:pStyle w:val="Heading1"/>
      </w:pPr>
      <w:r>
        <w:t>10. Data and Experiment Management</w:t>
      </w:r>
    </w:p>
    <w:p>
      <w:r>
        <w:t>For each run, save scenario ID, data source, sensor timestamps, calibration version, model version, association configuration, thresholds, hardware/software environment, metrics, and known exclusions. Keep labels separate from predictions. Avoid tuning the final test set repeatedly. For public datasets, check the licence and follow access rules; use simulator data when it provides a more controlled way to create rare events.</w:t>
      </w:r>
    </w:p>
    <w:p>
      <w:pPr>
        <w:pStyle w:val="Heading1"/>
      </w:pPr>
      <w:r>
        <w:t>11. Cybersecurity, Privacy, and Failure Handling</w:t>
      </w:r>
    </w:p>
    <w:p>
      <w:pPr>
        <w:pStyle w:val="ListBullet"/>
      </w:pPr>
      <w:r>
        <w:t>Use least-privilege accounts and MFA where available; restrict access to data and model artifacts.</w:t>
      </w:r>
    </w:p>
    <w:p>
      <w:pPr>
        <w:pStyle w:val="ListBullet"/>
      </w:pPr>
      <w:r>
        <w:t>Never commit credentials, certificates, private recordings, or personal data to public GitHub.</w:t>
      </w:r>
    </w:p>
    <w:p>
      <w:pPr>
        <w:pStyle w:val="ListBullet"/>
      </w:pPr>
      <w:r>
        <w:t>Use encrypted transfer and storage where supported; disable public storage access unless explicitly required.</w:t>
      </w:r>
    </w:p>
    <w:p>
      <w:pPr>
        <w:pStyle w:val="ListBullet"/>
      </w:pPr>
      <w:r>
        <w:t>Validate message schema, units, timestamp order, coordinate frames, and numeric ranges before fusion.</w:t>
      </w:r>
    </w:p>
    <w:p>
      <w:pPr>
        <w:pStyle w:val="ListBullet"/>
      </w:pPr>
      <w:r>
        <w:t>Mark missing, stale, or inconsistent inputs as invalid and log degraded operation.</w:t>
      </w:r>
    </w:p>
    <w:p>
      <w:pPr>
        <w:pStyle w:val="ListBullet"/>
      </w:pPr>
      <w:r>
        <w:t>Record dependencies and versions; scan repository and dependencies for secrets and known vulnerabilities.</w:t>
      </w:r>
    </w:p>
    <w:p>
      <w:pPr>
        <w:pStyle w:val="ListBullet"/>
      </w:pPr>
      <w:r>
        <w:t>Minimise retained video and identifying data; document purpose, access, retention, and deletion.</w:t>
      </w:r>
    </w:p>
    <w:p>
      <w:pPr>
        <w:pStyle w:val="ListBullet"/>
      </w:pPr>
      <w:r>
        <w:t>Keep the prototype offline and disconnected from real vehicle actuation.</w:t>
      </w:r>
    </w:p>
    <w:p>
      <w:r>
        <w:t>A sensor conflict should not be hidden by a single fused number. For example, if camera and radar estimates differ substantially, log the discrepancy and apply a documented rule such as rejecting the stale measurement or outputting an uncertain state. The appropriate tolerance must be determined experimentally.</w:t>
      </w:r>
    </w:p>
    <w:p>
      <w:pPr>
        <w:pStyle w:val="Heading1"/>
      </w:pPr>
      <w:r>
        <w:t>12. Limitations and Future Work</w:t>
      </w:r>
    </w:p>
    <w:p>
      <w:r>
        <w:t>The feasibility of fusion depends on sensor availability, calibration quality, timestamp accuracy, labels, compute resources, and the quality of uncertainty estimates. Public datasets may have different sensor configurations and annotation conventions, making direct comparisons difficult. Simulator performance does not prove real-world performance. Future work may include calibrated camera geometry, radar/LiDAR integration, confidence calibration, more extensive stress tests, and hardware profiling after the baseline is stable.</w:t>
      </w:r>
    </w:p>
    <w:p>
      <w:pPr>
        <w:pStyle w:val="Heading1"/>
      </w:pPr>
      <w:r>
        <w:t>13. Conclusion</w:t>
      </w:r>
    </w:p>
    <w:p>
      <w:r>
        <w:t>Sensor fusion is promising because camera, radar, and LiDAR provide complementary information, but it is not automatically more reliable. A credible feasibility study must demonstrate synchronisation, calibration, association, transparent fusion logic, measured comparison against a baseline, and safe handling of invalid inputs. The calculations and metrics in this report provide a reproducible plan; actual benefit remains an empirical question until experiments are performed.</w:t>
      </w:r>
    </w:p>
    <w:p>
      <w:pPr>
        <w:pStyle w:val="Heading1"/>
      </w:pPr>
      <w:r>
        <w:t>References</w:t>
      </w:r>
    </w:p>
    <w:p>
      <w:pPr>
        <w:pStyle w:val="ListBullet"/>
      </w:pPr>
      <w:r>
        <w:t>CARLA Simulator documentation: https://carla.readthedocs.io/</w:t>
      </w:r>
    </w:p>
    <w:p>
      <w:pPr>
        <w:pStyle w:val="ListBullet"/>
      </w:pPr>
      <w:r>
        <w:t>KITTI Vision Benchmark Suite: https://www.cvlibs.net/datasets/kitti/</w:t>
      </w:r>
    </w:p>
    <w:p>
      <w:pPr>
        <w:pStyle w:val="ListBullet"/>
      </w:pPr>
      <w:r>
        <w:t>nuScenes dataset: https://www.nuscenes.org/</w:t>
      </w:r>
    </w:p>
    <w:p>
      <w:pPr>
        <w:pStyle w:val="ListBullet"/>
      </w:pPr>
      <w:r>
        <w:t>OpenCV documentation: https://docs.opencv.org/</w:t>
      </w:r>
    </w:p>
    <w:p>
      <w:pPr>
        <w:pStyle w:val="ListBullet"/>
      </w:pPr>
      <w:r>
        <w:t>NIST Cybersecurity Framework: https://www.nist.gov/cyberframework/</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