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FUSIONDRIVE AI</w:t>
      </w:r>
    </w:p>
    <w:p>
      <w:pPr>
        <w:jc w:val="center"/>
      </w:pPr>
      <w:r>
        <w:rPr>
          <w:b/>
          <w:sz w:val="32"/>
        </w:rPr>
        <w:t>Week 5: Evaluation Report on AI Innovations Impact in Automotive Applications</w:t>
      </w:r>
    </w:p>
    <w:p>
      <w:r>
        <w:t>Report status: Evidence-based review and proposed evaluation framework. Any numerical scenarios marked illustrative are calculations for analysis, not measured outcomes from FusionDrive AI or a claim that a specific company achieved those results.</w:t>
      </w:r>
    </w:p>
    <w:p>
      <w:pPr>
        <w:pStyle w:val="Heading1"/>
      </w:pPr>
      <w:r>
        <w:t>1. Executive Summary</w:t>
      </w:r>
    </w:p>
    <w:p>
      <w:r>
        <w:t>Artificial intelligence is influencing automotive design, manufacturing, vehicle operation, maintenance, and the services offered to drivers. Important application areas include advanced driver-assistance systems (ADAS), automated driving research, predictive maintenance, driver and occupant monitoring, traffic prediction, manufacturing quality inspection, and in-car assistants. These applications can improve detection, consistency, planning, and decision support, but their value depends on data quality, operating conditions, validation, cybersecurity, privacy, and human oversight.</w:t>
      </w:r>
    </w:p>
    <w:p>
      <w:r>
        <w:t>This report evaluates the impact of AI across three central vehicle applications—driver assistance, predictive maintenance, and autonomous-driving functions—and considers manufacturing and customer experience as connected areas. It uses public technical references and documented examples to frame benefits and limitations. Rather than assuming that AI automatically makes vehicles safer or cheaper, the report proposes measurable evaluation criteria such as event detection, false-warning rate, maintenance lead time, unplanned downtime, system availability, latency, and user trust.</w:t>
      </w:r>
    </w:p>
    <w:p>
      <w:r>
        <w:t>FusionDrive AI is a conceptual student research prototype focused on traffic-scene understanding and risk estimation. Its role in this report is to connect the wider review to a practical evaluation plan: define scenarios, compare model output with labelled reference data, log errors and latency, and report limitations. No real-world safety improvement or production performance is claimed for FusionDrive AI. The conclusion is that automotive AI can provide meaningful benefits when the use case is well-defined and evaluated, but deployment must be supported by robust testing, transparent limits, secure data handling, and appropriate safety engineering.</w:t>
      </w:r>
    </w:p>
    <w:p>
      <w:pPr>
        <w:pStyle w:val="Heading1"/>
      </w:pPr>
      <w:r>
        <w:t>2. Introduction and Scope</w:t>
      </w:r>
    </w:p>
    <w:p>
      <w:r>
        <w:t>Modern vehicles generate and process information from cameras, radar, LiDAR, wheel-speed sensors, engine systems, driver controls, and connected services. AI methods can detect patterns in these data that are difficult to specify through fixed rules alone. Machine learning can classify sensor inputs, estimate component degradation, predict traffic patterns, and support natural-language interfaces. Deep learning is particularly useful for image and video perception, while time-series models and statistical learning can help analyse sensor histories.</w:t>
      </w:r>
    </w:p>
    <w:p>
      <w:r>
        <w:t>The impact of AI should be evaluated at the level of a defined task. A model that performs well on a curated dataset may behave differently in rain, darkness, unusual road layouts, sensor faults, or rare events. An AI feature may improve one metric while creating another problem—for example, a more sensitive hazard detector may identify more genuine hazards but also issue more false alerts. Therefore, this report distinguishes potential benefits, evidence needed to verify them, and implementation risks.</w:t>
      </w:r>
    </w:p>
    <w:p>
      <w:pPr>
        <w:pStyle w:val="Heading1"/>
      </w:pPr>
      <w:r>
        <w:t>3. Methodology and Evidence Approach</w:t>
      </w:r>
    </w:p>
    <w:p>
      <w:r>
        <w:t>This is a desk-based evaluation and proposed assessment framework, not a controlled experiment. It synthesises publicly available technical material and dataset/simulator documentation, identifies common automotive AI use cases, and develops measurable criteria that could be used in a student project. Public sources listed in the references should be consulted for their current details, scope, and licensing. Company marketing statements are not treated as independent proof of safety or performance.</w:t>
      </w:r>
    </w:p>
    <w:p>
      <w:r>
        <w:t>For a fair evaluation, each use case should be assessed against a baseline: for example, an existing rule-based warning system, a conventional maintenance schedule, or manual inspection. Tests should use a held-out dataset or controlled scenario set, record the environment and model version, and include both successful and failed cases. Any claimed percentage improvement should specify its source, sample size, comparison method, and operating conditions. When no verified value is available, the report recommends measuring the outcome rather than inventing a result.</w:t>
      </w:r>
    </w:p>
    <w:p>
      <w:pPr>
        <w:pStyle w:val="Heading1"/>
      </w:pPr>
      <w:r>
        <w:t>4. AI in Advanced Driver-Assistance Systems</w:t>
      </w:r>
    </w:p>
    <w:p>
      <w:pPr>
        <w:pStyle w:val="Heading2"/>
      </w:pPr>
      <w:r>
        <w:t>4.1 Main applications</w:t>
      </w:r>
    </w:p>
    <w:p>
      <w:r>
        <w:t>ADAS features include automatic emergency braking, forward-collision warning, adaptive cruise control, lane-departure warning, lane-centering assistance, blind-spot monitoring, and pedestrian detection. AI perception can identify vehicles, pedestrians, cyclists, traffic signs, and lane markings from camera data. Radar can provide range and relative velocity, while other vehicle sensors can provide speed and motion context. Combining signals can make the system more informed, but sensor fusion also requires calibration, timestamp alignment, and explicit handling of conflicting measurements.</w:t>
      </w:r>
    </w:p>
    <w:p>
      <w:r>
        <w:t>The impact can be evaluated through event-level measures, not only frame-level accuracy. For a scripted braking event, useful measures include whether the lead vehicle was detected, whether a warning was raised before a defined time-to-collision threshold, how early the warning occurred, and whether a false warning appeared in a non-hazard scene. Performance should be broken down by weather, illumination, object class, and occlusion.</w:t>
      </w:r>
    </w:p>
    <w:p>
      <w:pPr>
        <w:pStyle w:val="Heading2"/>
      </w:pPr>
      <w:r>
        <w:t>4.2 Benefits and limitations</w:t>
      </w:r>
    </w:p>
    <w:p>
      <w:r>
        <w:t>Potential benefits include earlier hazard awareness, reduced driver workload in some situations, and consistent monitoring of defined conditions. However, the driver remains responsible in many assisted-driving contexts, and assistance features can be limited by sensor visibility, road markings, unusual objects, system boundaries, and driver misuse. A system may perform well on common highway scenes but fail in a rare construction zone or when a pedestrian emerges from behind an obstruction. Human-machine interface design matters: warnings must be understandable, timely, and not so frequent that drivers ignore them.</w:t>
      </w:r>
    </w:p>
    <w:p>
      <w:r>
        <w:t>A robust evaluation should measure both missed hazards and nuisance alerts. Precision describes the proportion of positive detections that are correct; recall describes the proportion of labelled positives that are detected. A model with high precision but low recall may miss hazards, while a model with high recall but poor precision may overwhelm users with false warnings. Both should be reported with the underlying counts.</w:t>
      </w:r>
    </w:p>
    <w:p>
      <w:pPr>
        <w:pStyle w:val="Heading1"/>
      </w:pPr>
      <w:r>
        <w:t>5. AI in Predictive Maintenance and Vehicle Health</w:t>
      </w:r>
    </w:p>
    <w:p>
      <w:r>
        <w:t>Predictive maintenance uses sensor histories and diagnostic data to estimate faults or deterioration before a component fails. Possible inputs include engine temperature, vibration, oil pressure, battery voltage, charging behaviour, fault codes, mileage, and service history. Models can detect anomalies, estimate remaining useful life, or prioritise inspections. In electric vehicles, battery state-of-health estimation and thermal monitoring are important areas; in conventional vehicles, engine, transmission, brake, and auxiliary-system data may be relevant.</w:t>
      </w:r>
    </w:p>
    <w:p>
      <w:r>
        <w:t>Potential benefits include reduced unexpected downtime, more targeted servicing, better parts planning, and improved fleet availability. Limitations include sparse examples of rare failures, differences between vehicle models, changing driving styles, sensor drift, and the cost of false alarms. A model trained on one fleet may not transfer reliably to another without validation. Maintenance decisions should retain human inspection and manufacturer requirements rather than relying exclusively on an unverified prediction.</w:t>
      </w:r>
    </w:p>
    <w:p>
      <w:pPr>
        <w:pStyle w:val="Heading2"/>
      </w:pPr>
      <w:r>
        <w:t>5.1 Evaluation criteria</w:t>
      </w:r>
    </w:p>
    <w:tbl>
      <w:tblPr>
        <w:tblStyle w:val="TableGrid"/>
        <w:tblW w:type="auto" w:w="0"/>
        <w:tblLook w:firstColumn="1" w:firstRow="1" w:lastColumn="0" w:lastRow="0" w:noHBand="0" w:noVBand="1" w:val="04A0"/>
      </w:tblPr>
      <w:tblGrid>
        <w:gridCol w:w="3264"/>
        <w:gridCol w:w="3264"/>
        <w:gridCol w:w="3264"/>
      </w:tblGrid>
      <w:tr>
        <w:tc>
          <w:tcPr>
            <w:tcW w:type="dxa" w:w="3264"/>
          </w:tcPr>
          <w:p>
            <w:r>
              <w:t>Metric</w:t>
            </w:r>
          </w:p>
        </w:tc>
        <w:tc>
          <w:tcPr>
            <w:tcW w:type="dxa" w:w="3264"/>
          </w:tcPr>
          <w:p>
            <w:r>
              <w:t>Definition</w:t>
            </w:r>
          </w:p>
        </w:tc>
        <w:tc>
          <w:tcPr>
            <w:tcW w:type="dxa" w:w="3264"/>
          </w:tcPr>
          <w:p>
            <w:r>
              <w:t>Why it matters</w:t>
            </w:r>
          </w:p>
        </w:tc>
      </w:tr>
      <w:tr>
        <w:tc>
          <w:tcPr>
            <w:tcW w:type="dxa" w:w="3264"/>
          </w:tcPr>
          <w:p>
            <w:r>
              <w:t>Fault-detection recall</w:t>
            </w:r>
          </w:p>
        </w:tc>
        <w:tc>
          <w:tcPr>
            <w:tcW w:type="dxa" w:w="3264"/>
          </w:tcPr>
          <w:p>
            <w:r>
              <w:t>Detected known faults / all labelled faults</w:t>
            </w:r>
          </w:p>
        </w:tc>
        <w:tc>
          <w:tcPr>
            <w:tcW w:type="dxa" w:w="3264"/>
          </w:tcPr>
          <w:p>
            <w:r>
              <w:t>Measures missed faults</w:t>
            </w:r>
          </w:p>
        </w:tc>
      </w:tr>
      <w:tr>
        <w:tc>
          <w:tcPr>
            <w:tcW w:type="dxa" w:w="3264"/>
          </w:tcPr>
          <w:p>
            <w:r>
              <w:t>Precision of alerts</w:t>
            </w:r>
          </w:p>
        </w:tc>
        <w:tc>
          <w:tcPr>
            <w:tcW w:type="dxa" w:w="3264"/>
          </w:tcPr>
          <w:p>
            <w:r>
              <w:t>Correct fault alerts / all fault alerts</w:t>
            </w:r>
          </w:p>
        </w:tc>
        <w:tc>
          <w:tcPr>
            <w:tcW w:type="dxa" w:w="3264"/>
          </w:tcPr>
          <w:p>
            <w:r>
              <w:t>Measures unnecessary inspections</w:t>
            </w:r>
          </w:p>
        </w:tc>
      </w:tr>
      <w:tr>
        <w:tc>
          <w:tcPr>
            <w:tcW w:type="dxa" w:w="3264"/>
          </w:tcPr>
          <w:p>
            <w:r>
              <w:t>Lead time</w:t>
            </w:r>
          </w:p>
        </w:tc>
        <w:tc>
          <w:tcPr>
            <w:tcW w:type="dxa" w:w="3264"/>
          </w:tcPr>
          <w:p>
            <w:r>
              <w:t>Time between alert and confirmed failure/maintenance</w:t>
            </w:r>
          </w:p>
        </w:tc>
        <w:tc>
          <w:tcPr>
            <w:tcW w:type="dxa" w:w="3264"/>
          </w:tcPr>
          <w:p>
            <w:r>
              <w:t>Measures whether warning is actionable</w:t>
            </w:r>
          </w:p>
        </w:tc>
      </w:tr>
      <w:tr>
        <w:tc>
          <w:tcPr>
            <w:tcW w:type="dxa" w:w="3264"/>
          </w:tcPr>
          <w:p>
            <w:r>
              <w:t>Unplanned downtime</w:t>
            </w:r>
          </w:p>
        </w:tc>
        <w:tc>
          <w:tcPr>
            <w:tcW w:type="dxa" w:w="3264"/>
          </w:tcPr>
          <w:p>
            <w:r>
              <w:t>Hours unavailable during a defined period</w:t>
            </w:r>
          </w:p>
        </w:tc>
        <w:tc>
          <w:tcPr>
            <w:tcW w:type="dxa" w:w="3264"/>
          </w:tcPr>
          <w:p>
            <w:r>
              <w:t>Operational outcome</w:t>
            </w:r>
          </w:p>
        </w:tc>
      </w:tr>
      <w:tr>
        <w:tc>
          <w:tcPr>
            <w:tcW w:type="dxa" w:w="3264"/>
          </w:tcPr>
          <w:p>
            <w:r>
              <w:t>False alerts per vehicle-month</w:t>
            </w:r>
          </w:p>
        </w:tc>
        <w:tc>
          <w:tcPr>
            <w:tcW w:type="dxa" w:w="3264"/>
          </w:tcPr>
          <w:p>
            <w:r>
              <w:t>False maintenance alerts divided by monitored vehicle-months</w:t>
            </w:r>
          </w:p>
        </w:tc>
        <w:tc>
          <w:tcPr>
            <w:tcW w:type="dxa" w:w="3264"/>
          </w:tcPr>
          <w:p>
            <w:r>
              <w:t>Captures alert burden</w:t>
            </w:r>
          </w:p>
        </w:tc>
      </w:tr>
      <w:tr>
        <w:tc>
          <w:tcPr>
            <w:tcW w:type="dxa" w:w="3264"/>
          </w:tcPr>
          <w:p>
            <w:r>
              <w:t>Calibration error</w:t>
            </w:r>
          </w:p>
        </w:tc>
        <w:tc>
          <w:tcPr>
            <w:tcW w:type="dxa" w:w="3264"/>
          </w:tcPr>
          <w:p>
            <w:r>
              <w:t>Difference between predicted and observed risk/failure frequency</w:t>
            </w:r>
          </w:p>
        </w:tc>
        <w:tc>
          <w:tcPr>
            <w:tcW w:type="dxa" w:w="3264"/>
          </w:tcPr>
          <w:p>
            <w:r>
              <w:t>Checks whether probabilities are meaningful</w:t>
            </w:r>
          </w:p>
        </w:tc>
      </w:tr>
    </w:tbl>
    <w:p>
      <w:r>
        <w:t>A fair study should compare the AI model with the current maintenance schedule or diagnostic rules on the same evaluation period. It should include the cost of a missed failure, the cost of an unnecessary inspection, and the cost of data collection. An accurate anomaly score is not automatically economically useful if it arrives too late or produces too many low-value alerts.</w:t>
      </w:r>
    </w:p>
    <w:p>
      <w:pPr>
        <w:pStyle w:val="Heading1"/>
      </w:pPr>
      <w:r>
        <w:t>6. AI and Autonomous-Driving Functions</w:t>
      </w:r>
    </w:p>
    <w:p>
      <w:r>
        <w:t>Automated-driving systems combine perception, localisation, prediction, planning, and control. AI may detect road users, estimate their trajectories, classify drivable areas, interpret signs, and predict how surrounding traffic might move. Planning components then choose a path or manoeuvre subject to safety constraints. Automated-driving capability is not a single binary property: systems differ in operating domain, weather limits, road types, speed range, driver supervision requirements, and fallback responsibilities.</w:t>
      </w:r>
    </w:p>
    <w:p>
      <w:r>
        <w:t>The principal evaluation challenge is the long tail of rare, complex scenarios. A large average test score cannot by itself establish safety. Testing should include cut-ins, emergency braking, pedestrians, cyclists, occlusion, roadworks, unusual objects, sensor faults, and degraded weather. Simulation is useful because events can be repeated under controlled conditions, but simulated success must be supplemented by appropriate real-world validation and safety analysis before any deployment claim.</w:t>
      </w:r>
    </w:p>
    <w:p>
      <w:r>
        <w:t>Public resources such as CARLA, KITTI, and nuScenes can support research and evaluation, subject to their own documentation and licence terms. They serve different purposes: simulators support controlled scenario generation; datasets provide recorded examples and labels. Their results should not be merged without explaining differences in sensor setup, annotation conventions, and test conditions.</w:t>
      </w:r>
    </w:p>
    <w:p>
      <w:pPr>
        <w:pStyle w:val="Heading1"/>
      </w:pPr>
      <w:r>
        <w:t>7. AI in Automotive Manufacturing and Quality Control</w:t>
      </w:r>
    </w:p>
    <w:p>
      <w:r>
        <w:t>AI is also used in manufacturing for visual inspection, defect detection, robotic process monitoring, predictive maintenance of production equipment, and supply-chain forecasting. Computer vision can inspect welds, paint, surface defects, assembly presence, and part alignment. Models can prioritise suspicious cases for human review, potentially improving consistency and throughput. Predictive models can identify equipment behaviour associated with downtime.</w:t>
      </w:r>
    </w:p>
    <w:p>
      <w:r>
        <w:t>Risks include false rejection of acceptable parts, missed defects, changes in lighting or camera placement, model drift as products change, and overreliance on automated inspection. A factory evaluation should report defect-level recall, false-reject rate, inspection time, rework rate, and performance by defect type. The cost of a missed safety-critical defect is different from the cost of a cosmetic false alarm, so thresholds should reflect consequence and must be validated.</w:t>
      </w:r>
    </w:p>
    <w:p>
      <w:pPr>
        <w:pStyle w:val="Heading1"/>
      </w:pPr>
      <w:r>
        <w:t>8. AI in In-Car Assistants and Driver Monitoring</w:t>
      </w:r>
    </w:p>
    <w:p>
      <w:r>
        <w:t>Natural-language assistants can help occupants search for navigation destinations, adjust supported settings, or understand vehicle information. Driver-monitoring systems may estimate gaze direction, drowsiness-related behaviour, or signs of distraction. These applications affect consumer experience and privacy because they may process voice, facial, behavioural, and location data.</w:t>
      </w:r>
    </w:p>
    <w:p>
      <w:r>
        <w:t>Evaluation should consider task completion, response time, misunderstanding rate, user satisfaction, accessibility, and failure recovery. Driver-monitoring evaluation should measure detection performance across lighting, eyewear, head pose, and diverse users, while avoiding unsupported claims about a person's internal state. Voice and face data should be minimised, protected, and retained only as necessary. Users should receive clear information about what is collected and how it is used.</w:t>
      </w:r>
    </w:p>
    <w:p>
      <w:pPr>
        <w:pStyle w:val="Heading1"/>
      </w:pPr>
      <w:r>
        <w:t>9. Comparative Impact Summary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Application</w:t>
            </w:r>
          </w:p>
        </w:tc>
        <w:tc>
          <w:tcPr>
            <w:tcW w:type="dxa" w:w="2448"/>
          </w:tcPr>
          <w:p>
            <w:r>
              <w:t>Potential value</w:t>
            </w:r>
          </w:p>
        </w:tc>
        <w:tc>
          <w:tcPr>
            <w:tcW w:type="dxa" w:w="2448"/>
          </w:tcPr>
          <w:p>
            <w:r>
              <w:t>Key risks</w:t>
            </w:r>
          </w:p>
        </w:tc>
        <w:tc>
          <w:tcPr>
            <w:tcW w:type="dxa" w:w="2448"/>
          </w:tcPr>
          <w:p>
            <w:r>
              <w:t>Useful evaluation evidence</w:t>
            </w:r>
          </w:p>
        </w:tc>
      </w:tr>
      <w:tr>
        <w:tc>
          <w:tcPr>
            <w:tcW w:type="dxa" w:w="2448"/>
          </w:tcPr>
          <w:p>
            <w:r>
              <w:t>ADAS</w:t>
            </w:r>
          </w:p>
        </w:tc>
        <w:tc>
          <w:tcPr>
            <w:tcW w:type="dxa" w:w="2448"/>
          </w:tcPr>
          <w:p>
            <w:r>
              <w:t>Earlier hazard awareness and assistance</w:t>
            </w:r>
          </w:p>
        </w:tc>
        <w:tc>
          <w:tcPr>
            <w:tcW w:type="dxa" w:w="2448"/>
          </w:tcPr>
          <w:p>
            <w:r>
              <w:t>Missed hazards, false alerts, sensor limits</w:t>
            </w:r>
          </w:p>
        </w:tc>
        <w:tc>
          <w:tcPr>
            <w:tcW w:type="dxa" w:w="2448"/>
          </w:tcPr>
          <w:p>
            <w:r>
              <w:t>Event recall, warning lead time, nuisance-alert rate</w:t>
            </w:r>
          </w:p>
        </w:tc>
      </w:tr>
      <w:tr>
        <w:tc>
          <w:tcPr>
            <w:tcW w:type="dxa" w:w="2448"/>
          </w:tcPr>
          <w:p>
            <w:r>
              <w:t>Predictive maintenance</w:t>
            </w:r>
          </w:p>
        </w:tc>
        <w:tc>
          <w:tcPr>
            <w:tcW w:type="dxa" w:w="2448"/>
          </w:tcPr>
          <w:p>
            <w:r>
              <w:t>Fewer unexpected failures; better service planning</w:t>
            </w:r>
          </w:p>
        </w:tc>
        <w:tc>
          <w:tcPr>
            <w:tcW w:type="dxa" w:w="2448"/>
          </w:tcPr>
          <w:p>
            <w:r>
              <w:t>False alarms, late detection, fleet shift</w:t>
            </w:r>
          </w:p>
        </w:tc>
        <w:tc>
          <w:tcPr>
            <w:tcW w:type="dxa" w:w="2448"/>
          </w:tcPr>
          <w:p>
            <w:r>
              <w:t>Lead time, downtime, precision/recall, cost</w:t>
            </w:r>
          </w:p>
        </w:tc>
      </w:tr>
      <w:tr>
        <w:tc>
          <w:tcPr>
            <w:tcW w:type="dxa" w:w="2448"/>
          </w:tcPr>
          <w:p>
            <w:r>
              <w:t>Automated driving</w:t>
            </w:r>
          </w:p>
        </w:tc>
        <w:tc>
          <w:tcPr>
            <w:tcW w:type="dxa" w:w="2448"/>
          </w:tcPr>
          <w:p>
            <w:r>
              <w:t>Perception and planning support within a defined operating domain</w:t>
            </w:r>
          </w:p>
        </w:tc>
        <w:tc>
          <w:tcPr>
            <w:tcW w:type="dxa" w:w="2448"/>
          </w:tcPr>
          <w:p>
            <w:r>
              <w:t>Rare-event failures, unsafe generalisation</w:t>
            </w:r>
          </w:p>
        </w:tc>
        <w:tc>
          <w:tcPr>
            <w:tcW w:type="dxa" w:w="2448"/>
          </w:tcPr>
          <w:p>
            <w:r>
              <w:t>Scenario coverage, disengagement/failure analysis, safety case</w:t>
            </w:r>
          </w:p>
        </w:tc>
      </w:tr>
      <w:tr>
        <w:tc>
          <w:tcPr>
            <w:tcW w:type="dxa" w:w="2448"/>
          </w:tcPr>
          <w:p>
            <w:r>
              <w:t>Manufacturing inspection</w:t>
            </w:r>
          </w:p>
        </w:tc>
        <w:tc>
          <w:tcPr>
            <w:tcW w:type="dxa" w:w="2448"/>
          </w:tcPr>
          <w:p>
            <w:r>
              <w:t>Consistent defect screening and process monitoring</w:t>
            </w:r>
          </w:p>
        </w:tc>
        <w:tc>
          <w:tcPr>
            <w:tcW w:type="dxa" w:w="2448"/>
          </w:tcPr>
          <w:p>
            <w:r>
              <w:t>Missed defects, false rejection, model drift</w:t>
            </w:r>
          </w:p>
        </w:tc>
        <w:tc>
          <w:tcPr>
            <w:tcW w:type="dxa" w:w="2448"/>
          </w:tcPr>
          <w:p>
            <w:r>
              <w:t>Defect recall, false-reject rate, throughput</w:t>
            </w:r>
          </w:p>
        </w:tc>
      </w:tr>
      <w:tr>
        <w:tc>
          <w:tcPr>
            <w:tcW w:type="dxa" w:w="2448"/>
          </w:tcPr>
          <w:p>
            <w:r>
              <w:t>Driver/voice assistants</w:t>
            </w:r>
          </w:p>
        </w:tc>
        <w:tc>
          <w:tcPr>
            <w:tcW w:type="dxa" w:w="2448"/>
          </w:tcPr>
          <w:p>
            <w:r>
              <w:t>Convenience and easier interaction</w:t>
            </w:r>
          </w:p>
        </w:tc>
        <w:tc>
          <w:tcPr>
            <w:tcW w:type="dxa" w:w="2448"/>
          </w:tcPr>
          <w:p>
            <w:r>
              <w:t>Privacy, misunderstanding, distraction</w:t>
            </w:r>
          </w:p>
        </w:tc>
        <w:tc>
          <w:tcPr>
            <w:tcW w:type="dxa" w:w="2448"/>
          </w:tcPr>
          <w:p>
            <w:r>
              <w:t>Task success, error rate, response time, user feedback</w:t>
            </w:r>
          </w:p>
        </w:tc>
      </w:tr>
    </w:tbl>
    <w:p>
      <w:pPr>
        <w:pStyle w:val="Heading1"/>
      </w:pPr>
      <w:r>
        <w:t>10. Worked Numerical Examples for Evaluation</w:t>
      </w:r>
    </w:p>
    <w:p>
      <w:pPr>
        <w:pStyle w:val="Heading2"/>
      </w:pPr>
      <w:r>
        <w:t>10.1 Detection metrics example</w:t>
      </w:r>
    </w:p>
    <w:p>
      <w:r>
        <w:t>Consider an illustrative labelled evaluation with 100 positive object instances. Suppose the model correctly detects 72 instances (true positives, TP=72), produces 8 unmatched detections (false positives, FP=8), and misses 28 labelled instances (false negatives, FN=28). Precision = TP/(TP+FP) = 72/(72+8) = 72/80 = 90%. Recall = TP/(TP+FN) = 72/(72+28) = 72/100 = 72%. F1 = 2 × 0.90 × 0.72/(0.90+0.72) = 80%. These values are illustrative and are not results from a FusionDrive AI run.</w:t>
      </w:r>
    </w:p>
    <w:p>
      <w:r>
        <w:t>Interpretation: the example has higher precision than recall, so missed objects deserve investigation. The analysis should separate vehicles, pedestrians, cyclists, and visibility conditions. The result should also state the number of frames, matching rule, and IoU threshold used.</w:t>
      </w:r>
    </w:p>
    <w:p>
      <w:pPr>
        <w:pStyle w:val="Heading2"/>
      </w:pPr>
      <w:r>
        <w:t>10.2 Maintenance alert example</w:t>
      </w:r>
    </w:p>
    <w:p>
      <w:r>
        <w:t>Suppose a fleet trial observes 40 confirmed faults and the model flags 32 of them, while producing 8 false alerts. Recall is 32/40 = 80%. If the 32 true alerts and 8 false alerts are the only alerts counted, alert precision is 32/(32+8) = 80%. These hypothetical counts illustrate the calculation, not an observed fleet outcome. To judge value, the evaluation must also measure how early the alerts occurred and whether the avoided downtime exceeded the costs of inspections and system operation.</w:t>
      </w:r>
    </w:p>
    <w:p>
      <w:pPr>
        <w:pStyle w:val="Heading2"/>
      </w:pPr>
      <w:r>
        <w:t>10.3 Cost-benefit example</w:t>
      </w:r>
    </w:p>
    <w:p>
      <w:r>
        <w:t>A simple planning example can make economic assumptions visible. Suppose a fleet experiences 10 unplanned incidents per year and each incident costs an estimated ₹20,000 in repairs, towing, and downtime. The baseline annual cost is 10 × ₹20,000 = ₹2,00,000. If a hypothetical pilot later demonstrates a 20% reduction in incidents, the estimated avoided cost would be 2 × ₹20,000 = ₹40,000 per year. If implementation and operation cost ₹60,000 annually, this scenario would not break even on these costs alone. The reduction is hypothetical and must not be presented as an actual AI benefit. A real business case needs measured incident rates, credible causal attribution, all operating costs, and uncertainty ranges.</w:t>
      </w:r>
    </w:p>
    <w:p>
      <w:pPr>
        <w:pStyle w:val="Heading1"/>
      </w:pPr>
      <w:r>
        <w:t>11. Evaluation Framework for FusionDrive AI</w:t>
      </w:r>
    </w:p>
    <w:p>
      <w:r>
        <w:t>FusionDrive AI should be evaluated as a research prototype, not as a certified vehicle feature. The initial evaluation should use labelled recorded frames or repeatable simulator scenarios. Define the scenario matrix and success criteria before running the model. Keep a fixed test set separate from model development and threshold tuning. Log model version, configuration, scenario ID, timestamps, predictions, reference labels, latency, and known exclusions.</w:t>
      </w:r>
    </w:p>
    <w:tbl>
      <w:tblPr>
        <w:tblStyle w:val="TableGrid"/>
        <w:tblW w:type="auto" w:w="0"/>
        <w:tblLook w:firstColumn="1" w:firstRow="1" w:lastColumn="0" w:lastRow="0" w:noHBand="0" w:noVBand="1" w:val="04A0"/>
      </w:tblPr>
      <w:tblGrid>
        <w:gridCol w:w="3264"/>
        <w:gridCol w:w="3264"/>
        <w:gridCol w:w="3264"/>
      </w:tblGrid>
      <w:tr>
        <w:tc>
          <w:tcPr>
            <w:tcW w:type="dxa" w:w="3264"/>
          </w:tcPr>
          <w:p>
            <w:r>
              <w:t>Indicator</w:t>
            </w:r>
          </w:p>
        </w:tc>
        <w:tc>
          <w:tcPr>
            <w:tcW w:type="dxa" w:w="3264"/>
          </w:tcPr>
          <w:p>
            <w:r>
              <w:t>Proposed initial target</w:t>
            </w:r>
          </w:p>
        </w:tc>
        <w:tc>
          <w:tcPr>
            <w:tcW w:type="dxa" w:w="3264"/>
          </w:tcPr>
          <w:p>
            <w:r>
              <w:t>Required evidence</w:t>
            </w:r>
          </w:p>
        </w:tc>
      </w:tr>
      <w:tr>
        <w:tc>
          <w:tcPr>
            <w:tcW w:type="dxa" w:w="3264"/>
          </w:tcPr>
          <w:p>
            <w:r>
              <w:t>Detection precision</w:t>
            </w:r>
          </w:p>
        </w:tc>
        <w:tc>
          <w:tcPr>
            <w:tcW w:type="dxa" w:w="3264"/>
          </w:tcPr>
          <w:p>
            <w:r>
              <w:t>≥ 0.80 overall</w:t>
            </w:r>
          </w:p>
        </w:tc>
        <w:tc>
          <w:tcPr>
            <w:tcW w:type="dxa" w:w="3264"/>
          </w:tcPr>
          <w:p>
            <w:r>
              <w:t>Labelled predictions and documented match rule</w:t>
            </w:r>
          </w:p>
        </w:tc>
      </w:tr>
      <w:tr>
        <w:tc>
          <w:tcPr>
            <w:tcW w:type="dxa" w:w="3264"/>
          </w:tcPr>
          <w:p>
            <w:r>
              <w:t>Detection recall</w:t>
            </w:r>
          </w:p>
        </w:tc>
        <w:tc>
          <w:tcPr>
            <w:tcW w:type="dxa" w:w="3264"/>
          </w:tcPr>
          <w:p>
            <w:r>
              <w:t>≥ 0.75 overall</w:t>
            </w:r>
          </w:p>
        </w:tc>
        <w:tc>
          <w:tcPr>
            <w:tcW w:type="dxa" w:w="3264"/>
          </w:tcPr>
          <w:p>
            <w:r>
              <w:t>False-negative review by class and scenario</w:t>
            </w:r>
          </w:p>
        </w:tc>
      </w:tr>
      <w:tr>
        <w:tc>
          <w:tcPr>
            <w:tcW w:type="dxa" w:w="3264"/>
          </w:tcPr>
          <w:p>
            <w:r>
              <w:t>Critical-event recall</w:t>
            </w:r>
          </w:p>
        </w:tc>
        <w:tc>
          <w:tcPr>
            <w:tcW w:type="dxa" w:w="3264"/>
          </w:tcPr>
          <w:p>
            <w:r>
              <w:t>≥ 0.80 on scripted cases</w:t>
            </w:r>
          </w:p>
        </w:tc>
        <w:tc>
          <w:tcPr>
            <w:tcW w:type="dxa" w:w="3264"/>
          </w:tcPr>
          <w:p>
            <w:r>
              <w:t>Event definitions and event-level counts</w:t>
            </w:r>
          </w:p>
        </w:tc>
      </w:tr>
      <w:tr>
        <w:tc>
          <w:tcPr>
            <w:tcW w:type="dxa" w:w="3264"/>
          </w:tcPr>
          <w:p>
            <w:r>
              <w:t>Median latency</w:t>
            </w:r>
          </w:p>
        </w:tc>
        <w:tc>
          <w:tcPr>
            <w:tcW w:type="dxa" w:w="3264"/>
          </w:tcPr>
          <w:p>
            <w:r>
              <w:t>≤ 200 ms/frame on stated hardware</w:t>
            </w:r>
          </w:p>
        </w:tc>
        <w:tc>
          <w:tcPr>
            <w:tcW w:type="dxa" w:w="3264"/>
          </w:tcPr>
          <w:p>
            <w:r>
              <w:t>Input/output timestamps; report 95th percentile</w:t>
            </w:r>
          </w:p>
        </w:tc>
      </w:tr>
      <w:tr>
        <w:tc>
          <w:tcPr>
            <w:tcW w:type="dxa" w:w="3264"/>
          </w:tcPr>
          <w:p>
            <w:r>
              <w:t>False warnings</w:t>
            </w:r>
          </w:p>
        </w:tc>
        <w:tc>
          <w:tcPr>
            <w:tcW w:type="dxa" w:w="3264"/>
          </w:tcPr>
          <w:p>
            <w:r>
              <w:t>≤ 2 per 10 minutes in selected baseline scenarios</w:t>
            </w:r>
          </w:p>
        </w:tc>
        <w:tc>
          <w:tcPr>
            <w:tcW w:type="dxa" w:w="3264"/>
          </w:tcPr>
          <w:p>
            <w:r>
              <w:t>Defined warning grouping and evaluated duration</w:t>
            </w:r>
          </w:p>
        </w:tc>
      </w:tr>
      <w:tr>
        <w:tc>
          <w:tcPr>
            <w:tcW w:type="dxa" w:w="3264"/>
          </w:tcPr>
          <w:p>
            <w:r>
              <w:t>Fault handling</w:t>
            </w:r>
          </w:p>
        </w:tc>
        <w:tc>
          <w:tcPr>
            <w:tcW w:type="dxa" w:w="3264"/>
          </w:tcPr>
          <w:p>
            <w:r>
              <w:t>All injected missing-input cases flagged in initial test suite</w:t>
            </w:r>
          </w:p>
        </w:tc>
        <w:tc>
          <w:tcPr>
            <w:tcW w:type="dxa" w:w="3264"/>
          </w:tcPr>
          <w:p>
            <w:r>
              <w:t>Fault-injection records</w:t>
            </w:r>
          </w:p>
        </w:tc>
      </w:tr>
      <w:tr>
        <w:tc>
          <w:tcPr>
            <w:tcW w:type="dxa" w:w="3264"/>
          </w:tcPr>
          <w:p>
            <w:r>
              <w:t>Reproducibility</w:t>
            </w:r>
          </w:p>
        </w:tc>
        <w:tc>
          <w:tcPr>
            <w:tcW w:type="dxa" w:w="3264"/>
          </w:tcPr>
          <w:p>
            <w:r>
              <w:t>Every result linked to a configuration and model version</w:t>
            </w:r>
          </w:p>
        </w:tc>
        <w:tc>
          <w:tcPr>
            <w:tcW w:type="dxa" w:w="3264"/>
          </w:tcPr>
          <w:p>
            <w:r>
              <w:t>Run manifest and version history</w:t>
            </w:r>
          </w:p>
        </w:tc>
      </w:tr>
    </w:tbl>
    <w:p>
      <w:r>
        <w:t>These are proposed acceptance criteria, not automotive standards or measured achievements. If the model has not been run, the report should say 'not measured'. If it has been run, actual metrics should replace targets and include sample sizes, conditions, hardware, and limitations.</w:t>
      </w:r>
    </w:p>
    <w:p>
      <w:pPr>
        <w:pStyle w:val="Heading1"/>
      </w:pPr>
      <w:r>
        <w:t>12. Challenges, Ethics, Privacy, and Cybersecurity</w:t>
      </w:r>
    </w:p>
    <w:p>
      <w:pPr>
        <w:pStyle w:val="ListBullet"/>
      </w:pPr>
      <w:r>
        <w:t>Data bias and coverage: training and test data may underrepresent rare events, road types, weather, or user groups. Report subgroup performance and document limitations.</w:t>
      </w:r>
    </w:p>
    <w:p>
      <w:pPr>
        <w:pStyle w:val="ListBullet"/>
      </w:pPr>
      <w:r>
        <w:t>Safety and accountability: define system boundaries, human supervision, fallback behaviour, and who reviews failures. Do not make safety claims from a single benchmark.</w:t>
      </w:r>
    </w:p>
    <w:p>
      <w:pPr>
        <w:pStyle w:val="ListBullet"/>
      </w:pPr>
      <w:r>
        <w:t>Privacy: minimise collection of faces, licence plates, voice recordings, and precise movement histories; document purpose, access, retention, and deletion.</w:t>
      </w:r>
    </w:p>
    <w:p>
      <w:pPr>
        <w:pStyle w:val="ListBullet"/>
      </w:pPr>
      <w:r>
        <w:t>Cybersecurity: use least-privilege access and MFA where available; encrypt transfers and storage where supported; scan repositories for secrets; review dependencies.</w:t>
      </w:r>
    </w:p>
    <w:p>
      <w:pPr>
        <w:pStyle w:val="ListBullet"/>
      </w:pPr>
      <w:r>
        <w:t>Input robustness: validate timestamps, image formats, sensor ranges, and missing-data states; log uncertainty rather than presenting stale inputs as current.</w:t>
      </w:r>
    </w:p>
    <w:p>
      <w:pPr>
        <w:pStyle w:val="ListBullet"/>
      </w:pPr>
      <w:r>
        <w:t>Model drift: monitor changes in sensors, software, traffic patterns, and vehicle configurations; define when revalidation is required.</w:t>
      </w:r>
    </w:p>
    <w:p>
      <w:pPr>
        <w:pStyle w:val="ListBullet"/>
      </w:pPr>
      <w:r>
        <w:t>Human factors: assess alert fatigue, confusing explanations, accessibility, and appropriate driver understanding.</w:t>
      </w:r>
    </w:p>
    <w:p>
      <w:r>
        <w:t>AI should support defined tasks rather than be treated as infallible. Where outputs influence safety-related decisions, development requires disciplined testing, traceable changes, review of failures, and appropriate professional safety processes.</w:t>
      </w:r>
    </w:p>
    <w:p>
      <w:pPr>
        <w:pStyle w:val="Heading1"/>
      </w:pPr>
      <w:r>
        <w:t>13. Future Trends</w:t>
      </w:r>
    </w:p>
    <w:p>
      <w:r>
        <w:t>Likely areas of continued development include improved multi-sensor fusion, more capable perception and prediction models, simulation-driven testing, data-centric development, edge inference, battery analytics, and more natural in-car interfaces. Generative AI may support vehicle manuals, service assistance, and engineering workflows, but generated answers must be checked against trusted vehicle information and should not independently issue safety-critical commands. More capable models may also require greater compute, careful latency management, and stronger privacy/security controls.</w:t>
      </w:r>
    </w:p>
    <w:p>
      <w:r>
        <w:t>Digital twins and scenario generation can help teams explore unusual situations systematically. Edge computing can reduce dependence on connectivity and keep some data within the vehicle, but it imposes memory, power, thermal, and update constraints. Future value should be assessed through measured reliability, total cost, usability, and operational fit rather than novelty alone.</w:t>
      </w:r>
    </w:p>
    <w:p>
      <w:pPr>
        <w:pStyle w:val="Heading1"/>
      </w:pPr>
      <w:r>
        <w:t>14. Conclusion</w:t>
      </w:r>
    </w:p>
    <w:p>
      <w:r>
        <w:t>AI is already relevant across automotive perception, maintenance, manufacturing, automation research, and driver interaction. Its impact is best understood as a set of task-specific opportunities with measurable benefits and real limitations. ADAS evaluation should measure hazard detection and warning quality; maintenance systems should measure lead time and downtime; manufacturing systems should measure defect detection and false rejection; and driver-facing assistants should measure task success, error rates, and privacy impact.</w:t>
      </w:r>
    </w:p>
    <w:p>
      <w:r>
        <w:t>The FusionDrive AI case illustrates the need to connect architecture to evidence. Worked calculations show how to compute metrics and test a business assumption, but illustrative numbers are not experimental proof. The next step is to run controlled tests, record actual outcomes, investigate failure cases, and update targets based on evidence. Responsible automotive AI depends on transparent limits, secure and privacy-aware data practices, robust validation, and human oversight.</w:t>
      </w:r>
    </w:p>
    <w:p>
      <w:pPr>
        <w:pStyle w:val="Heading1"/>
      </w:pPr>
      <w:r>
        <w:t>References and Further Reading</w:t>
      </w:r>
    </w:p>
    <w:p>
      <w:pPr>
        <w:pStyle w:val="ListBullet"/>
      </w:pPr>
      <w:r>
        <w:t>CARLA Simulator documentation — https://carla.readthedocs.io/</w:t>
      </w:r>
    </w:p>
    <w:p>
      <w:pPr>
        <w:pStyle w:val="ListBullet"/>
      </w:pPr>
      <w:r>
        <w:t>KITTI Vision Benchmark Suite — https://www.cvlibs.net/datasets/kitti/</w:t>
      </w:r>
    </w:p>
    <w:p>
      <w:pPr>
        <w:pStyle w:val="ListBullet"/>
      </w:pPr>
      <w:r>
        <w:t>nuScenes dataset — https://www.nuscenes.org/</w:t>
      </w:r>
    </w:p>
    <w:p>
      <w:pPr>
        <w:pStyle w:val="ListBullet"/>
      </w:pPr>
      <w:r>
        <w:t>National Highway Traffic Safety Administration (NHTSA), Automated Vehicles for Safety — https://www.nhtsa.gov/vehicle-safety/automated-vehicles-safety</w:t>
      </w:r>
    </w:p>
    <w:p>
      <w:pPr>
        <w:pStyle w:val="ListBullet"/>
      </w:pPr>
      <w:r>
        <w:t>OpenCV documentation — https://docs.opencv.org/</w:t>
      </w:r>
    </w:p>
    <w:p>
      <w:pPr>
        <w:pStyle w:val="ListBullet"/>
      </w:pPr>
      <w:r>
        <w:t>Ultralytics documentation — https://docs.ultralytics.com/</w:t>
      </w:r>
    </w:p>
    <w:p>
      <w:pPr>
        <w:pStyle w:val="ListBullet"/>
      </w:pPr>
      <w:r>
        <w:t>NIST Cybersecurity Framework — https://www.nist.gov/cyberframework/</w:t>
      </w:r>
    </w:p>
    <w:p>
      <w:pPr>
        <w:pStyle w:val="ListBullet"/>
      </w:pPr>
      <w:r>
        <w:t>OWASP Top 10 — https://owasp.org/www-project-top-ten/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