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452" w:rsidRDefault="00972B94" w:rsidP="00CC0003">
      <w:pPr>
        <w:pStyle w:val="a5"/>
      </w:pPr>
      <w:r>
        <w:t>Руководство пользователя</w:t>
      </w:r>
      <w:r w:rsidR="00B32452">
        <w:t xml:space="preserve"> программы анализа данных</w:t>
      </w:r>
    </w:p>
    <w:p w:rsidR="007C2C88" w:rsidRDefault="007C2C88" w:rsidP="00CC3527">
      <w:pPr>
        <w:pStyle w:val="2"/>
      </w:pPr>
      <w:r>
        <w:t>Кратное описание программы</w:t>
      </w:r>
    </w:p>
    <w:p w:rsidR="00972B94" w:rsidRDefault="00972B94" w:rsidP="005021DF">
      <w:pPr>
        <w:spacing w:before="200"/>
        <w:ind w:firstLine="708"/>
        <w:jc w:val="both"/>
      </w:pPr>
      <w:r>
        <w:t>Данн</w:t>
      </w:r>
      <w:r w:rsidR="00251033">
        <w:t>ое</w:t>
      </w:r>
      <w:r>
        <w:t xml:space="preserve"> </w:t>
      </w:r>
      <w:r w:rsidR="00CC3527">
        <w:t>приложение</w:t>
      </w:r>
      <w:r>
        <w:t xml:space="preserve"> предназначен</w:t>
      </w:r>
      <w:r w:rsidR="00251033">
        <w:t>о</w:t>
      </w:r>
      <w:r>
        <w:t xml:space="preserve"> для </w:t>
      </w:r>
      <w:r w:rsidR="007C2C88">
        <w:t xml:space="preserve">кластерного </w:t>
      </w:r>
      <w:r w:rsidR="009928D1">
        <w:t>анализа данных</w:t>
      </w:r>
      <w:r w:rsidR="007C2C88">
        <w:t xml:space="preserve"> методом </w:t>
      </w:r>
      <w:r w:rsidR="007C2C88">
        <w:rPr>
          <w:lang w:val="en-US"/>
        </w:rPr>
        <w:t>m</w:t>
      </w:r>
      <w:r w:rsidR="007C2C88">
        <w:t xml:space="preserve">-локальной оптимизации. </w:t>
      </w:r>
      <w:r w:rsidR="00CC3527">
        <w:t>В данны</w:t>
      </w:r>
      <w:r w:rsidR="00251033">
        <w:t>й</w:t>
      </w:r>
      <w:r w:rsidR="00CC3527">
        <w:t xml:space="preserve"> программный продукт также включены процедуры заполнения пропусков в данных и возможность интерактивной визуализации данных.</w:t>
      </w:r>
    </w:p>
    <w:p w:rsidR="00F55D0C" w:rsidRDefault="00F55D0C" w:rsidP="00CC0003">
      <w:pPr>
        <w:pStyle w:val="2"/>
      </w:pPr>
      <w:r>
        <w:t>Формат входных данных</w:t>
      </w:r>
    </w:p>
    <w:p w:rsidR="00CC0003" w:rsidRPr="00CC0003" w:rsidRDefault="00CC0003" w:rsidP="005021DF">
      <w:pPr>
        <w:spacing w:before="200"/>
        <w:ind w:firstLine="708"/>
        <w:jc w:val="both"/>
      </w:pPr>
      <w:r>
        <w:t xml:space="preserve">Анализируемые данные должны иметь следующий формат: данные для анализа записываются в файл в формате </w:t>
      </w:r>
      <w:r w:rsidRPr="007C2C88">
        <w:rPr>
          <w:i/>
          <w:lang w:val="en-US"/>
        </w:rPr>
        <w:t>csv</w:t>
      </w:r>
      <w:r>
        <w:t xml:space="preserve">, где каждый объект записывается построчно. Таким образом, файл представляет набор из </w:t>
      </w:r>
      <w:r>
        <w:rPr>
          <w:lang w:val="en-US"/>
        </w:rPr>
        <w:t>N</w:t>
      </w:r>
      <w:r w:rsidRPr="00CC0003">
        <w:t xml:space="preserve"> </w:t>
      </w:r>
      <w:r>
        <w:t xml:space="preserve"> строк, каждая из которых содержит </w:t>
      </w:r>
      <w:r>
        <w:rPr>
          <w:lang w:val="en-US"/>
        </w:rPr>
        <w:t>M</w:t>
      </w:r>
      <w:r w:rsidRPr="00CC0003">
        <w:t xml:space="preserve"> </w:t>
      </w:r>
      <w:r>
        <w:t xml:space="preserve">чисел (или пробел – в случае пропущенных данных), разделенных запятыми. </w:t>
      </w:r>
    </w:p>
    <w:p w:rsidR="00CC5464" w:rsidRDefault="005B4E67" w:rsidP="00CC0003">
      <w:pPr>
        <w:pStyle w:val="2"/>
      </w:pPr>
      <w:r>
        <w:t>Интерфейс</w:t>
      </w:r>
      <w:r w:rsidR="00CC0003">
        <w:t xml:space="preserve"> </w:t>
      </w:r>
      <w:r>
        <w:t>главного окна программы</w:t>
      </w:r>
    </w:p>
    <w:p w:rsidR="00CC5464" w:rsidRDefault="00CC5464" w:rsidP="005021DF">
      <w:pPr>
        <w:spacing w:before="200"/>
        <w:ind w:firstLine="708"/>
        <w:jc w:val="both"/>
      </w:pPr>
      <w:r>
        <w:t>В главном окне программы расположено меню с пунктами «</w:t>
      </w:r>
      <w:r w:rsidR="00CC0003">
        <w:t>Выход</w:t>
      </w:r>
      <w:r>
        <w:t>», «</w:t>
      </w:r>
      <w:r w:rsidR="00CC0003">
        <w:t>Данные</w:t>
      </w:r>
      <w:r>
        <w:t>», «</w:t>
      </w:r>
      <w:r w:rsidR="00CC0003">
        <w:t>Просмотр</w:t>
      </w:r>
      <w:r>
        <w:t>» и «</w:t>
      </w:r>
      <w:r w:rsidR="00CC0003">
        <w:t>Кластеризация</w:t>
      </w:r>
      <w:r>
        <w:t xml:space="preserve">». </w:t>
      </w:r>
    </w:p>
    <w:p w:rsidR="00CC0003" w:rsidRDefault="00CC5464" w:rsidP="00CC0003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029200" cy="163490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3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003" w:rsidRDefault="00CC0003" w:rsidP="00CC0003">
      <w:pPr>
        <w:spacing w:after="0"/>
        <w:jc w:val="center"/>
      </w:pPr>
      <w:r>
        <w:t>(а)</w:t>
      </w:r>
    </w:p>
    <w:p w:rsidR="0029532A" w:rsidRDefault="0029532A" w:rsidP="00CC0003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086350" cy="165621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65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32A" w:rsidRDefault="00CC0003" w:rsidP="00CC0003">
      <w:pPr>
        <w:spacing w:after="0"/>
        <w:jc w:val="center"/>
      </w:pPr>
      <w:r>
        <w:t>(б)</w:t>
      </w:r>
    </w:p>
    <w:p w:rsidR="0029532A" w:rsidRDefault="0029532A" w:rsidP="00CC0003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38725" cy="164051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4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003" w:rsidRDefault="00CC0003" w:rsidP="00CC0003">
      <w:pPr>
        <w:spacing w:after="0"/>
        <w:jc w:val="center"/>
      </w:pPr>
      <w:r>
        <w:t>(в)</w:t>
      </w:r>
    </w:p>
    <w:p w:rsidR="00CC0003" w:rsidRDefault="00CC0003" w:rsidP="00CC0003">
      <w:pPr>
        <w:spacing w:after="0"/>
        <w:jc w:val="center"/>
      </w:pPr>
      <w:r>
        <w:t>Рис. 1 Главное меню программы</w:t>
      </w:r>
    </w:p>
    <w:p w:rsidR="00F55D0C" w:rsidRDefault="005B4E67" w:rsidP="005021DF">
      <w:pPr>
        <w:jc w:val="both"/>
      </w:pPr>
      <w:r>
        <w:t>Пункт «Данные». В этом пункте содержатся  основные команды для загрузки и сохранения данных.</w:t>
      </w:r>
    </w:p>
    <w:p w:rsidR="005B4E67" w:rsidRDefault="005B4E67" w:rsidP="005021DF">
      <w:pPr>
        <w:jc w:val="both"/>
      </w:pPr>
      <w:r>
        <w:t xml:space="preserve">Пункт «Просмотр» содержит команды для визуализации исходных данных, данных с заполненными пропусками и результатов кластеризации (пункты «Сырые данные», «Данные без пропусков», «Результаты кластеризации» соответственно). </w:t>
      </w:r>
    </w:p>
    <w:p w:rsidR="005B4E67" w:rsidRDefault="005B4E67" w:rsidP="005021DF">
      <w:pPr>
        <w:jc w:val="both"/>
      </w:pPr>
      <w:r>
        <w:t>В пункт «Кластеризация» расположена основная команда  для начала анализа данных.</w:t>
      </w:r>
    </w:p>
    <w:p w:rsidR="005B4E67" w:rsidRDefault="005B4E67" w:rsidP="005B4E67">
      <w:pPr>
        <w:pStyle w:val="2"/>
      </w:pPr>
      <w:r>
        <w:t>Анализ данных в приложении</w:t>
      </w:r>
    </w:p>
    <w:p w:rsidR="00F55D0C" w:rsidRDefault="00F55D0C" w:rsidP="005B4E67">
      <w:pPr>
        <w:pStyle w:val="3"/>
        <w:spacing w:after="200"/>
      </w:pPr>
      <w:r>
        <w:t>Загрузка данных</w:t>
      </w:r>
    </w:p>
    <w:p w:rsidR="00972B94" w:rsidRDefault="009928D1" w:rsidP="005B4E67">
      <w:pPr>
        <w:ind w:firstLine="708"/>
        <w:jc w:val="both"/>
      </w:pPr>
      <w:r>
        <w:t xml:space="preserve">При запуске программы появляется стартовое диалоговое окно (рис. </w:t>
      </w:r>
      <w:r w:rsidR="005B4E67">
        <w:t>2</w:t>
      </w:r>
      <w:r>
        <w:t>). До загрузки данных для анализа пользователю доступны следующие пункты меню: «Выход» и «Данные».</w:t>
      </w:r>
    </w:p>
    <w:p w:rsidR="00232944" w:rsidRDefault="00972B94" w:rsidP="005B4E6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72150" cy="18859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E67" w:rsidRDefault="005B4E67" w:rsidP="005B4E67">
      <w:pPr>
        <w:jc w:val="center"/>
      </w:pPr>
      <w:r>
        <w:t>Рис. 2 Стартовое диалоговое окно программы</w:t>
      </w:r>
    </w:p>
    <w:p w:rsidR="009928D1" w:rsidRDefault="009928D1" w:rsidP="005B4E67">
      <w:pPr>
        <w:ind w:firstLine="708"/>
        <w:jc w:val="both"/>
      </w:pPr>
      <w:r>
        <w:t xml:space="preserve">Для загрузки данных для анализа выберите в </w:t>
      </w:r>
      <w:r w:rsidR="00F55D0C">
        <w:t xml:space="preserve">пункт </w:t>
      </w:r>
      <w:r>
        <w:t xml:space="preserve"> «Данные» </w:t>
      </w:r>
      <w:r w:rsidR="00F55D0C">
        <w:t>главном меню (рис.</w:t>
      </w:r>
      <w:r w:rsidR="005B4E67">
        <w:t>2</w:t>
      </w:r>
      <w:r w:rsidR="00F55D0C">
        <w:t xml:space="preserve">, 1), в открывшемся  списке выберите пункт «Загрузить данные» (рис. </w:t>
      </w:r>
      <w:r w:rsidR="005B4E67">
        <w:t>2</w:t>
      </w:r>
      <w:r w:rsidR="00F55D0C">
        <w:t>,2)</w:t>
      </w:r>
    </w:p>
    <w:p w:rsidR="00F55D0C" w:rsidRDefault="009928D1" w:rsidP="005B4E6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743575" cy="18573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8D1" w:rsidRDefault="00F55D0C" w:rsidP="005B4E67">
      <w:pPr>
        <w:ind w:firstLine="708"/>
        <w:jc w:val="both"/>
      </w:pPr>
      <w:r>
        <w:t>По нажатию на указанный пункт меню откроется диалоговое окно, в котором необходимо выбрать файл с данными (рис. 2) – формат  данных описан выше – и нажать кнопку «Открыть».</w:t>
      </w:r>
    </w:p>
    <w:p w:rsidR="005B4E67" w:rsidRDefault="00F55D0C" w:rsidP="005B4E67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4343400" cy="321761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1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E67" w:rsidRDefault="005B4E67" w:rsidP="005B4E67">
      <w:pPr>
        <w:jc w:val="center"/>
      </w:pPr>
      <w:r>
        <w:t xml:space="preserve">Рис. 3 Выбор файла для анализа </w:t>
      </w:r>
    </w:p>
    <w:p w:rsidR="00F55D0C" w:rsidRDefault="00F55D0C" w:rsidP="005B4E67">
      <w:pPr>
        <w:spacing w:after="0"/>
        <w:ind w:firstLine="708"/>
        <w:jc w:val="both"/>
      </w:pPr>
      <w:r>
        <w:t>В случае успешной загрузки данных в диалоговом окне появится следующая информация:</w:t>
      </w:r>
    </w:p>
    <w:p w:rsidR="00F55D0C" w:rsidRDefault="00711A09" w:rsidP="005B4E67">
      <w:pPr>
        <w:spacing w:after="0"/>
        <w:jc w:val="both"/>
      </w:pPr>
      <w:r>
        <w:t>и</w:t>
      </w:r>
      <w:r w:rsidR="00F55D0C">
        <w:t>мя загруженного файла, количество объектов, количество признаков</w:t>
      </w:r>
      <w:r>
        <w:t xml:space="preserve"> (рис</w:t>
      </w:r>
      <w:r w:rsidR="00F55D0C">
        <w:t>.</w:t>
      </w:r>
      <w:r>
        <w:t xml:space="preserve"> 4, элементы 1, 2, 3 соответственно).</w:t>
      </w:r>
    </w:p>
    <w:p w:rsidR="00F55D0C" w:rsidRDefault="00F55D0C" w:rsidP="00711A09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772150" cy="18859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09" w:rsidRDefault="00711A09" w:rsidP="00711A09">
      <w:pPr>
        <w:jc w:val="center"/>
      </w:pPr>
      <w:r>
        <w:t>Рис. 4 Вид диалогового окна при успешной загрузке данных</w:t>
      </w:r>
    </w:p>
    <w:p w:rsidR="007C2C88" w:rsidRDefault="007C2C88" w:rsidP="007C2C88">
      <w:pPr>
        <w:pStyle w:val="3"/>
      </w:pPr>
      <w:r>
        <w:lastRenderedPageBreak/>
        <w:t>Визуализация данных</w:t>
      </w:r>
    </w:p>
    <w:p w:rsidR="00CC5464" w:rsidRDefault="005B4E67" w:rsidP="005021DF">
      <w:pPr>
        <w:spacing w:after="0"/>
        <w:ind w:firstLine="708"/>
        <w:jc w:val="both"/>
      </w:pPr>
      <w:r>
        <w:t>П</w:t>
      </w:r>
      <w:r w:rsidR="00CC5464">
        <w:t>росмотр</w:t>
      </w:r>
      <w:r>
        <w:t xml:space="preserve"> </w:t>
      </w:r>
      <w:r w:rsidR="00CC5464">
        <w:t>загруженны</w:t>
      </w:r>
      <w:r>
        <w:t>х</w:t>
      </w:r>
      <w:r w:rsidR="00CC5464">
        <w:t xml:space="preserve"> </w:t>
      </w:r>
      <w:r w:rsidR="0029532A">
        <w:t>данны</w:t>
      </w:r>
      <w:r>
        <w:t xml:space="preserve">х доступен при выборе </w:t>
      </w:r>
      <w:r w:rsidR="00711A09">
        <w:t xml:space="preserve">пункта </w:t>
      </w:r>
      <w:r w:rsidR="0029532A">
        <w:t xml:space="preserve">«Сырые данные» в выпадающем списке </w:t>
      </w:r>
      <w:r w:rsidR="00711A09">
        <w:t xml:space="preserve">элемента </w:t>
      </w:r>
      <w:r w:rsidR="00CC5464">
        <w:t>«Просмотр»</w:t>
      </w:r>
      <w:r w:rsidR="00711A09">
        <w:t xml:space="preserve"> главного меню</w:t>
      </w:r>
      <w:r w:rsidR="00CC5464">
        <w:t xml:space="preserve"> </w:t>
      </w:r>
      <w:r w:rsidR="00711A09">
        <w:t>(рис. 5)</w:t>
      </w:r>
      <w:r w:rsidR="0029532A">
        <w:t>.</w:t>
      </w:r>
    </w:p>
    <w:p w:rsidR="0029532A" w:rsidRDefault="00711A09" w:rsidP="00711A09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762625" cy="1866900"/>
            <wp:effectExtent l="1905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09" w:rsidRDefault="00711A09" w:rsidP="00711A09">
      <w:pPr>
        <w:jc w:val="center"/>
      </w:pPr>
      <w:r>
        <w:t>Рис. 5 Просмотр исходных данных</w:t>
      </w:r>
    </w:p>
    <w:p w:rsidR="0029532A" w:rsidRDefault="0029532A" w:rsidP="005021DF">
      <w:pPr>
        <w:spacing w:after="0"/>
        <w:jc w:val="both"/>
      </w:pPr>
      <w:r>
        <w:t xml:space="preserve"> </w:t>
      </w:r>
      <w:r w:rsidR="00711A09">
        <w:tab/>
      </w:r>
      <w:r>
        <w:t>Загруженные данные будут представлены в новом окне</w:t>
      </w:r>
      <w:r w:rsidR="00711A09">
        <w:t xml:space="preserve"> (рис. 6). Данная программа предоставляет возможности интерактивной работы с представленными данными (доступно вращение трехмерного графика с данными).</w:t>
      </w:r>
    </w:p>
    <w:p w:rsidR="0029532A" w:rsidRDefault="0029532A" w:rsidP="00711A09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3316605" cy="2606546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25" cy="260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09" w:rsidRDefault="00711A09" w:rsidP="00711A09">
      <w:pPr>
        <w:spacing w:after="120"/>
        <w:jc w:val="center"/>
      </w:pPr>
      <w:r>
        <w:t>Рис. 6 Визуализация исходных данных</w:t>
      </w:r>
    </w:p>
    <w:p w:rsidR="002A6158" w:rsidRDefault="002A6158" w:rsidP="00711A09">
      <w:pPr>
        <w:ind w:firstLine="708"/>
        <w:jc w:val="both"/>
      </w:pPr>
      <w:r>
        <w:t xml:space="preserve">В </w:t>
      </w:r>
      <w:r w:rsidR="00711A09">
        <w:t>случае,</w:t>
      </w:r>
      <w:r>
        <w:t xml:space="preserve"> когда загруженные данные содержали пропуски, программа автоматически заполнит недостающие значения. Просмотр восстановленных данных доступен по нажатию на «Данные без пропусков» пункта  «Данные»</w:t>
      </w:r>
      <w:r w:rsidR="00711A09">
        <w:t xml:space="preserve"> (рис. 5, 2)</w:t>
      </w:r>
      <w:r>
        <w:t xml:space="preserve">. Исходные данные помечены </w:t>
      </w:r>
      <w:r w:rsidR="00711A09">
        <w:t xml:space="preserve">синими </w:t>
      </w:r>
      <w:r>
        <w:t>кругами</w:t>
      </w:r>
      <w:r w:rsidR="00251033">
        <w:t xml:space="preserve"> </w:t>
      </w:r>
      <w:r w:rsidR="008F1390">
        <w:t>(рис. 7, 1)</w:t>
      </w:r>
      <w:r>
        <w:t xml:space="preserve">, данные, претерпевшие изменения в результате процедуры заполнения пропуска, помечены </w:t>
      </w:r>
      <w:r w:rsidR="008F1390">
        <w:t xml:space="preserve">красными </w:t>
      </w:r>
      <w:r>
        <w:t>треугольниками</w:t>
      </w:r>
      <w:r w:rsidR="008F1390">
        <w:t xml:space="preserve"> (рис. 7, 2)</w:t>
      </w:r>
      <w:r>
        <w:t>.</w:t>
      </w:r>
    </w:p>
    <w:p w:rsidR="002A6158" w:rsidRDefault="00711A09" w:rsidP="008F1390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45001" cy="2943225"/>
            <wp:effectExtent l="19050" t="0" r="7849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028" cy="2944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464" w:rsidRDefault="00711A09" w:rsidP="008F1390">
      <w:pPr>
        <w:jc w:val="center"/>
      </w:pPr>
      <w:r>
        <w:t>Рис. 7 Визуализация данных без пропусков</w:t>
      </w:r>
    </w:p>
    <w:p w:rsidR="007C2C88" w:rsidRDefault="007C2C88" w:rsidP="007C2C88">
      <w:pPr>
        <w:pStyle w:val="3"/>
      </w:pPr>
      <w:r>
        <w:t>Анализ данных</w:t>
      </w:r>
    </w:p>
    <w:p w:rsidR="00CC5464" w:rsidRDefault="00CC5464" w:rsidP="008F1390">
      <w:pPr>
        <w:ind w:firstLine="708"/>
        <w:jc w:val="both"/>
      </w:pPr>
      <w:r>
        <w:t xml:space="preserve">Для анализа загруженных данных выберите </w:t>
      </w:r>
      <w:r w:rsidR="0029532A">
        <w:t xml:space="preserve">команду «Запуск» </w:t>
      </w:r>
      <w:r>
        <w:t>пункт</w:t>
      </w:r>
      <w:r w:rsidR="0029532A">
        <w:t xml:space="preserve">а </w:t>
      </w:r>
      <w:r>
        <w:t xml:space="preserve"> </w:t>
      </w:r>
      <w:r w:rsidR="0029532A">
        <w:t xml:space="preserve">«Кластеризация» </w:t>
      </w:r>
      <w:r>
        <w:t>главного меню</w:t>
      </w:r>
      <w:r w:rsidR="008F1390">
        <w:t xml:space="preserve"> (рис. 8)</w:t>
      </w:r>
      <w:r>
        <w:t xml:space="preserve">. </w:t>
      </w:r>
    </w:p>
    <w:p w:rsidR="0029532A" w:rsidRDefault="0029532A" w:rsidP="008F1390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762625" cy="18954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90" w:rsidRDefault="008F1390" w:rsidP="008F1390">
      <w:pPr>
        <w:jc w:val="center"/>
      </w:pPr>
      <w:r>
        <w:t>Рис. 8 Запуск процедуры кластеризации</w:t>
      </w:r>
    </w:p>
    <w:p w:rsidR="0029532A" w:rsidRDefault="0029532A" w:rsidP="008F1390">
      <w:pPr>
        <w:ind w:firstLine="708"/>
        <w:jc w:val="both"/>
      </w:pPr>
      <w:r>
        <w:t>В новом окне появятся доступные для настройки параметры кластеризации (</w:t>
      </w:r>
      <w:r w:rsidR="002A6158">
        <w:t>значения всех параметров установлены по умолчанию</w:t>
      </w:r>
      <w:r w:rsidR="008F1390">
        <w:t>, рис. 9, 1</w:t>
      </w:r>
      <w:r w:rsidR="002A6158">
        <w:t>)</w:t>
      </w:r>
      <w:r>
        <w:t xml:space="preserve">. </w:t>
      </w:r>
      <w:r w:rsidR="002A6158">
        <w:t xml:space="preserve"> Для запуска процедуры кластеризации нажмите кнопку «Запуск».</w:t>
      </w:r>
    </w:p>
    <w:p w:rsidR="0029532A" w:rsidRDefault="0029532A" w:rsidP="008F1390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3676650" cy="16954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90" w:rsidRDefault="008F1390" w:rsidP="008F1390">
      <w:pPr>
        <w:jc w:val="center"/>
      </w:pPr>
      <w:r>
        <w:t>Рис. 9 Окно настройки параметров кластеризации</w:t>
      </w:r>
    </w:p>
    <w:p w:rsidR="002A6158" w:rsidRDefault="002A6158" w:rsidP="008F1390">
      <w:pPr>
        <w:ind w:firstLine="708"/>
        <w:jc w:val="both"/>
      </w:pPr>
      <w:r>
        <w:lastRenderedPageBreak/>
        <w:t xml:space="preserve">При выполнении процедур кластерного анализа </w:t>
      </w:r>
      <w:r w:rsidR="008F1390">
        <w:t>производится</w:t>
      </w:r>
      <w:r>
        <w:t xml:space="preserve"> вывод </w:t>
      </w:r>
      <w:r w:rsidR="008F1390">
        <w:t>некоторых</w:t>
      </w:r>
      <w:r>
        <w:t xml:space="preserve"> промежуточных результатов в консоль (рис</w:t>
      </w:r>
      <w:r w:rsidR="008F1390">
        <w:t>. 10</w:t>
      </w:r>
      <w:r>
        <w:t>).</w:t>
      </w:r>
    </w:p>
    <w:p w:rsidR="002A6158" w:rsidRDefault="002A6158" w:rsidP="008F1390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4428594" cy="2237193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855" cy="2235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90" w:rsidRDefault="008F1390" w:rsidP="008F1390">
      <w:pPr>
        <w:jc w:val="center"/>
      </w:pPr>
      <w:r>
        <w:t>Рис. 10 Окно вывода промежуточных результатов</w:t>
      </w:r>
    </w:p>
    <w:p w:rsidR="007C2C88" w:rsidRDefault="007C2C88" w:rsidP="007C2C88">
      <w:pPr>
        <w:pStyle w:val="3"/>
        <w:spacing w:after="200"/>
      </w:pPr>
      <w:r>
        <w:t>Визуализация результатов</w:t>
      </w:r>
    </w:p>
    <w:p w:rsidR="002A6158" w:rsidRPr="002A6158" w:rsidRDefault="002A6158" w:rsidP="008F1390">
      <w:pPr>
        <w:ind w:firstLine="708"/>
        <w:jc w:val="both"/>
      </w:pPr>
      <w:r>
        <w:t xml:space="preserve">Просмотр </w:t>
      </w:r>
      <w:r w:rsidR="00FB1077">
        <w:t>результатов</w:t>
      </w:r>
      <w:r>
        <w:t xml:space="preserve"> кластеризации </w:t>
      </w:r>
      <w:r w:rsidR="00FB1077">
        <w:t>осуществляется</w:t>
      </w:r>
      <w:r>
        <w:t xml:space="preserve"> при выполнении команды «Данные»-</w:t>
      </w:r>
      <w:r w:rsidRPr="002A6158">
        <w:t xml:space="preserve">&gt; </w:t>
      </w:r>
      <w:r>
        <w:t xml:space="preserve">«Результаты кластеризации». </w:t>
      </w:r>
    </w:p>
    <w:p w:rsidR="002A6158" w:rsidRDefault="002A6158" w:rsidP="008F1390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3676650" cy="140970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90" w:rsidRDefault="008F1390" w:rsidP="008F1390">
      <w:pPr>
        <w:jc w:val="center"/>
      </w:pPr>
      <w:r>
        <w:t>Рис. 11 Результаты кластеризации</w:t>
      </w:r>
    </w:p>
    <w:p w:rsidR="00FB1077" w:rsidRPr="006345F6" w:rsidRDefault="00FB1077" w:rsidP="008F1390">
      <w:pPr>
        <w:ind w:firstLine="708"/>
        <w:jc w:val="both"/>
        <w:rPr>
          <w:lang w:val="en-US"/>
        </w:rPr>
      </w:pPr>
      <w:r>
        <w:t xml:space="preserve">В появившемся диалоговом окне </w:t>
      </w:r>
      <w:r w:rsidR="008F1390">
        <w:t xml:space="preserve">(рис. 11) </w:t>
      </w:r>
      <w:r>
        <w:t xml:space="preserve">можно выбрать номер класса, который необходимо визуализировать. </w:t>
      </w:r>
      <w:r w:rsidR="008F1390">
        <w:t>При выборе класса</w:t>
      </w:r>
      <w:r>
        <w:t xml:space="preserve"> появляется окно с данными (на которых выполнены процедуры анализа данных), красным цветов выделен выбранный на предыдущем шаге класс. Исходные объекты помечены кругами, </w:t>
      </w:r>
      <w:r w:rsidR="00B32452">
        <w:t>а данные с заполненными пропусками – треугольниками</w:t>
      </w:r>
      <w:r w:rsidR="008F1390">
        <w:t xml:space="preserve"> (рис. 12, 1 и 2 соответственно)</w:t>
      </w:r>
      <w:r w:rsidR="00B32452">
        <w:t>.</w:t>
      </w:r>
      <w:bookmarkStart w:id="0" w:name="_GoBack"/>
      <w:bookmarkEnd w:id="0"/>
    </w:p>
    <w:p w:rsidR="00B32452" w:rsidRDefault="00B32452" w:rsidP="008F1390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14775" cy="3076653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930" cy="307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90" w:rsidRDefault="008F1390" w:rsidP="008F1390">
      <w:pPr>
        <w:jc w:val="center"/>
      </w:pPr>
      <w:r>
        <w:t>Рис. 12</w:t>
      </w:r>
    </w:p>
    <w:p w:rsidR="00B32452" w:rsidRDefault="00FB1077" w:rsidP="00CB0F32">
      <w:pPr>
        <w:ind w:firstLine="708"/>
        <w:jc w:val="both"/>
      </w:pPr>
      <w:r>
        <w:t>При последовательном выборе разных клас</w:t>
      </w:r>
      <w:r w:rsidR="00B32452">
        <w:t xml:space="preserve">сов </w:t>
      </w:r>
      <w:r w:rsidR="00CB0F32">
        <w:t>соответствующие</w:t>
      </w:r>
      <w:r w:rsidR="00B32452">
        <w:t xml:space="preserve"> </w:t>
      </w:r>
      <w:r w:rsidR="00CB0F32">
        <w:t>представления</w:t>
      </w:r>
      <w:r w:rsidR="00B32452">
        <w:t xml:space="preserve"> кластеров в трехмерном </w:t>
      </w:r>
      <w:r w:rsidR="00CB0F32">
        <w:t>пространстве</w:t>
      </w:r>
      <w:r w:rsidR="00B32452">
        <w:t xml:space="preserve"> будут </w:t>
      </w:r>
      <w:r w:rsidR="00CB0F32">
        <w:t>появляется</w:t>
      </w:r>
      <w:r w:rsidR="00B32452">
        <w:t xml:space="preserve"> в новых окнах. Таким образом, возможно сравнение и параллельный визуальный анализ данных различных кластеров.</w:t>
      </w:r>
    </w:p>
    <w:p w:rsidR="002A6158" w:rsidRDefault="00B32452" w:rsidP="00CB0F32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Полученные результаты кластеризации можно сохранить в файл в формате </w:t>
      </w:r>
      <w:r w:rsidRPr="00CB0F32">
        <w:rPr>
          <w:i/>
          <w:noProof/>
          <w:lang w:val="en-US" w:eastAsia="ru-RU"/>
        </w:rPr>
        <w:t>xls</w:t>
      </w:r>
      <w:r>
        <w:rPr>
          <w:noProof/>
          <w:lang w:eastAsia="ru-RU"/>
        </w:rPr>
        <w:t>. Для этого необходимо выполнить команду «Сохранить данные» пункта «Данные»</w:t>
      </w:r>
      <w:r w:rsidR="00CB0F32">
        <w:rPr>
          <w:noProof/>
          <w:lang w:eastAsia="ru-RU"/>
        </w:rPr>
        <w:t xml:space="preserve"> (рис. 13)</w:t>
      </w:r>
      <w:r>
        <w:rPr>
          <w:noProof/>
          <w:lang w:eastAsia="ru-RU"/>
        </w:rPr>
        <w:t>.</w:t>
      </w:r>
    </w:p>
    <w:p w:rsidR="00B32452" w:rsidRDefault="00B32452" w:rsidP="00CB0F32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743575" cy="186690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F32" w:rsidRDefault="00CB0F32" w:rsidP="00CB0F32">
      <w:pPr>
        <w:jc w:val="center"/>
      </w:pPr>
      <w:r>
        <w:t>Рис. 13 Команда сохранения результатов кластеризации</w:t>
      </w:r>
    </w:p>
    <w:p w:rsidR="00B32452" w:rsidRDefault="00B32452" w:rsidP="00CB0F32">
      <w:pPr>
        <w:ind w:firstLine="708"/>
      </w:pPr>
      <w:r>
        <w:t>Далее, требуется выбрать папку, куда будет сохранен файл, и его имя.</w:t>
      </w:r>
    </w:p>
    <w:p w:rsidR="00B32452" w:rsidRDefault="00B32452" w:rsidP="00CB0F32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38775" cy="4029075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F32" w:rsidRPr="00B32452" w:rsidRDefault="00CB0F32" w:rsidP="00CB0F32">
      <w:pPr>
        <w:jc w:val="center"/>
      </w:pPr>
      <w:r>
        <w:t>Рис. 14 Диалоговое окно выбора директории и имени сохраняемого файла</w:t>
      </w:r>
    </w:p>
    <w:sectPr w:rsidR="00CB0F32" w:rsidRPr="00B32452" w:rsidSect="0023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72B94"/>
    <w:rsid w:val="00232944"/>
    <w:rsid w:val="00251033"/>
    <w:rsid w:val="0029532A"/>
    <w:rsid w:val="002A6158"/>
    <w:rsid w:val="005021DF"/>
    <w:rsid w:val="005B4E67"/>
    <w:rsid w:val="006345F6"/>
    <w:rsid w:val="00711A09"/>
    <w:rsid w:val="007C2C88"/>
    <w:rsid w:val="008F1390"/>
    <w:rsid w:val="00972B94"/>
    <w:rsid w:val="009928D1"/>
    <w:rsid w:val="00B32452"/>
    <w:rsid w:val="00CB0F32"/>
    <w:rsid w:val="00CC0003"/>
    <w:rsid w:val="00CC3527"/>
    <w:rsid w:val="00CC5464"/>
    <w:rsid w:val="00F55D0C"/>
    <w:rsid w:val="00FB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9256DD-F65D-4FAB-8F68-3979E6A9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944"/>
  </w:style>
  <w:style w:type="paragraph" w:styleId="2">
    <w:name w:val="heading 2"/>
    <w:basedOn w:val="a"/>
    <w:next w:val="a"/>
    <w:link w:val="20"/>
    <w:uiPriority w:val="9"/>
    <w:unhideWhenUsed/>
    <w:qFormat/>
    <w:rsid w:val="00CC00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4E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C2C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94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C00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CC00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CC00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CC00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C0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annotation reference"/>
    <w:basedOn w:val="a0"/>
    <w:uiPriority w:val="99"/>
    <w:semiHidden/>
    <w:unhideWhenUsed/>
    <w:rsid w:val="00CC000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C000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CC000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C000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CC0003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B4E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C2C8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7EA67-E725-4F4C-9FAC-F9EAD712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</dc:creator>
  <cp:lastModifiedBy>Учетная запись Майкрософт</cp:lastModifiedBy>
  <cp:revision>7</cp:revision>
  <dcterms:created xsi:type="dcterms:W3CDTF">2015-03-25T13:22:00Z</dcterms:created>
  <dcterms:modified xsi:type="dcterms:W3CDTF">2015-03-31T10:23:00Z</dcterms:modified>
</cp:coreProperties>
</file>