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x-emf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4"/>
      </w:pPr>
      <w:r>
        <w:t>Оглавле</w:t>
      </w:r>
      <w:bookmarkStart w:id="0" w:name="_GoBack"/>
      <w:bookmarkEnd w:id="0"/>
      <w:r>
        <w:t>ние</w:t>
      </w:r>
    </w:p>
    <w:p>
      <w:pPr>
        <w:pStyle w:val="P15"/>
        <w:tabs>
          <w:tab w:val="right" w:pos="9345" w:leader="dot"/>
        </w:tabs>
        <w:rPr>
          <w:rFonts w:eastAsiaTheme="minorEastAsia"/>
          <w:noProof w:val="1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3025162">
        <w:r>
          <w:rPr>
            <w:rStyle w:val="C2"/>
            <w:noProof w:val="1"/>
          </w:rPr>
          <w:t>Лабораторная работа №</w:t>
        </w:r>
        <w:r>
          <w:rPr>
            <w:rStyle w:val="C2"/>
            <w:noProof w:val="1"/>
            <w:rtl w:val="0"/>
            <w:lang w:val="ru-RU" w:bidi="ru-RU" w:eastAsia="ru-RU"/>
          </w:rPr>
          <w:t>9</w:t>
        </w:r>
        <w:r>
          <w:rPr>
            <w:rStyle w:val="C2"/>
            <w:noProof w:val="1"/>
          </w:rPr>
          <w:t>. Технологии визуализации теней в реальном времени. Визуализация замкнутых криволинейных поверхностей при помощи метасфер.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_Toc343025162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1</w:t>
        </w:r>
        <w:r>
          <w:rPr>
            <w:noProof w:val="1"/>
          </w:rPr>
          <w:fldChar w:fldCharType="end"/>
        </w:r>
      </w:hyperlink>
    </w:p>
    <w:p>
      <w:pPr>
        <w:pStyle w:val="P16"/>
        <w:tabs>
          <w:tab w:val="right" w:pos="9345" w:leader="dot"/>
        </w:tabs>
        <w:rPr>
          <w:rFonts w:eastAsiaTheme="minorEastAsia"/>
          <w:noProof w:val="1"/>
          <w:lang w:eastAsia="ru-RU"/>
        </w:rPr>
      </w:pPr>
      <w:hyperlink w:anchor="_Toc343025163">
        <w:r>
          <w:rPr>
            <w:rStyle w:val="C2"/>
            <w:noProof w:val="1"/>
          </w:rPr>
          <w:t xml:space="preserve">Технология </w:t>
        </w:r>
        <w:r>
          <w:rPr>
            <w:rStyle w:val="C2"/>
            <w:noProof w:val="1"/>
            <w:lang w:val="en-US"/>
          </w:rPr>
          <w:t>Stencil</w:t>
        </w:r>
        <w:r>
          <w:rPr>
            <w:rStyle w:val="C2"/>
            <w:noProof w:val="1"/>
          </w:rPr>
          <w:t xml:space="preserve"> </w:t>
        </w:r>
        <w:r>
          <w:rPr>
            <w:rStyle w:val="C2"/>
            <w:noProof w:val="1"/>
            <w:lang w:val="en-US"/>
          </w:rPr>
          <w:t>Shadow</w:t>
        </w:r>
        <w:r>
          <w:rPr>
            <w:rStyle w:val="C2"/>
            <w:noProof w:val="1"/>
          </w:rPr>
          <w:t xml:space="preserve"> </w:t>
        </w:r>
        <w:r>
          <w:rPr>
            <w:rStyle w:val="C2"/>
            <w:noProof w:val="1"/>
            <w:lang w:val="en-US"/>
          </w:rPr>
          <w:t>Volumes</w:t>
        </w:r>
        <w:r>
          <w:rPr>
            <w:rStyle w:val="C2"/>
            <w:noProof w:val="1"/>
          </w:rPr>
          <w:t>.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_Toc343025163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1</w:t>
        </w:r>
        <w:r>
          <w:rPr>
            <w:noProof w:val="1"/>
          </w:rPr>
          <w:fldChar w:fldCharType="end"/>
        </w:r>
      </w:hyperlink>
    </w:p>
    <w:p>
      <w:pPr>
        <w:pStyle w:val="P17"/>
        <w:tabs>
          <w:tab w:val="right" w:pos="9345" w:leader="dot"/>
        </w:tabs>
        <w:rPr>
          <w:rFonts w:eastAsiaTheme="minorEastAsia"/>
          <w:noProof w:val="1"/>
          <w:lang w:eastAsia="ru-RU"/>
        </w:rPr>
      </w:pPr>
      <w:hyperlink w:anchor="_Toc343025164">
        <w:r>
          <w:rPr>
            <w:rStyle w:val="C2"/>
            <w:noProof w:val="1"/>
          </w:rPr>
          <w:t>Визуализация теневого объема куба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_Toc343025164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1</w:t>
        </w:r>
        <w:r>
          <w:rPr>
            <w:noProof w:val="1"/>
          </w:rPr>
          <w:fldChar w:fldCharType="end"/>
        </w:r>
      </w:hyperlink>
    </w:p>
    <w:p>
      <w:pPr>
        <w:pStyle w:val="P17"/>
        <w:tabs>
          <w:tab w:val="right" w:pos="9345" w:leader="dot"/>
        </w:tabs>
        <w:rPr>
          <w:rFonts w:eastAsiaTheme="minorEastAsia"/>
          <w:noProof w:val="1"/>
          <w:lang w:eastAsia="ru-RU"/>
        </w:rPr>
      </w:pPr>
      <w:hyperlink w:anchor="_Toc343025165">
        <w:r>
          <w:rPr>
            <w:rStyle w:val="C2"/>
            <w:noProof w:val="1"/>
          </w:rPr>
          <w:t>Визуализация сцены, содержащей отбрасывающие тень объекты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_Toc343025165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8</w:t>
        </w:r>
        <w:r>
          <w:rPr>
            <w:noProof w:val="1"/>
          </w:rPr>
          <w:fldChar w:fldCharType="end"/>
        </w:r>
      </w:hyperlink>
    </w:p>
    <w:p>
      <w:pPr>
        <w:pStyle w:val="P17"/>
        <w:tabs>
          <w:tab w:val="right" w:pos="9345" w:leader="dot"/>
        </w:tabs>
        <w:rPr>
          <w:rFonts w:eastAsiaTheme="minorEastAsia"/>
          <w:noProof w:val="1"/>
          <w:lang w:eastAsia="ru-RU"/>
        </w:rPr>
      </w:pPr>
      <w:hyperlink w:anchor="_Toc343025166">
        <w:r>
          <w:rPr>
            <w:rStyle w:val="C2"/>
            <w:noProof w:val="1"/>
          </w:rPr>
          <w:t>Анимация объектов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_Toc343025166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14</w:t>
        </w:r>
        <w:r>
          <w:rPr>
            <w:noProof w:val="1"/>
          </w:rPr>
          <w:fldChar w:fldCharType="end"/>
        </w:r>
      </w:hyperlink>
    </w:p>
    <w:p>
      <w:pPr>
        <w:pStyle w:val="P17"/>
        <w:tabs>
          <w:tab w:val="right" w:pos="9345" w:leader="dot"/>
        </w:tabs>
        <w:rPr>
          <w:rFonts w:eastAsiaTheme="minorEastAsia"/>
          <w:noProof w:val="1"/>
          <w:lang w:eastAsia="ru-RU"/>
        </w:rPr>
      </w:pPr>
      <w:hyperlink w:anchor="_Toc343025167">
        <w:r>
          <w:rPr>
            <w:rStyle w:val="C2"/>
            <w:noProof w:val="1"/>
          </w:rPr>
          <w:t>Результат работы программы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_Toc343025167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15</w:t>
        </w:r>
        <w:r>
          <w:rPr>
            <w:noProof w:val="1"/>
          </w:rPr>
          <w:fldChar w:fldCharType="end"/>
        </w:r>
      </w:hyperlink>
    </w:p>
    <w:p>
      <w:pPr>
        <w:pStyle w:val="P17"/>
        <w:tabs>
          <w:tab w:val="right" w:pos="9345" w:leader="dot"/>
        </w:tabs>
        <w:rPr>
          <w:rFonts w:eastAsiaTheme="minorEastAsia"/>
          <w:noProof w:val="1"/>
          <w:lang w:eastAsia="ru-RU"/>
        </w:rPr>
      </w:pPr>
      <w:hyperlink w:anchor="_Toc343025168">
        <w:r>
          <w:rPr>
            <w:rStyle w:val="C2"/>
            <w:noProof w:val="1"/>
          </w:rPr>
          <w:t>Визуализация теней от нескольких источников света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_Toc343025168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16</w:t>
        </w:r>
        <w:r>
          <w:rPr>
            <w:noProof w:val="1"/>
          </w:rPr>
          <w:fldChar w:fldCharType="end"/>
        </w:r>
      </w:hyperlink>
    </w:p>
    <w:p>
      <w:pPr>
        <w:pStyle w:val="P16"/>
        <w:tabs>
          <w:tab w:val="right" w:pos="9345" w:leader="dot"/>
        </w:tabs>
        <w:rPr>
          <w:rFonts w:eastAsiaTheme="minorEastAsia"/>
          <w:noProof w:val="1"/>
          <w:lang w:eastAsia="ru-RU"/>
        </w:rPr>
      </w:pPr>
      <w:hyperlink w:anchor="_Toc343025169">
        <w:r>
          <w:rPr>
            <w:rStyle w:val="C2"/>
            <w:noProof w:val="1"/>
          </w:rPr>
          <w:t>Практические задания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_Toc343025169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16</w:t>
        </w:r>
        <w:r>
          <w:rPr>
            <w:noProof w:val="1"/>
          </w:rPr>
          <w:fldChar w:fldCharType="end"/>
        </w:r>
      </w:hyperlink>
    </w:p>
    <w:p>
      <w:pPr>
        <w:pStyle w:val="P17"/>
        <w:tabs>
          <w:tab w:val="right" w:pos="9345" w:leader="dot"/>
        </w:tabs>
        <w:rPr>
          <w:rFonts w:eastAsiaTheme="minorEastAsia"/>
          <w:noProof w:val="1"/>
          <w:lang w:eastAsia="ru-RU"/>
        </w:rPr>
      </w:pPr>
      <w:hyperlink w:anchor="_Toc343025170">
        <w:r>
          <w:rPr>
            <w:rStyle w:val="C2"/>
            <w:noProof w:val="1"/>
          </w:rPr>
          <w:t>Обязательные задания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_Toc343025170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16</w:t>
        </w:r>
        <w:r>
          <w:rPr>
            <w:noProof w:val="1"/>
          </w:rPr>
          <w:fldChar w:fldCharType="end"/>
        </w:r>
      </w:hyperlink>
    </w:p>
    <w:p>
      <w:pPr>
        <w:pStyle w:val="P17"/>
        <w:tabs>
          <w:tab w:val="right" w:pos="9345" w:leader="dot"/>
        </w:tabs>
        <w:rPr>
          <w:rFonts w:eastAsiaTheme="minorEastAsia"/>
          <w:noProof w:val="1"/>
          <w:lang w:eastAsia="ru-RU"/>
        </w:rPr>
      </w:pPr>
      <w:hyperlink w:anchor="_Toc343025171">
        <w:r>
          <w:rPr>
            <w:rStyle w:val="C2"/>
            <w:noProof w:val="1"/>
          </w:rPr>
          <w:t>Дополнительные задания</w:t>
        </w:r>
        <w:r>
          <w:rPr>
            <w:noProof w:val="1"/>
          </w:rPr>
          <w:tab/>
        </w:r>
        <w:r>
          <w:rPr>
            <w:noProof w:val="1"/>
          </w:rPr>
          <w:fldChar w:fldCharType="begin"/>
        </w:r>
        <w:r>
          <w:rPr>
            <w:noProof w:val="1"/>
          </w:rPr>
          <w:instrText xml:space="preserve"> PAGEREF _Toc343025171 \h </w:instrText>
        </w:r>
        <w:r>
          <w:rPr>
            <w:noProof w:val="1"/>
          </w:rPr>
          <w:fldChar w:fldCharType="separate"/>
        </w:r>
        <w:r>
          <w:rPr>
            <w:noProof w:val="1"/>
          </w:rPr>
          <w:t>18</w:t>
        </w:r>
        <w:r>
          <w:rPr>
            <w:noProof w:val="1"/>
          </w:rPr>
          <w:fldChar w:fldCharType="end"/>
        </w:r>
      </w:hyperlink>
    </w:p>
    <w:p>
      <w:r>
        <w:fldChar w:fldCharType="end"/>
      </w:r>
    </w:p>
    <w:p>
      <w:pPr>
        <w:pStyle w:val="P1"/>
        <w:rPr>
          <w:lang w:val="en-US"/>
        </w:rPr>
      </w:pPr>
      <w:bookmarkStart w:id="1" w:name="_Toc343025162"/>
      <w:r>
        <w:t>Лабораторная работа №</w:t>
      </w:r>
      <w:r>
        <w:rPr>
          <w:rtl w:val="0"/>
          <w:lang w:val="ru-RU" w:bidi="ru-RU" w:eastAsia="ru-RU"/>
        </w:rPr>
        <w:t>9</w:t>
      </w:r>
      <w:r>
        <w:t>. Технологии визуализации теней в реальном времени. Визуализация замкнутых криволинейных поверхностей при помощи метасфер.</w:t>
      </w:r>
      <w:bookmarkEnd w:id="1"/>
    </w:p>
    <w:p>
      <w:pPr>
        <w:pStyle w:val="P2"/>
      </w:pPr>
      <w:bookmarkStart w:id="2" w:name="_Toc343025163"/>
      <w:r>
        <w:t xml:space="preserve">Технология </w:t>
      </w:r>
      <w:r>
        <w:rPr>
          <w:lang w:val="en-US"/>
        </w:rPr>
        <w:t>Stencil</w:t>
      </w:r>
      <w:r>
        <w:t xml:space="preserve"> </w:t>
      </w:r>
      <w:r>
        <w:rPr>
          <w:lang w:val="en-US"/>
        </w:rPr>
        <w:t>Shadow</w:t>
      </w:r>
      <w:r>
        <w:t xml:space="preserve"> </w:t>
      </w:r>
      <w:r>
        <w:rPr>
          <w:lang w:val="en-US"/>
        </w:rPr>
        <w:t>Volumes</w:t>
      </w:r>
      <w:r>
        <w:t>.</w:t>
      </w:r>
      <w:bookmarkEnd w:id="2"/>
    </w:p>
    <w:p>
      <w:pPr>
        <w:jc w:val="both"/>
      </w:pPr>
      <w:r>
        <w:t xml:space="preserve">Для иллюстрации технологии </w:t>
      </w:r>
      <w:r>
        <w:rPr>
          <w:lang w:val="en-US"/>
        </w:rPr>
        <w:t>Stencil</w:t>
      </w:r>
      <w:r>
        <w:t xml:space="preserve"> </w:t>
      </w:r>
      <w:r>
        <w:rPr>
          <w:lang w:val="en-US"/>
        </w:rPr>
        <w:t>Shadow</w:t>
      </w:r>
      <w:r>
        <w:t xml:space="preserve"> </w:t>
      </w:r>
      <w:r>
        <w:rPr>
          <w:lang w:val="en-US"/>
        </w:rPr>
        <w:t>Volumes</w:t>
      </w:r>
      <w:r>
        <w:t xml:space="preserve"> разработаем приложение, визуализирующее куб, отбрасывающий тени на окружающие его объекты. </w:t>
      </w:r>
    </w:p>
    <w:p>
      <w:pPr>
        <w:pStyle w:val="P3"/>
        <w:jc w:val="both"/>
      </w:pPr>
      <w:bookmarkStart w:id="3" w:name="_Toc343025164"/>
      <w:r>
        <w:t>Визуализация теневого объема куба</w:t>
      </w:r>
      <w:bookmarkEnd w:id="3"/>
    </w:p>
    <w:p>
      <w:pPr>
        <w:jc w:val="both"/>
      </w:pPr>
      <w:r>
        <w:t>В качестве отбрасывающего тень объекта был выбран именно куб, поскольку данный геометрический объект легко представить в виде полигональной сетки. Описываемая технология может быть с легкостью адаптирована для использования при визуализации других объектов, задаваемых при помощи полигональных сеток.</w:t>
      </w:r>
    </w:p>
    <w:p>
      <w:pPr>
        <w:jc w:val="both"/>
      </w:pPr>
      <w:r>
        <w:t xml:space="preserve">В качестве основы воспользуемся классом </w:t>
      </w:r>
      <w:r>
        <w:rPr>
          <w:b w:val="1"/>
          <w:lang w:val="en-US"/>
        </w:rPr>
        <w:t>CCube</w:t>
      </w:r>
      <w:r>
        <w:t xml:space="preserve">, разработанным в одной из предыдущих лабораторных работ. На следующем листинге приведен каркас видоизмененного класса </w:t>
      </w:r>
      <w:r>
        <w:rPr>
          <w:lang w:val="en-US"/>
        </w:rPr>
        <w:t>CCube</w:t>
      </w:r>
      <w:r>
        <w:t xml:space="preserve"> (изменения и дополнения выделены цветом).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CCube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enum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CubeSide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CS_NEGATIVE_X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CS_POSITIVE_X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CS_NEGATIVE_Y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CS_POSITIVE_Y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CS_NEGATIVE_Z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CS_POSITIVE_Z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CS_MIN_CUBE_SIDE_INDEX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CS_NEGATIVE_X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CS_MAX_CUBE_SIDE_INDEX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CS_POSITIVE_Z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};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1);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SetSideColor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CubeSide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side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GLubyte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GLubyte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GLubyte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GLubyte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a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255);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 w:val="1"/>
          <w:sz w:val="20"/>
          <w:szCs w:val="20"/>
        </w:rPr>
        <w:t>: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боковые стороны теневого объема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DrawShadowVolumeSides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верх и низ теневого объема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DrawShadowVolumeCaps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выполняем инициализицию информации о ребрах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InitEdges</w:t>
      </w:r>
      <w:r>
        <w:rPr>
          <w:rFonts w:ascii="Courier New" w:hAnsi="Courier New" w:cs="Courier New"/>
          <w:noProof w:val="1"/>
          <w:sz w:val="20"/>
          <w:szCs w:val="20"/>
        </w:rPr>
        <w:t>();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Размер куба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_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Цвета сторон куба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GLubyte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m_sideColors</w:t>
      </w:r>
      <w:r>
        <w:rPr>
          <w:rFonts w:ascii="Courier New" w:hAnsi="Courier New" w:cs="Courier New"/>
          <w:noProof w:val="1"/>
          <w:sz w:val="20"/>
          <w:szCs w:val="20"/>
        </w:rPr>
        <w:t>[6][4];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Массив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вершин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куба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[8][3];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Массив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граней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губа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m_faces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[6][4];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size_t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m_faceCount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Информация о ребре полигональной сетки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020002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Edge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индексы вершин, составляющих ребро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vStart</w:t>
      </w:r>
      <w:r>
        <w:rPr>
          <w:rFonts w:ascii="Courier New" w:hAnsi="Courier New" w:cs="Courier New"/>
          <w:noProof w:val="1"/>
          <w:sz w:val="20"/>
          <w:szCs w:val="20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vEnd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noProof w:val="1"/>
          <w:color w:val="7F7F7F" w:themeColor="text1" w:themeTint="80"/>
          <w:sz w:val="20"/>
          <w:szCs w:val="20"/>
        </w:rPr>
        <w:tab/>
        <w:tab/>
        <w:t>// нормали прилегающих к ребру граней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noProof w:val="1"/>
          <w:color w:val="7F7F7F" w:themeColor="text1" w:themeTint="80"/>
          <w:sz w:val="20"/>
          <w:szCs w:val="20"/>
        </w:rPr>
        <w:tab/>
        <w:tab/>
        <w:t xml:space="preserve">// frontFaceNormal - нормаль грани, в состав которой вершины 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noProof w:val="1"/>
          <w:color w:val="7F7F7F" w:themeColor="text1" w:themeTint="80"/>
          <w:sz w:val="20"/>
          <w:szCs w:val="20"/>
        </w:rPr>
        <w:tab/>
        <w:tab/>
        <w:t>// ребра входят в последовательности vStart, vEnd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noProof w:val="1"/>
          <w:color w:val="7F7F7F" w:themeColor="text1" w:themeTint="80"/>
          <w:sz w:val="20"/>
          <w:szCs w:val="20"/>
        </w:rPr>
        <w:tab/>
        <w:tab/>
        <w:t>// backFaceNormal - нормаль грани, в состав которой вершины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noProof w:val="1"/>
          <w:color w:val="7F7F7F" w:themeColor="text1" w:themeTint="80"/>
          <w:sz w:val="20"/>
          <w:szCs w:val="20"/>
        </w:rPr>
        <w:tab/>
        <w:tab/>
        <w:t>// ребра входя в последовательности vEnd, vStart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frontFaceNormal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backFaceNormal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была ли задана нелицевая нормаль прилегающей грани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(используется при сборе информации о ребрах)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bool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backFaceNormalIsDefined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};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Массив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ребер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куба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std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&lt;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&gt;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};</w:t>
      </w:r>
    </w:p>
    <w:p>
      <w:pPr>
        <w:pStyle w:val="P4"/>
      </w:pPr>
      <w:r>
        <w:t>Сбор информации о ребрах полигональной сетки</w:t>
      </w:r>
    </w:p>
    <w:p>
      <w:pPr>
        <w:jc w:val="both"/>
      </w:pPr>
      <w:r>
        <w:t xml:space="preserve">Технология </w:t>
      </w:r>
      <w:r>
        <w:rPr>
          <w:lang w:val="en-US"/>
        </w:rPr>
        <w:t>Shadow</w:t>
      </w:r>
      <w:r>
        <w:t xml:space="preserve"> </w:t>
      </w:r>
      <w:r>
        <w:rPr>
          <w:lang w:val="en-US"/>
        </w:rPr>
        <w:t>Volumes</w:t>
      </w:r>
      <w:r>
        <w:t xml:space="preserve"> предполагает выделение </w:t>
      </w:r>
      <w:r>
        <w:rPr>
          <w:b w:val="1"/>
        </w:rPr>
        <w:t>силуэтных</w:t>
      </w:r>
      <w:r>
        <w:rPr>
          <w:rStyle w:val="C8"/>
        </w:rPr>
        <w:footnoteReference w:id="1"/>
      </w:r>
      <w:r>
        <w:t xml:space="preserve"> ребер полигональной сетки</w:t>
      </w:r>
      <w:r>
        <w:t>,</w:t>
      </w:r>
      <w:r>
        <w:t xml:space="preserve"> поэтому для построения теневого объема необходимо выделить из информации о вершинах и гранях сетки еще и информацию о ребрах</w:t>
      </w:r>
      <w:r>
        <w:t>.</w:t>
      </w:r>
      <w:r>
        <w:t xml:space="preserve"> </w:t>
      </w:r>
    </w:p>
    <w:p>
      <w:pPr>
        <w:jc w:val="both"/>
      </w:pPr>
      <w:r>
        <w:t>Подразумевается, что все грани рассматриваемых нами полигональных сеток имеют одинаковый порядок обхода вершин.</w:t>
      </w:r>
    </w:p>
    <w:p>
      <w:pPr>
        <w:jc w:val="both"/>
      </w:pPr>
      <w:r>
        <w:t xml:space="preserve">Для сбора информации о ребрах полигональной сетки предположим, что каждое ребро соединяет две и только две грани, что, в частности, требует отсутствия «дыр» в сетке. Многие полигональные сетки удовлетворяют данному требованию. </w:t>
      </w:r>
    </w:p>
    <w:p>
      <w:pPr>
        <w:jc w:val="both"/>
      </w:pPr>
      <w:r>
        <w:t xml:space="preserve">Для определения того, является ребро силуэтным или не является необходимо знать нормали прилегающих к ребру граней. Поэтому с каждым ребром необходимо будет связать индексы лицевой и нелицевой прилегающих граней. Лицевой гранью ребра будет считаться та, в которой индексы начальной и конечной вершины ребра встречаются в прямом порядке. Например, на следующем рисунке грань 0-1-2 является лицевой гранью ребра  2-0, т.к. вершины 2 и 0 входят в данную грань в прямом направлении (совпадающем с направлением обхода вершин). Вторая грань (0-2-3) всегда будет являться нелицевой (вершины 2 и 0 в ней не совпадают с порядком обхода вершин грани).</w:t>
      </w:r>
    </w:p>
    <w:p>
      <w:pPr>
        <w:jc w:val="center"/>
      </w:pPr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2761615" cy="27876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35" cy="2787384"/>
                    </a:xfrm>
                    <a:prstGeom prst="rect"/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Можно предложить следующий алгоритм сбора информации о ребрах полигональной сетки.</w:t>
      </w:r>
    </w:p>
    <w:p>
      <w:pPr>
        <w:pStyle w:val="P13"/>
        <w:numPr>
          <w:ilvl w:val="0"/>
          <w:numId w:val="43"/>
        </w:numPr>
        <w:jc w:val="both"/>
      </w:pPr>
      <w:r>
        <w:t>Для всех граней полигональной сетки</w:t>
      </w:r>
    </w:p>
    <w:p>
      <w:pPr>
        <w:pStyle w:val="P13"/>
        <w:numPr>
          <w:ilvl w:val="1"/>
          <w:numId w:val="43"/>
        </w:numPr>
        <w:jc w:val="both"/>
      </w:pPr>
      <w:r>
        <w:t>Для каждой вершины грани</w:t>
      </w:r>
    </w:p>
    <w:p>
      <w:pPr>
        <w:pStyle w:val="P13"/>
        <w:numPr>
          <w:ilvl w:val="2"/>
          <w:numId w:val="43"/>
        </w:numPr>
        <w:jc w:val="both"/>
      </w:pPr>
      <w:r>
        <w:t>Текущая и следующая вершины грани могут сформировать новое ребро, либо дополнить уже существующее</w:t>
      </w:r>
    </w:p>
    <w:p>
      <w:pPr>
        <w:pStyle w:val="P13"/>
        <w:numPr>
          <w:ilvl w:val="2"/>
          <w:numId w:val="43"/>
        </w:numPr>
        <w:jc w:val="both"/>
      </w:pPr>
      <w:r>
        <w:t>Ищем среди ранее найденных ребер ребро, содержащее пару обрабатываемых вершин</w:t>
      </w:r>
    </w:p>
    <w:p>
      <w:pPr>
        <w:pStyle w:val="P13"/>
        <w:numPr>
          <w:ilvl w:val="2"/>
          <w:numId w:val="43"/>
        </w:numPr>
        <w:jc w:val="both"/>
      </w:pPr>
      <w:r>
        <w:t>Если ребро не нашли, то добавляем новое ребро, установив в качестве нормали лицевой грани нормаль текущей грани</w:t>
      </w:r>
    </w:p>
    <w:p>
      <w:pPr>
        <w:pStyle w:val="P13"/>
        <w:numPr>
          <w:ilvl w:val="2"/>
          <w:numId w:val="43"/>
        </w:numPr>
        <w:jc w:val="both"/>
      </w:pPr>
      <w:r>
        <w:t>Если же ребро нашли, то убеждаемся, что вершины ребра в него входят в обратном порядке (т.е. грань является по отношению к текущему ребру нелицевой) и задаем в качестве нормали нелицевой грани ребра нормаль текущей грани</w:t>
      </w:r>
    </w:p>
    <w:p>
      <w:pPr>
        <w:pStyle w:val="P13"/>
        <w:numPr>
          <w:ilvl w:val="0"/>
          <w:numId w:val="43"/>
        </w:numPr>
        <w:jc w:val="both"/>
      </w:pPr>
      <w:r>
        <w:t>Поскольку среди найденных ребер могут оказаться те, для которых нормаль нелицевой грани не задана (это произойдет в том случае, если сетка не удовлетворяет необходимым требованиям), удаляем данные не полностью заданные ребра из массива ребер.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/*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   Y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   |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   |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   |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   +---X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  /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 /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>Z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   3----2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  /    /|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 /    / |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7----6  |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|  0 |  1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|    | /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 xml:space="preserve">|    |/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>4----5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>*/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>// Массив координат вершин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[8][3] = 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{-1, -1, -1},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// 0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{+1, -1, -1},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// 1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{+1, +1, -1},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// 2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{-1, +1, -1},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// 3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{-1, -1, +1},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// 4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{+1, -1, +1},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// 5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{+1, +1, +1},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// 6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{-1, +1, +1},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// 7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};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Массив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координат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граней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порядке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совпадающем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с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>// порядком объявления их в массиве цветов)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>// индексы вершин граней перечисляются в порядке их обхода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>// против часовой стрелки (если смотреть на грань снаружи)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m_faces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[6][4] = 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{4, 7, 3, 0},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грань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x&lt;0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{5, 1, 2, 6},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грань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x&gt;0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{4, 0, 1, 5},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грань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y&lt;0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{7, 6, 2, 3},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грань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y&gt;0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{0, 3, 2, 1},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грань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z&lt;0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{4, 5, 6, 7},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грань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z&gt;0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};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size_t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m_faceCount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sizeof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m_faces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/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sizeof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(*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m_faces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std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&lt;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&gt;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CCube</w:t>
      </w:r>
      <w:r>
        <w:rPr>
          <w:rFonts w:ascii="Courier New" w:hAnsi="Courier New" w:cs="Courier New"/>
          <w:noProof w:val="1"/>
          <w:sz w:val="20"/>
          <w:szCs w:val="20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InitEdges</w:t>
      </w:r>
      <w:r>
        <w:rPr>
          <w:rFonts w:ascii="Courier New" w:hAnsi="Courier New" w:cs="Courier New"/>
          <w:noProof w:val="1"/>
          <w:sz w:val="20"/>
          <w:szCs w:val="20"/>
        </w:rPr>
        <w:t>()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пробегаем по всем граням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size_t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0;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&lt;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m_faceCount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 ++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m_faces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];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Вычисляем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нормаль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к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грани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[0]]);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[1]]);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v2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[2]]);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normal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Cross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v2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пробегаем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по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всем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вершинам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грани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size_t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vertexIndex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0;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vertexIndex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&lt; 4; ++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vertexIndex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startVertex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vertexIndex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];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endVertex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vertexIndex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+ 1) % 4];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 xml:space="preserve">// Ищем среди существующих ребер ребро, 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  <w:tab/>
        <w:tab/>
        <w:t xml:space="preserve">// содержащее вершины 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startVertex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 xml:space="preserve"> и 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endVertex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_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t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0;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&lt;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 ++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];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ab/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vStart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startVertex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&amp;&amp;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vEnd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endVertex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 ||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ab/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vStart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endVertex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&amp;&amp;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vEnd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startVertex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  <w:tab/>
        <w:tab/>
        <w:tab/>
        <w:tab/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ab/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()) 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такого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ребра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нет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sz w:val="20"/>
          <w:szCs w:val="20"/>
        </w:rPr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добавляем новое ребро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Edge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newEdge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newEdge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vStart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startVertex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newEdge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vEnd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endVertex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newEdge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frontFaceNormal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normal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newEdge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backFaceNormalIsDefined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push_back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newEdge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else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такое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ребро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уже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есть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];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(!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backFaceNormalIsDefined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&amp;&amp;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ab/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vStart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endVertex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&amp;&amp;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vEnd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startVertex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ab/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Добавляем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нормаль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нелицевой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грани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ребра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backFaceNormalIsDefined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backFaceNormal</w:t>
      </w:r>
      <w:r>
        <w:rPr>
          <w:rFonts w:ascii="Courier New" w:hAnsi="Courier New" w:cs="Courier New"/>
          <w:noProof w:val="1"/>
          <w:sz w:val="20"/>
          <w:szCs w:val="20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normal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Удаляем ребра, для которых не задана нормаль нелицевой грани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() - 1;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&gt;=0; --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(!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].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backFaceNormalIsDefined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erase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begin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() +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Style w:val="P4"/>
      </w:pPr>
      <w:r>
        <w:t>Рисуем боковые грани теневого объема</w:t>
      </w:r>
    </w:p>
    <w:p>
      <w:pPr>
        <w:jc w:val="both"/>
      </w:pPr>
      <w:r>
        <w:t xml:space="preserve">Для того, чтобы визуализировать боковые грани теневого объема  необходимо  выбрать из всех граней сетки те, которые являются  силуэтными. Определив знак скалярного произведение вектора нормали к грани и вектора направления на источник света, можно определить освещенность грани. Ребра, соединяющие освещенную и неосвещенную грань, будут являться силуэтными. Из такого ребра необходимо «вытянуть» четырехугольник, задающий одну из боковых граней полигональной сетки. </w:t>
      </w:r>
    </w:p>
    <w:p>
      <w:pPr>
        <w:jc w:val="both"/>
      </w:pPr>
      <w:r>
        <w:t xml:space="preserve">Отметим, что четвертая координата </w:t>
      </w:r>
      <w:r>
        <w:rPr>
          <w:lang w:val="en-US"/>
        </w:rPr>
        <w:t>w</w:t>
      </w:r>
      <w:r>
        <w:t xml:space="preserve"> вытягиваемой вершины, обращается в 0, что автоматически устремляет ее в бесконечность.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DrawShadowVolumeSides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ab/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Среди всех ребер ищем те, которые являются силуэтными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size_t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0;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&lt;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 ++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];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Вектор направления на источник света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lightDirection</w:t>
      </w:r>
      <w:r>
        <w:rPr>
          <w:rFonts w:ascii="Courier New" w:hAnsi="Courier New" w:cs="Courier New"/>
          <w:noProof w:val="1"/>
          <w:sz w:val="20"/>
          <w:szCs w:val="20"/>
        </w:rPr>
        <w:t xml:space="preserve"> = 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vStart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])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Определяем освещенность прилегающих к ребру граней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bool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frontFaceIsLit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Dot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frontFaceNormal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lightDirection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 &gt; 0;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bool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backFaceIsLit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Dot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backFaceNormal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lightDirection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 &gt; 0;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frontFaceIsLit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!=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backFaceIsLit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Это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силуэтное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ребро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?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sz w:val="20"/>
          <w:szCs w:val="20"/>
        </w:rPr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Вытягиваем вершину от источника света через ребро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на заданный фактор вытягивания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v0</w:t>
      </w:r>
      <w:r>
        <w:rPr>
          <w:rFonts w:ascii="Courier New" w:hAnsi="Courier New" w:cs="Courier New"/>
          <w:noProof w:val="1"/>
          <w:sz w:val="20"/>
          <w:szCs w:val="20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m_vertices</w:t>
      </w:r>
      <w:r>
        <w:rPr>
          <w:rFonts w:ascii="Courier New" w:hAnsi="Courier New" w:cs="Courier New"/>
          <w:noProof w:val="1"/>
          <w:sz w:val="20"/>
          <w:szCs w:val="20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edge</w:t>
      </w:r>
      <w:r>
        <w:rPr>
          <w:rFonts w:ascii="Courier New" w:hAnsi="Courier New" w:cs="Courier New"/>
          <w:noProof w:val="1"/>
          <w:sz w:val="20"/>
          <w:szCs w:val="20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vStart</w:t>
      </w:r>
      <w:r>
        <w:rPr>
          <w:rFonts w:ascii="Courier New" w:hAnsi="Courier New" w:cs="Courier New"/>
          <w:noProof w:val="1"/>
          <w:sz w:val="20"/>
          <w:szCs w:val="20"/>
        </w:rPr>
        <w:t xml:space="preserve">]) *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m_size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edge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vEnd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])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Задаем вершины четырехугольника в зависимости от того,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какая из прилегающих граней освещена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 w:val="1"/>
          <w:sz w:val="20"/>
          <w:szCs w:val="20"/>
        </w:rPr>
        <w:t xml:space="preserve"> 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frontFaceIsLit</w:t>
      </w:r>
      <w:r>
        <w:rPr>
          <w:rFonts w:ascii="Courier New" w:hAnsi="Courier New" w:cs="Courier New"/>
          <w:noProof w:val="1"/>
          <w:sz w:val="20"/>
          <w:szCs w:val="20"/>
        </w:rPr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glVertex3fv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v1</w:t>
      </w:r>
      <w:r>
        <w:rPr>
          <w:rFonts w:ascii="Courier New" w:hAnsi="Courier New" w:cs="Courier New"/>
          <w:noProof w:val="1"/>
          <w:sz w:val="20"/>
          <w:szCs w:val="20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glVertex3fv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v0</w:t>
      </w:r>
      <w:r>
        <w:rPr>
          <w:rFonts w:ascii="Courier New" w:hAnsi="Courier New" w:cs="Courier New"/>
          <w:noProof w:val="1"/>
          <w:sz w:val="20"/>
          <w:szCs w:val="20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четвертая координата, равная 0, вытягивает вершину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в бесконечность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glVertex4f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v0e</w:t>
      </w:r>
      <w:r>
        <w:rPr>
          <w:rFonts w:ascii="Courier New" w:hAnsi="Courier New" w:cs="Courier New"/>
          <w:noProof w:val="1"/>
          <w:sz w:val="20"/>
          <w:szCs w:val="20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x</w:t>
      </w:r>
      <w:r>
        <w:rPr>
          <w:rFonts w:ascii="Courier New" w:hAnsi="Courier New" w:cs="Courier New"/>
          <w:noProof w:val="1"/>
          <w:sz w:val="20"/>
          <w:szCs w:val="20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v0e</w:t>
      </w:r>
      <w:r>
        <w:rPr>
          <w:rFonts w:ascii="Courier New" w:hAnsi="Courier New" w:cs="Courier New"/>
          <w:noProof w:val="1"/>
          <w:sz w:val="20"/>
          <w:szCs w:val="20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y</w:t>
      </w:r>
      <w:r>
        <w:rPr>
          <w:rFonts w:ascii="Courier New" w:hAnsi="Courier New" w:cs="Courier New"/>
          <w:noProof w:val="1"/>
          <w:sz w:val="20"/>
          <w:szCs w:val="20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v0e</w:t>
      </w:r>
      <w:r>
        <w:rPr>
          <w:rFonts w:ascii="Courier New" w:hAnsi="Courier New" w:cs="Courier New"/>
          <w:noProof w:val="1"/>
          <w:sz w:val="20"/>
          <w:szCs w:val="20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z</w:t>
      </w:r>
      <w:r>
        <w:rPr>
          <w:rFonts w:ascii="Courier New" w:hAnsi="Courier New" w:cs="Courier New"/>
          <w:noProof w:val="1"/>
          <w:sz w:val="20"/>
          <w:szCs w:val="20"/>
        </w:rPr>
        <w:t>, 0);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glVertex4f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 0);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else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glVertex3fv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glVertex3fv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четвертая координата, равная 0, вытягивает вершину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в бесконечность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glVertex4f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 0);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glVertex4f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 0);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>}</w:t>
        <w:tab/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Style w:val="P4"/>
      </w:pPr>
      <w:r>
        <w:t>Рисуем «верхнюю» и «нижнюю» части теневого объема</w:t>
      </w:r>
    </w:p>
    <w:p>
      <w:pPr>
        <w:jc w:val="both"/>
      </w:pPr>
      <w:r>
        <w:rPr>
          <w:lang w:val="en-US"/>
        </w:rPr>
        <w:t>Depth</w:t>
      </w:r>
      <w:r>
        <w:t>-</w:t>
      </w:r>
      <w:r>
        <w:rPr>
          <w:lang w:val="en-US"/>
        </w:rPr>
        <w:t>fail</w:t>
      </w:r>
      <w:r>
        <w:t xml:space="preserve"> алгоритм (алгоритм Кармака) требует рисования «верхней» и «нижней» частей теневого объема в дополнение к боковым граням. Для их рисования необходимо выполнить «вытягивание» неосвещенных граней сетки в бесконечность. Освещенные грани остаются на своем месте.</w:t>
      </w:r>
    </w:p>
    <w:p>
      <w:pPr>
        <w:jc w:val="center"/>
      </w:pPr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2765425" cy="2712085"/>
            <wp:effectExtent l="19050" t="19050" r="1524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60" cy="2709240"/>
                    </a:xfrm>
                    <a:prstGeom prst="rect"/>
                    <a:noFill/>
                    <a:ln w="9525">
                      <a:solidFill>
                        <a:schemeClr val="accent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Вытягивание неосвещенных граней в «бесконечность».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DrawShadowVolumeCaps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size_t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0;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&lt;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m_faceCount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 ++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m_faces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faceIndex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];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[0]])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[1]])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v2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[2]])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v3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m_vertices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[3]])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m_size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нормаль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к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грани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faceNormal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Cross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v2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Вычисляем направление на источник света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CVector3f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lightDirection</w:t>
      </w:r>
      <w:r>
        <w:rPr>
          <w:rFonts w:ascii="Courier New" w:hAnsi="Courier New" w:cs="Courier New"/>
          <w:noProof w:val="1"/>
          <w:sz w:val="20"/>
          <w:szCs w:val="20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v0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bool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faceIsLit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Dot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faceNormal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lightDirection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 &gt; 0;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1;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(!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faceIsLit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Освещенная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грань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?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w</w:t>
      </w:r>
      <w:r>
        <w:rPr>
          <w:rFonts w:ascii="Courier New" w:hAnsi="Courier New" w:cs="Courier New"/>
          <w:noProof w:val="1"/>
          <w:sz w:val="20"/>
          <w:szCs w:val="20"/>
        </w:rPr>
        <w:t xml:space="preserve"> = 0;</w:t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вершины будут "вытягиваться" в бесконечность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+=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+=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v2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+=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v2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v3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+=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v3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>}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glVertex4f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glVertex4f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v1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glVertex4f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v2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v2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v2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glVertex4f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v3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v3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v3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jc w:val="both"/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r>
        <w:t xml:space="preserve">Добавим в класс </w:t>
      </w:r>
      <w:r>
        <w:rPr>
          <w:b w:val="1"/>
          <w:lang w:val="en-US"/>
        </w:rPr>
        <w:t>CVector</w:t>
      </w:r>
      <w:r>
        <w:rPr>
          <w:b w:val="1"/>
        </w:rPr>
        <w:t>3</w:t>
      </w:r>
      <w:r>
        <w:t xml:space="preserve"> недостающий оператор +=.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template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&lt;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&gt;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…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&amp;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operator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+=(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v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*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>…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};</w:t>
      </w:r>
    </w:p>
    <w:p>
      <w:pPr>
        <w:jc w:val="both"/>
      </w:pPr>
      <w:r>
        <w:t xml:space="preserve">При первом вызове метода </w:t>
      </w:r>
      <w:r>
        <w:rPr>
          <w:b w:val="1"/>
          <w:lang w:val="en-US"/>
        </w:rPr>
        <w:t>CCube</w:t>
      </w:r>
      <w:r>
        <w:rPr>
          <w:b w:val="1"/>
        </w:rPr>
        <w:t>::</w:t>
      </w:r>
      <w:r>
        <w:rPr>
          <w:b w:val="1"/>
          <w:lang w:val="en-US"/>
        </w:rPr>
        <w:t>DrawShadowVolume</w:t>
      </w:r>
      <w:r>
        <w:t xml:space="preserve"> класс выполнит инициализацию массива с информацией о ребрах модели, а затем выполнит вызов методов визуализации боковых граней, «верха» и «низа».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Инициализируем информацию о ребрах при первом вызове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empty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InitEdges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glBegin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GL_QUADS</w:t>
      </w:r>
      <w:r>
        <w:rPr>
          <w:rFonts w:ascii="Courier New" w:hAnsi="Courier New" w:cs="Courier New"/>
          <w:noProof w:val="1"/>
          <w:sz w:val="20"/>
          <w:szCs w:val="20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боковые грани теневого объема, вытягивая силуэтные ребра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DrawShadowVolumeSides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Рисуем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верхнюю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и "нижнюю" части теневого объема,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вытягивая неосвещенные грани объекта в бесконечность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DrawShadowVolumeCaps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lightPosition</w:t>
      </w:r>
      <w:r>
        <w:rPr>
          <w:rFonts w:ascii="Courier New" w:hAnsi="Courier New" w:cs="Courier New"/>
          <w:noProof w:val="1"/>
          <w:sz w:val="20"/>
          <w:szCs w:val="20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extrusionFactor</w:t>
      </w:r>
      <w:r>
        <w:rPr>
          <w:rFonts w:ascii="Courier New" w:hAnsi="Courier New" w:cs="Courier New"/>
          <w:noProof w:val="1"/>
          <w:sz w:val="20"/>
          <w:szCs w:val="20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glEnd</w:t>
      </w:r>
      <w:r>
        <w:rPr>
          <w:rFonts w:ascii="Courier New" w:hAnsi="Courier New" w:cs="Courier New"/>
          <w:noProof w:val="1"/>
          <w:sz w:val="20"/>
          <w:szCs w:val="20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Style w:val="P3"/>
      </w:pPr>
      <w:bookmarkStart w:id="4" w:name="_Toc343025165"/>
      <w:r>
        <w:t>Визуализация сцены, содержащей отбрасывающие тень объекты</w:t>
      </w:r>
      <w:bookmarkEnd w:id="4"/>
    </w:p>
    <w:p>
      <w:r>
        <w:t xml:space="preserve">В классе </w:t>
      </w:r>
      <w:r>
        <w:rPr>
          <w:lang w:val="en-US"/>
        </w:rPr>
        <w:t>CMyApplication</w:t>
      </w:r>
      <w:r>
        <w:t xml:space="preserve"> выделены методы, осуществляющие визуализацию сцены, источника света, а также теневого объема.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 xml:space="preserve">: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CGLApplication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IRotationControllerListener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title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width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virtual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OnIdle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virtual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OnInit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virtual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OnDisplay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virtual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OnReshape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width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virtual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OnRotationControllerUpdate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Рисуем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источник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света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виде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сферы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DrawLightSource</w:t>
      </w:r>
      <w:r>
        <w:rPr>
          <w:rFonts w:ascii="Courier New" w:hAnsi="Courier New" w:cs="Courier New"/>
          <w:noProof w:val="1"/>
          <w:sz w:val="20"/>
          <w:szCs w:val="20"/>
        </w:rPr>
        <w:t>()</w:t>
      </w:r>
      <w:r>
        <w:rPr>
          <w:rFonts w:ascii="Courier New" w:hAnsi="Courier New" w:cs="Courier New"/>
          <w:noProof w:val="1"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освещенную, либо неосвещенную сцену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DrawScene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bool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enableLighting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Рисуем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теневой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объем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куба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Рисуем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ребра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теневого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объема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куба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()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 w:val="1"/>
          <w:sz w:val="20"/>
          <w:szCs w:val="20"/>
        </w:rPr>
        <w:t>: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CCube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m_cube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Параметры камеры (ZFAR = +бесконечность)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FOV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ZNEAR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Коэффициент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вытягивания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силуэтных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граней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EXTRUSION_FACTOR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Контроллеры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вращения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и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анимации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CRotationController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m_rotationController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CAnimationController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m_animationController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Точечный источник света и его положение в пространстве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COmniLight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Материал объектов сцены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CMaterial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m_material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Фаза анимации источника света (0..2pi)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m_lightAnimationPhase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Фаза анимации (угол вращения) торов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m_torusAnimationPhase</w:t>
      </w:r>
      <w:r>
        <w:rPr>
          <w:rFonts w:ascii="Courier New" w:hAnsi="Courier New" w:cs="Courier New"/>
          <w:noProof w:val="1"/>
          <w:sz w:val="20"/>
          <w:szCs w:val="20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};</w:t>
      </w:r>
    </w:p>
    <w:p>
      <w:pPr>
        <w:pStyle w:val="P4"/>
      </w:pPr>
      <w:r>
        <w:t>Установка матрицы проецирования</w:t>
      </w:r>
    </w:p>
    <w:p>
      <w:pPr>
        <w:jc w:val="both"/>
      </w:pPr>
      <w:r>
        <w:t xml:space="preserve">Алгоритм Кармака может приводить к визуальным артефактам при  отсечении теневого объема дальней плоскостью отсечения. </w:t>
      </w:r>
    </w:p>
    <w:p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3763010" cy="2628900"/>
            <wp:effectExtent l="19050" t="0" r="825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3" cstate="print"/>
                    <a:srcRect l="12270" t="40991" r="24375" b="2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41" cy="2628900"/>
                    </a:xfrm>
                    <a:prstGeom prst="rect"/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Theme="minorEastAsia"/>
        </w:rPr>
      </w:pPr>
      <w:r>
        <w:t xml:space="preserve">Вытягивание дальних вершин теневого объема в бесконечность позволяет решить данную проблему. Однако предварительно требуется подготовить матрицу проецирования должным образом, для случая </w:t>
      </w:r>
      <w:r>
        <w:rPr>
          <w:rFonts w:eastAsiaTheme="minorEastAsia"/>
        </w:rPr>
        <w:t>. Данную матрицу можно получить из обычной матрицы проецирования путем замены в ней двух коэффициентов.</w:t>
      </w:r>
    </w:p>
    <w:p>
      <w:pPr>
        <w:jc w:val="both"/>
        <w:rPr>
          <w:rFonts w:eastAsiaTheme="minorEastAsia"/>
          <w:lang w:val="en-US"/>
        </w:rPr>
      </w:pPr>
    </w:p>
    <w:p>
      <w:pPr>
        <w:jc w:val="both"/>
        <w:rPr>
          <w:rFonts w:eastAsiaTheme="minorEastAsia"/>
          <w:lang w:val="en-US"/>
        </w:rPr>
      </w:pPr>
    </w:p>
    <w:p>
      <w:pPr>
        <w:jc w:val="both"/>
        <w:rPr>
          <w:i w:val="1"/>
        </w:rPr>
      </w:pPr>
      <w:r>
        <w:rPr>
          <w:rFonts w:eastAsiaTheme="minorEastAsia"/>
        </w:rPr>
        <w:t xml:space="preserve"> Проделаем данные действия в обработчике события </w:t>
      </w:r>
      <w:r>
        <w:rPr>
          <w:rFonts w:eastAsiaTheme="minorEastAsia"/>
          <w:lang w:val="en-US"/>
        </w:rPr>
        <w:t>OnReshape</w:t>
      </w:r>
      <w:r>
        <w:rPr>
          <w:rFonts w:eastAsiaTheme="minorEastAsia"/>
        </w:rPr>
        <w:t>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FOV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60;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ZNEAR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1;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...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OnReshape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width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Задаем порт просмотра размером с клиентскую область окна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glViewport</w:t>
      </w:r>
      <w:r>
        <w:rPr>
          <w:rFonts w:ascii="Courier New" w:hAnsi="Courier New" w:cs="Courier New"/>
          <w:noProof w:val="1"/>
          <w:sz w:val="20"/>
          <w:szCs w:val="20"/>
        </w:rPr>
        <w:t xml:space="preserve">(0, 0,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width</w:t>
      </w:r>
      <w:r>
        <w:rPr>
          <w:rFonts w:ascii="Courier New" w:hAnsi="Courier New" w:cs="Courier New"/>
          <w:noProof w:val="1"/>
          <w:sz w:val="20"/>
          <w:szCs w:val="20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height</w:t>
      </w:r>
      <w:r>
        <w:rPr>
          <w:rFonts w:ascii="Courier New" w:hAnsi="Courier New" w:cs="Courier New"/>
          <w:noProof w:val="1"/>
          <w:sz w:val="20"/>
          <w:szCs w:val="20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Вычисляем соотношение сторон окна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aspect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width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/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glMatrixMode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GL_PROJECTION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glLoadIdentity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Устанавливаем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матрицу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проецирования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gluPerspective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FOV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aspect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ZNEAR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ZNEAR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+ 1);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Получаем коэффициенты матрицы проецирования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 w:val="1"/>
          <w:sz w:val="20"/>
          <w:szCs w:val="20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projectionMatrix</w:t>
      </w:r>
      <w:r>
        <w:rPr>
          <w:rFonts w:ascii="Courier New" w:hAnsi="Courier New" w:cs="Courier New"/>
          <w:noProof w:val="1"/>
          <w:sz w:val="20"/>
          <w:szCs w:val="20"/>
        </w:rPr>
        <w:t>[4][4];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glGetDoublev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GL_PROJECTION_MATRIX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 &amp;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projectionMatrix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[0][0]);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И корректируем их для случая бесконечно удаленной дальней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плоскости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отсечения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projectionMatrix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[2][2] = -1;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projectionMatrix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[3][2] = -2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ZNEAR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Загружаем модифицированную матрицу проецирования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glLoadMatrixd</w:t>
      </w:r>
      <w:r>
        <w:rPr>
          <w:rFonts w:ascii="Courier New" w:hAnsi="Courier New" w:cs="Courier New"/>
          <w:noProof w:val="1"/>
          <w:sz w:val="20"/>
          <w:szCs w:val="20"/>
        </w:rPr>
        <w:t>(&amp;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projectionMatrix</w:t>
      </w:r>
      <w:r>
        <w:rPr>
          <w:rFonts w:ascii="Courier New" w:hAnsi="Courier New" w:cs="Courier New"/>
          <w:noProof w:val="1"/>
          <w:sz w:val="20"/>
          <w:szCs w:val="20"/>
        </w:rPr>
        <w:t>[0][0]);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glMatrixMode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GL_MODELVIEW</w:t>
      </w:r>
      <w:r>
        <w:rPr>
          <w:rFonts w:ascii="Courier New" w:hAnsi="Courier New" w:cs="Courier New"/>
          <w:noProof w:val="1"/>
          <w:sz w:val="20"/>
          <w:szCs w:val="20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Style w:val="P4"/>
      </w:pPr>
      <w:r>
        <w:t>Инициализация приложения</w:t>
      </w:r>
    </w:p>
    <w:p>
      <w:pPr>
        <w:jc w:val="both"/>
      </w:pPr>
      <w:r>
        <w:t>В конструкторе класса задаются параметры источника света и материала, а также выполняется подписка на события контроллера вращения.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title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width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CGLApplication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title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width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m_rotationController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width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height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m_lightAnimationPhase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(0)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m_torusAnimationPhase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(0)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AddEventListener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(&amp;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m_rotationController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m_rotationController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AddEventListener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this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SetAmbientIntensity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(0.2f, 0.2f, 0.2f);</w:t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CVector3f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(3, 3, 2));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m_material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SetShininess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(30);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m_material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SetAmbient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(0.2, 0.1, 0.3);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m_material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SetDiffuse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(0.5, 0.6, 0.7);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m_material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SetSpecular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(0.3, 0.3, 0.3);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}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OnInit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glClearColor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(0.3, 0.3, 0.3, 1);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glLoadIdentity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CMatrix4d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modelView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modelView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LoadLookAtRH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 xml:space="preserve">0, 0, 10,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 xml:space="preserve">0, 0, 0,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>0, 1, 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m_rotationController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SetModelViewMatrix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modelView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glEnable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GL_CULL_FACE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glEnable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GL_DEPTH_TEST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Style w:val="P4"/>
      </w:pPr>
      <w:r>
        <w:t>Визуализация кадра</w:t>
      </w:r>
    </w:p>
    <w:p>
      <w:pPr>
        <w:jc w:val="both"/>
      </w:pPr>
      <w:r>
        <w:t>Визуализация кадра состоит из нескольких этапов</w:t>
      </w:r>
    </w:p>
    <w:p>
      <w:pPr>
        <w:pStyle w:val="P13"/>
        <w:numPr>
          <w:ilvl w:val="0"/>
          <w:numId w:val="44"/>
        </w:numPr>
        <w:jc w:val="both"/>
      </w:pPr>
      <w:r>
        <w:t>Сначала рисуется сам источник света, представленный в виде яркой сферы</w:t>
      </w:r>
    </w:p>
    <w:p>
      <w:pPr>
        <w:pStyle w:val="P13"/>
        <w:numPr>
          <w:ilvl w:val="0"/>
          <w:numId w:val="44"/>
        </w:numPr>
        <w:jc w:val="both"/>
      </w:pPr>
      <w:r>
        <w:t>Сцена рисуется при отключенном освещении. Точнее, при фоновом освещении, равномерно заполняющем пространство</w:t>
      </w:r>
    </w:p>
    <w:p>
      <w:pPr>
        <w:pStyle w:val="P13"/>
        <w:numPr>
          <w:ilvl w:val="0"/>
          <w:numId w:val="44"/>
        </w:numPr>
        <w:jc w:val="both"/>
      </w:pPr>
      <w:r>
        <w:t>При отключенной записи в буфер цвета и глубины рисуются теневые объемы всех объектов, отбрасывающих тень. В нашем случае таким объектом будет только куб</w:t>
      </w:r>
    </w:p>
    <w:p>
      <w:pPr>
        <w:pStyle w:val="P13"/>
        <w:numPr>
          <w:ilvl w:val="0"/>
          <w:numId w:val="44"/>
        </w:numPr>
        <w:jc w:val="both"/>
      </w:pPr>
      <w:r>
        <w:t xml:space="preserve">Сцена рисуется при включенном освещении (включаются диффузная и зеркальная составляющая источника света) в тех местах, где в буфере трафарета отсутствуют тени. Тест глубины проходит успешно в том случае, когда глубина фрагмента равна глубине из буфера глубины. </w:t>
      </w:r>
    </w:p>
    <w:p>
      <w:pPr>
        <w:pStyle w:val="P13"/>
        <w:numPr>
          <w:ilvl w:val="0"/>
          <w:numId w:val="44"/>
        </w:numPr>
        <w:jc w:val="both"/>
      </w:pPr>
      <w:r>
        <w:t>На последнем, опциональном, этапе нарисуем ребра теневого объема.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OnDisplay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glClear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GL_COLOR_BUFFER_BIT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|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GL_DEPTH_BUFFER_BIT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|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GL_STENCIL_BUFFER_BIT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glLoadMatrixd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m_rotationController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GetModelViewMatrix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Рисуем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источик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света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виде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сферы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DrawLightSource</w:t>
      </w:r>
      <w:r>
        <w:rPr>
          <w:rFonts w:ascii="Courier New" w:hAnsi="Courier New" w:cs="Courier New"/>
          <w:noProof w:val="1"/>
          <w:sz w:val="20"/>
          <w:szCs w:val="20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сцену без источников света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DrawScene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Рисуем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теневой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объем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glColorMask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GL_FALSE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GL_FALSE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GL_FALSE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GL_FALSE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glDepthMask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GL_FALSE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glDisable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GL_LIGHTING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DrawShadowVolume</w:t>
      </w:r>
      <w:r>
        <w:rPr>
          <w:rFonts w:ascii="Courier New" w:hAnsi="Courier New" w:cs="Courier New"/>
          <w:noProof w:val="1"/>
          <w:sz w:val="20"/>
          <w:szCs w:val="20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сцену со включенным источником света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glColorMask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GL_TRUE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GL_TRUE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GL_TRUE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GL_TRUE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glDepthMask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GL_TRUE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glStencilFunc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GL_EQUAL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 0, ~0);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glStencilOp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glDepthFunc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GL_EQUAL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DrawScene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glDepthFunc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GL_LESS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glDisable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GL_STENCIL_TEST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ребра граней теневого объема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DrawShadowVolumeEdges</w:t>
      </w:r>
      <w:r>
        <w:rPr>
          <w:rFonts w:ascii="Courier New" w:hAnsi="Courier New" w:cs="Courier New"/>
          <w:noProof w:val="1"/>
          <w:sz w:val="20"/>
          <w:szCs w:val="20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Style w:val="P5"/>
      </w:pPr>
      <w:r>
        <w:t>Визуализация сцены</w:t>
      </w:r>
    </w:p>
    <w:p>
      <w:r>
        <w:t xml:space="preserve">Данный метод выполняет визуализацию объектов сцены, предварительно включив или выключив диффузный и зеркальный свет в зависимости от значения параметра </w:t>
      </w:r>
      <w:r>
        <w:rPr>
          <w:b w:val="1"/>
          <w:lang w:val="en-US"/>
        </w:rPr>
        <w:t>enableLighting</w:t>
      </w:r>
      <w:r>
        <w:rPr>
          <w:b w:val="1"/>
        </w:rPr>
        <w:t>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DrawScene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bool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enableLighting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Активизируем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материал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m_material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Activate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GL_FRONT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Задаем параметры источника света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glEnable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GL_LIGHTING</w:t>
      </w:r>
      <w:r>
        <w:rPr>
          <w:rFonts w:ascii="Courier New" w:hAnsi="Courier New" w:cs="Courier New"/>
          <w:noProof w:val="1"/>
          <w:sz w:val="20"/>
          <w:szCs w:val="20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glEnable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GL_LIGHT0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COmniLight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(!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enableLighting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sz w:val="20"/>
          <w:szCs w:val="20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 xml:space="preserve">// При выключенном освещении источник света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испускает только фоновый свет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SetDiffuseIntensity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(0, 0, 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SetSpecularIntensity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(0, 0, 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>}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SetLight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GL_LIGHT0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Рисуем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куб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пару сцепленных торов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glPushMatrix</w:t>
      </w:r>
      <w:r>
        <w:rPr>
          <w:rFonts w:ascii="Courier New" w:hAnsi="Courier New" w:cs="Courier New"/>
          <w:noProof w:val="1"/>
          <w:sz w:val="20"/>
          <w:szCs w:val="20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glTranslatef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(-2, -8, -2);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glRotatef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m_torusAnimationPhase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, 1, 0, 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glutSolidTorus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(1.5, 4, 30, 60);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glTranslatef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(-4, 0, 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glRotatef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(90, 1, 0, 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glutSolidTorus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(1.5, 4, 30, 60);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glPopMatrix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rPr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}</w:t>
      </w:r>
    </w:p>
    <w:p>
      <w:pPr>
        <w:pStyle w:val="P5"/>
        <w:rPr>
          <w:lang w:val="en-US"/>
        </w:rPr>
      </w:pPr>
      <w:r>
        <w:t>Визуализация</w:t>
      </w:r>
      <w:r>
        <w:rPr>
          <w:lang w:val="en-US"/>
        </w:rPr>
        <w:t xml:space="preserve"> </w:t>
      </w:r>
      <w:r>
        <w:t>теневого</w:t>
      </w:r>
      <w:r>
        <w:rPr>
          <w:lang w:val="en-US"/>
        </w:rPr>
        <w:t xml:space="preserve"> </w:t>
      </w:r>
      <w:r>
        <w:t>объема</w:t>
      </w:r>
    </w:p>
    <w:p>
      <w:pPr>
        <w:jc w:val="both"/>
      </w:pPr>
      <w:r>
        <w:t xml:space="preserve">Теневой объем рисуется при включенном тесте трафарета. Согласно </w:t>
      </w:r>
      <w:r>
        <w:rPr>
          <w:lang w:val="en-US"/>
        </w:rPr>
        <w:t>Depth</w:t>
      </w:r>
      <w:r>
        <w:t>-</w:t>
      </w:r>
      <w:r>
        <w:rPr>
          <w:lang w:val="en-US"/>
        </w:rPr>
        <w:t>fail</w:t>
      </w:r>
      <w:r>
        <w:t xml:space="preserve"> алгоритма, значение в буфере трафарета инкрементируется для фрагментов нелицевых граней, не прошедших тест  глубины, и декрементируется для фрагментов лицевых граней, не прошедших тест глубины. Содержимое буфера цвета и глубины при этом не изменяется.</w:t>
      </w:r>
    </w:p>
    <w:p>
      <w:pPr>
        <w:jc w:val="both"/>
      </w:pPr>
      <w:r>
        <w:t xml:space="preserve">Для того, чтобы не рисовать грани теневого объема дважды, можно воспользоваться расширением </w:t>
      </w:r>
      <w:hyperlink xmlns:r="http://schemas.openxmlformats.org/officeDocument/2006/relationships" r:id="R2">
        <w:r>
          <w:rPr>
            <w:rStyle w:val="C2"/>
            <w:b w:val="1"/>
            <w:lang w:val="en-US"/>
          </w:rPr>
          <w:t>GL</w:t>
        </w:r>
        <w:r>
          <w:rPr>
            <w:rStyle w:val="C2"/>
            <w:b w:val="1"/>
          </w:rPr>
          <w:t>_</w:t>
        </w:r>
        <w:r>
          <w:rPr>
            <w:rStyle w:val="C2"/>
            <w:b w:val="1"/>
            <w:lang w:val="en-US"/>
          </w:rPr>
          <w:t>EXT</w:t>
        </w:r>
        <w:r>
          <w:rPr>
            <w:rStyle w:val="C2"/>
            <w:b w:val="1"/>
          </w:rPr>
          <w:t>_</w:t>
        </w:r>
        <w:r>
          <w:rPr>
            <w:rStyle w:val="C2"/>
            <w:b w:val="1"/>
            <w:lang w:val="en-US"/>
          </w:rPr>
          <w:t>stencil</w:t>
        </w:r>
        <w:r>
          <w:rPr>
            <w:rStyle w:val="C2"/>
            <w:b w:val="1"/>
          </w:rPr>
          <w:t>_</w:t>
        </w:r>
        <w:r>
          <w:rPr>
            <w:rStyle w:val="C2"/>
            <w:b w:val="1"/>
            <w:lang w:val="en-US"/>
          </w:rPr>
          <w:t>two</w:t>
        </w:r>
        <w:r>
          <w:rPr>
            <w:rStyle w:val="C2"/>
            <w:b w:val="1"/>
          </w:rPr>
          <w:t>_</w:t>
        </w:r>
        <w:r>
          <w:rPr>
            <w:rStyle w:val="C2"/>
            <w:b w:val="1"/>
            <w:lang w:val="en-US"/>
          </w:rPr>
          <w:t>side</w:t>
        </w:r>
      </w:hyperlink>
      <w:r>
        <w:t>, позволяющего задать различные операции и функции трафарета для лицевых и нелицевых граней.</w:t>
      </w:r>
    </w:p>
    <w:p>
      <w:pPr>
        <w:jc w:val="both"/>
      </w:pPr>
      <w:r>
        <w:t>Стандартные операции инкремента и декремента значений буфера трафарета работают по принципу насыщения</w:t>
      </w:r>
      <w:r>
        <w:rPr>
          <w:rStyle w:val="C8"/>
        </w:rPr>
        <w:footnoteReference w:id="2"/>
      </w:r>
      <w:r>
        <w:t>,</w:t>
      </w:r>
      <w:r>
        <w:t xml:space="preserve"> что может вызвать нежелательные артефакты при использовании упомянутого расширения</w:t>
      </w:r>
      <w:r>
        <w:t>.</w:t>
      </w:r>
      <w:r>
        <w:t xml:space="preserve"> Для их устранения можно использовать в качестве начального значения буфера трафарета число 2</w:t>
      </w:r>
      <w:r>
        <w:rPr>
          <w:vertAlign w:val="superscript"/>
          <w:lang w:val="en-US"/>
        </w:rPr>
        <w:t>n</w:t>
      </w:r>
      <w:r>
        <w:rPr>
          <w:vertAlign w:val="superscript"/>
        </w:rPr>
        <w:t>-</w:t>
      </w:r>
      <w:r>
        <w:rPr>
          <w:vertAlign w:val="superscript"/>
        </w:rPr>
        <w:t>1</w:t>
      </w:r>
      <w:r>
        <w:t>,</w:t>
      </w:r>
      <w:r>
        <w:t xml:space="preserve"> либо расширение </w:t>
      </w:r>
      <w:hyperlink xmlns:r="http://schemas.openxmlformats.org/officeDocument/2006/relationships" r:id="R3">
        <w:r>
          <w:rPr>
            <w:rStyle w:val="C2"/>
            <w:b w:val="1"/>
            <w:lang w:val="en-US"/>
          </w:rPr>
          <w:t>GL</w:t>
        </w:r>
        <w:r>
          <w:rPr>
            <w:rStyle w:val="C2"/>
            <w:b w:val="1"/>
          </w:rPr>
          <w:t>_</w:t>
        </w:r>
        <w:r>
          <w:rPr>
            <w:rStyle w:val="C2"/>
            <w:b w:val="1"/>
            <w:lang w:val="en-US"/>
          </w:rPr>
          <w:t>EXT</w:t>
        </w:r>
        <w:r>
          <w:rPr>
            <w:rStyle w:val="C2"/>
            <w:b w:val="1"/>
          </w:rPr>
          <w:t>_</w:t>
        </w:r>
        <w:r>
          <w:rPr>
            <w:rStyle w:val="C2"/>
            <w:b w:val="1"/>
            <w:lang w:val="en-US"/>
          </w:rPr>
          <w:t>stencil</w:t>
        </w:r>
        <w:r>
          <w:rPr>
            <w:rStyle w:val="C2"/>
            <w:b w:val="1"/>
          </w:rPr>
          <w:t>_</w:t>
        </w:r>
        <w:r>
          <w:rPr>
            <w:rStyle w:val="C2"/>
            <w:b w:val="1"/>
            <w:lang w:val="en-US"/>
          </w:rPr>
          <w:t>wrap</w:t>
        </w:r>
      </w:hyperlink>
      <w:r>
        <w:t>,</w:t>
      </w:r>
      <w:r>
        <w:t xml:space="preserve"> вводящее операции циклического </w:t>
      </w:r>
      <w:r>
        <w:t>(</w:t>
      </w:r>
      <w:r>
        <w:t>т</w:t>
      </w:r>
      <w:r>
        <w:t>.</w:t>
      </w:r>
      <w:r>
        <w:t>е</w:t>
      </w:r>
      <w:r>
        <w:t>.</w:t>
      </w:r>
      <w:r>
        <w:t xml:space="preserve"> без насыщения</w:t>
      </w:r>
      <w:r>
        <w:t>)</w:t>
      </w:r>
      <w:r>
        <w:t xml:space="preserve"> инкремента и декремента значений буфера трафарета</w:t>
      </w:r>
      <w:r>
        <w:t>.</w:t>
      </w:r>
    </w:p>
    <w:p>
      <w:pPr>
        <w:jc w:val="both"/>
      </w:pPr>
      <w:r>
        <w:t>С целью упрощения кода в нашей реализации однопроходная визуализация теневого объема будет использоваться только при поддержке обоих упомянутых расширений, а для очистки буфера трафарета будет использоваться значение, равное 0.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Величина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вытягивания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вершин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EXTRUSION_FACTOR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100;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glEnable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GL_STENCIL_TEST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glStencilFunc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GL_ALWAYS</w:t>
      </w:r>
      <w:r>
        <w:rPr>
          <w:rFonts w:ascii="Courier New" w:hAnsi="Courier New" w:cs="Courier New"/>
          <w:noProof w:val="1"/>
          <w:sz w:val="20"/>
          <w:szCs w:val="20"/>
        </w:rPr>
        <w:t>, 0, 0);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Задаем операции циклического либо нециклического инкремента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и декремента в зависимости от наличия расширения GL_EXT_stencil_wrap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GLenum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incrOp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GLEW_EXT_stencil_wrap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?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GL_INCR_WRAP_EXT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: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GL_INCR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GLenum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decrOp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GLEW_EXT_stencil_wrap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?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GL_DECR_WRAP_EXT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: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GL_DECR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Есть ли поддержка раздельных операций над буфером трафарета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для лицевых и нелицевых граней, а также оборачивания при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808080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инкременте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/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декременте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>?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GLEW_EXT_stencil_two_side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&amp;&amp;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GL_EXT_stencil_wrap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sz w:val="20"/>
          <w:szCs w:val="20"/>
        </w:rPr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Теневой объем будет нарисован за один этап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Включаем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двусторонний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тест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трафарета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glEnable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GL_STENCIL_TEST_TWO_SIDE_EXT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Фрагменты нелицевых граней, не прошедшие тест глубины,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будут увеличивать значения в буфере трафарета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glActiveStencilFaceEXT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GL_BACK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glStencilOp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GL_INCR_WRAP_EXT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glStencilFunc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GL_ALWAYS</w:t>
      </w:r>
      <w:r>
        <w:rPr>
          <w:rFonts w:ascii="Courier New" w:hAnsi="Courier New" w:cs="Courier New"/>
          <w:noProof w:val="1"/>
          <w:sz w:val="20"/>
          <w:szCs w:val="20"/>
        </w:rPr>
        <w:t>, 0, ~0);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Фрагменты лицевых граней, не прошедшие тест глубины,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будут уменьшать значения в буфере трафарета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glActiveStencilFaceEXT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GL_FRONT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glStencilOp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GL_DECR_WRAP_EXT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glStencilFunc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GL_ALWAYS</w:t>
      </w:r>
      <w:r>
        <w:rPr>
          <w:rFonts w:ascii="Courier New" w:hAnsi="Courier New" w:cs="Courier New"/>
          <w:noProof w:val="1"/>
          <w:sz w:val="20"/>
          <w:szCs w:val="20"/>
        </w:rPr>
        <w:t>, 0, ~0);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теневой объем, выключив режим отбраковки граней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glDisable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GL_CULL_FACE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EXTRUSION_FACTOR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Включаем режим отбраковки граней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glEnable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GL_CULL_FACE</w:t>
      </w:r>
      <w:r>
        <w:rPr>
          <w:rFonts w:ascii="Courier New" w:hAnsi="Courier New" w:cs="Courier New"/>
          <w:noProof w:val="1"/>
          <w:sz w:val="20"/>
          <w:szCs w:val="20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Выключаем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двусторонний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тест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трафарета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glDisable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GL_STENCIL_TEST_TWO_SIDE_EXT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Требуемые расширения не поддерживаются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>{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Теневой объем будет нарисован в два этапа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нелицевые грани, увеличивая значения в буфере трафарета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при непрохождении теста глубины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glCullFace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GL_FRONT</w:t>
      </w:r>
      <w:r>
        <w:rPr>
          <w:rFonts w:ascii="Courier New" w:hAnsi="Courier New" w:cs="Courier New"/>
          <w:noProof w:val="1"/>
          <w:sz w:val="20"/>
          <w:szCs w:val="20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glStencilOp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incrOp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EXTRUSION_FACTOR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Рисуем лицевые грани, уменьшая значения в буфере трафарета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// при непрохождении теста глубины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glCullFace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GL_BACK</w:t>
      </w:r>
      <w:r>
        <w:rPr>
          <w:rFonts w:ascii="Courier New" w:hAnsi="Courier New" w:cs="Courier New"/>
          <w:noProof w:val="1"/>
          <w:sz w:val="20"/>
          <w:szCs w:val="20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glStencilOp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decrOp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GL_KEEP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EXTRUSION_FACTOR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Bdr>
          <w:top w:val="single" w:sz="4" w:space="1" w:shadow="0" w:frame="0" w:color="auto"/>
          <w:left w:val="single" w:sz="4" w:space="1" w:shadow="0" w:frame="0" w:color="auto"/>
          <w:bottom w:val="single" w:sz="4" w:space="1" w:shadow="0" w:frame="0" w:color="auto"/>
          <w:right w:val="single" w:sz="4" w:space="1" w:shadow="0" w:frame="0" w:color="auto"/>
          <w:between w:val="none" w:sz="0" w:space="0" w:shadow="0" w:frame="0" w:color="auto"/>
        </w:pBdr>
        <w:jc w:val="both"/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jc w:val="both"/>
      </w:pPr>
      <w:r>
        <w:t xml:space="preserve">Для визуализации ребер теневого объема просто нарисуем его в режиме рисования граней </w:t>
      </w:r>
      <w:r>
        <w:rPr>
          <w:lang w:val="en-US"/>
        </w:rPr>
        <w:t>GL</w:t>
      </w:r>
      <w:r>
        <w:t>_</w:t>
      </w:r>
      <w:r>
        <w:rPr>
          <w:lang w:val="en-US"/>
        </w:rPr>
        <w:t>LINE</w:t>
      </w:r>
      <w:r>
        <w:t>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DrawShadowVolumeEdges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glDisable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GL_LIGHTING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glColor3f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(1, 0, 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glDisable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GL_CULL_FACE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glPolygonMode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GL_FRONT_AND_BACK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GL_LINE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hd w:val="clear" w:fill="B9CDE5" w:themeFill="accent1" w:themeFillTint="66"/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m_cube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DrawShadowVolume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EXTRUSION_FACTOR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glPolygonMode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GL_FRONT_AND_BACK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GL_FILL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glEnable</w:t>
      </w:r>
      <w:r>
        <w:rPr>
          <w:rFonts w:ascii="Courier New" w:hAnsi="Courier New" w:cs="Courier New"/>
          <w:noProof w:val="1"/>
          <w:sz w:val="20"/>
          <w:szCs w:val="20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GL_CULL_FACE</w:t>
      </w:r>
      <w:r>
        <w:rPr>
          <w:rFonts w:ascii="Courier New" w:hAnsi="Courier New" w:cs="Courier New"/>
          <w:noProof w:val="1"/>
          <w:sz w:val="20"/>
          <w:szCs w:val="20"/>
        </w:rPr>
        <w:t>);</w:t>
        <w:tab/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jc w:val="both"/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Style w:val="P5"/>
      </w:pPr>
      <w:r>
        <w:t>Визуализация источника света</w:t>
      </w:r>
    </w:p>
    <w:p>
      <w:pPr>
        <w:jc w:val="both"/>
      </w:pPr>
      <w:r>
        <w:t xml:space="preserve">Для визуализации источника света нарисуем при отключенном освещении белую сферу с центром.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DrawLightSource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Рисуем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источник</w:t>
      </w:r>
      <w:r>
        <w:rPr>
          <w:rFonts w:ascii="Courier New" w:hAnsi="Courier New" w:cs="Courier New"/>
          <w:noProof w:val="1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808080"/>
          <w:sz w:val="20"/>
          <w:szCs w:val="20"/>
        </w:rPr>
        <w:t>света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glDisable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GL_LIGHTING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glColor3f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(1, 1, 1);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glPushMatrix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glTranslatef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glutSolidSphere</w:t>
      </w:r>
      <w:r>
        <w:rPr>
          <w:rFonts w:ascii="Courier New" w:hAnsi="Courier New" w:cs="Courier New"/>
          <w:noProof w:val="1"/>
          <w:sz w:val="20"/>
          <w:szCs w:val="20"/>
        </w:rPr>
        <w:t>(0.1, 15, 10);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glPopMatrix</w:t>
      </w:r>
      <w:r>
        <w:rPr>
          <w:rFonts w:ascii="Courier New" w:hAnsi="Courier New" w:cs="Courier New"/>
          <w:noProof w:val="1"/>
          <w:sz w:val="20"/>
          <w:szCs w:val="20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Style w:val="P3"/>
      </w:pPr>
      <w:bookmarkStart w:id="5" w:name="_Toc343025166"/>
      <w:r>
        <w:t>Анимация объектов</w:t>
      </w:r>
      <w:bookmarkEnd w:id="5"/>
    </w:p>
    <w:p>
      <w:r>
        <w:t xml:space="preserve">Анимация объектов (вращение торов) будет осуществляться в обработчике события </w:t>
      </w:r>
      <w:r>
        <w:rPr>
          <w:lang w:val="en-US"/>
        </w:rPr>
        <w:t>OnIdle</w:t>
      </w:r>
      <w:r>
        <w:t>.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CMyApplication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::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OnIdle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>{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m_animationController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Tick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LIGHT_ANIMATION_SPEED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40.0f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M_PI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/ 180.0f;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m_lightAnimationPhase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fmodf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m_lightAnimationPhase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LIGHT_ANIMATION_SPEED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m_animationController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GetTimeDelta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() * 0.001,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  <w:t xml:space="preserve">2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M_PI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LIGHT_ROTATION_RADIUS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3;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cosf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m_lightAnimationPhase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LIGHT_ROTATION_RADIUS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+ 2;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y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sinf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m_lightAnimationPhase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LIGHT_ROTATION_RADIUS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+ 2;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m_lightPosition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z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sin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m_lightAnimationPhase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* 2)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LIGHT_ROTATION_RADIUS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+ 1;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000FF"/>
          <w:sz w:val="20"/>
          <w:szCs w:val="20"/>
          <w:lang w:val="en-US"/>
        </w:rPr>
        <w:t>float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TORUS_ANIMATION_SPEED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56;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m_torusAnimationPhase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fmodf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(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m_torusAnimationPhase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+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  <w:lang w:val="en-US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TORUS_ANIMATION_SPEED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m_animationController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 w:val="1"/>
          <w:color w:val="020002"/>
          <w:sz w:val="20"/>
          <w:szCs w:val="20"/>
          <w:lang w:val="en-US"/>
        </w:rPr>
        <w:t>GetTimeDelta</w:t>
      </w:r>
      <w:r>
        <w:rPr>
          <w:rFonts w:ascii="Courier New" w:hAnsi="Courier New" w:cs="Courier New"/>
          <w:noProof w:val="1"/>
          <w:sz w:val="20"/>
          <w:szCs w:val="20"/>
          <w:lang w:val="en-US"/>
        </w:rPr>
        <w:t xml:space="preserve">() * 0.001, 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  <w:lang w:val="en-US"/>
        </w:rPr>
        <w:tab/>
        <w:tab/>
      </w:r>
      <w:r>
        <w:rPr>
          <w:rFonts w:ascii="Courier New" w:hAnsi="Courier New" w:cs="Courier New"/>
          <w:noProof w:val="1"/>
          <w:sz w:val="20"/>
          <w:szCs w:val="20"/>
        </w:rPr>
        <w:t>360);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  <w:spacing w:lineRule="auto" w:line="240" w:after="0" w:beforeAutospacing="0" w:afterAutospacing="0"/>
        <w:rPr>
          <w:rFonts w:ascii="Courier New" w:hAnsi="Courier New" w:cs="Courier New"/>
          <w:noProof w:val="1"/>
          <w:sz w:val="20"/>
          <w:szCs w:val="20"/>
        </w:rPr>
      </w:pPr>
      <w:r>
        <w:rPr>
          <w:rFonts w:ascii="Courier New" w:hAnsi="Courier New" w:cs="Courier New"/>
          <w:noProof w:val="1"/>
          <w:sz w:val="20"/>
          <w:szCs w:val="20"/>
        </w:rPr>
        <w:tab/>
      </w:r>
      <w:r>
        <w:rPr>
          <w:rFonts w:ascii="Courier New" w:hAnsi="Courier New" w:cs="Courier New"/>
          <w:noProof w:val="1"/>
          <w:color w:val="020002"/>
          <w:sz w:val="20"/>
          <w:szCs w:val="20"/>
        </w:rPr>
        <w:t>PostRedisplay</w:t>
      </w:r>
      <w:r>
        <w:rPr>
          <w:rFonts w:ascii="Courier New" w:hAnsi="Courier New" w:cs="Courier New"/>
          <w:noProof w:val="1"/>
          <w:sz w:val="20"/>
          <w:szCs w:val="20"/>
        </w:rPr>
        <w:t>();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  <w:between w:val="none" w:sz="0" w:space="0" w:shadow="0" w:frame="0" w:color="auto"/>
        </w:pBdr>
      </w:pPr>
      <w:r>
        <w:rPr>
          <w:rFonts w:ascii="Courier New" w:hAnsi="Courier New" w:cs="Courier New"/>
          <w:noProof w:val="1"/>
          <w:sz w:val="20"/>
          <w:szCs w:val="20"/>
        </w:rPr>
        <w:t>}</w:t>
      </w:r>
    </w:p>
    <w:p>
      <w:pPr>
        <w:pStyle w:val="P3"/>
      </w:pPr>
      <w:bookmarkStart w:id="6" w:name="_Toc343025167"/>
      <w:r>
        <w:t>Результат работы программы</w:t>
      </w:r>
      <w:bookmarkEnd w:id="6"/>
    </w:p>
    <w:p>
      <w:pPr>
        <w:jc w:val="center"/>
      </w:pPr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5052695" cy="277495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4" cstate="print"/>
                    <a:srcRect l="12273" t="19495" r="2674" b="19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53" cy="2775257"/>
                    </a:xfrm>
                    <a:prstGeom prst="rect"/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 xml:space="preserve">Текущее решение требует, чтобы координаты источника света и координаты вершин теневого объема были заданы в одной и той же системе координат. В реальных ситуациях источники света задаются в своих системах координат, а объекты – в своих. Перед тем, как выполнять построение теневого объема необходимо привести координаты источника и объекта в одну и ту же систему координат. </w:t>
      </w:r>
    </w:p>
    <w:p>
      <w:pPr>
        <w:jc w:val="both"/>
      </w:pPr>
      <w:r>
        <w:t xml:space="preserve">Сделать это можно следующим образом. Предположим, что </w:t>
      </w:r>
      <w:r>
        <w:rPr>
          <w:lang w:val="en-US"/>
        </w:rPr>
        <w:t>L</w:t>
      </w:r>
      <w:r>
        <w:t xml:space="preserve"> – матрица трансформации источника света, а матрица </w:t>
      </w:r>
      <w:r>
        <w:rPr>
          <w:lang w:val="en-US"/>
        </w:rPr>
        <w:t>M</w:t>
      </w:r>
      <w:r>
        <w:t xml:space="preserve"> – матрица трансформации вершин объекта, то перевод векторов и точек из системы координат </w:t>
      </w:r>
      <w:r>
        <w:rPr>
          <w:lang w:val="en-US"/>
        </w:rPr>
        <w:t>L</w:t>
      </w:r>
      <w:r>
        <w:t xml:space="preserve"> в систему координат </w:t>
      </w:r>
      <w:r>
        <w:rPr>
          <w:lang w:val="en-US"/>
        </w:rPr>
        <w:t>M</w:t>
      </w:r>
      <w:r>
        <w:t xml:space="preserve"> будет осуществлять матрица </w:t>
      </w:r>
      <w:r>
        <w:rPr>
          <w:lang w:val="en-US"/>
        </w:rPr>
        <w:t>K</w:t>
      </w:r>
      <w:r>
        <w:t>, равная:</w:t>
      </w:r>
    </w:p>
    <w:p>
      <w:pPr>
        <w:jc w:val="both"/>
        <w:rPr>
          <w:rFonts w:eastAsiaTheme="minorEastAsia"/>
        </w:rPr>
      </w:pPr>
    </w:p>
    <w:p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Иными словами, зная матрицу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 моделирования-вида, которая использовалась при задании положения источника света, и матрицу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моделирования-вида, используемую при задании объекта, координаты источника света перед передачей их в метод построения теневого объема, необходимо предварительно умножить на матрицу, обратную матрице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. Явно умножать на матрицу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(матрицу моделирования-вида) координаты вершин построенного теневого объема не нужно, т.к. это преобразование будет выполнено </w:t>
      </w:r>
      <w:r>
        <w:rPr>
          <w:rFonts w:eastAsiaTheme="minorEastAsia"/>
          <w:lang w:val="en-US"/>
        </w:rPr>
        <w:t>OpenGL</w:t>
      </w:r>
      <w:r>
        <w:rPr>
          <w:rFonts w:eastAsiaTheme="minorEastAsia"/>
        </w:rPr>
        <w:t xml:space="preserve"> в процессе стандартной обработки вершин.</w:t>
      </w:r>
    </w:p>
    <w:p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В случае, если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 - ортонормированная матрица аффинных преобразований (т.е. является композицией преобразований вращения и переноса), ее инвертирование может быть выполнено гораздо проще:</w:t>
      </w:r>
    </w:p>
    <w:p>
      <w:pPr>
        <w:jc w:val="both"/>
        <w:rPr>
          <w:rFonts w:eastAsiaTheme="minorEastAsia"/>
        </w:rPr>
      </w:pPr>
    </w:p>
    <w:p>
      <w:pPr>
        <w:pStyle w:val="P3"/>
        <w:rPr>
          <w:rFonts w:eastAsiaTheme="minorEastAsia"/>
        </w:rPr>
      </w:pPr>
      <w:bookmarkStart w:id="7" w:name="_Toc343025168"/>
      <w:r>
        <w:rPr>
          <w:rFonts w:eastAsiaTheme="minorEastAsia"/>
        </w:rPr>
        <w:t>Визуализация теней от нескольких источников света</w:t>
      </w:r>
      <w:bookmarkEnd w:id="7"/>
    </w:p>
    <w:p>
      <w:pPr>
        <w:jc w:val="both"/>
        <w:rPr>
          <w:rFonts w:eastAsiaTheme="minorEastAsia"/>
        </w:rPr>
      </w:pPr>
      <w:r>
        <w:rPr>
          <w:rFonts w:eastAsiaTheme="minorEastAsia"/>
        </w:rPr>
        <w:t>Разработанное приложение визуализирует тени только от одного источника света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При наличии нескольких источников света построение теневых объемов и рисование освещенной части сцены потребуется выполнить по одному разу для каждого источника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При этом потребуется включить режим аддитивного смешивания цветов</w:t>
      </w:r>
      <w:r>
        <w:rPr>
          <w:rStyle w:val="C8"/>
          <w:rFonts w:eastAsiaTheme="minorEastAsia"/>
        </w:rPr>
        <w:footnoteReference w:id="3"/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Кроме того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фоновый свет источников света понадобится включить только для рисования неосвещенной сцены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а при рисовании освещенных фрагментов сцены следует использовать только диффузное и зеркальное освещение</w:t>
      </w:r>
      <w:r>
        <w:rPr>
          <w:rFonts w:eastAsiaTheme="minorEastAsia"/>
        </w:rPr>
        <w:t>.</w:t>
      </w:r>
    </w:p>
    <w:p>
      <w:pPr>
        <w:pStyle w:val="P2"/>
      </w:pPr>
      <w:bookmarkStart w:id="8" w:name="_Toc343025169"/>
      <w:r>
        <w:t>Практические задания</w:t>
      </w:r>
      <w:bookmarkEnd w:id="8"/>
    </w:p>
    <w:p>
      <w:r>
        <w:t>Для получения оценки «</w:t>
      </w:r>
      <w:r>
        <w:rPr>
          <w:b w:val="1"/>
        </w:rPr>
        <w:t>удовлетворительно</w:t>
      </w:r>
      <w:r>
        <w:t xml:space="preserve">» необходимо выполнить все обязательные задания, набрав не менее </w:t>
      </w:r>
      <w:r>
        <w:rPr>
          <w:b w:val="1"/>
        </w:rPr>
        <w:t>60 баллов</w:t>
      </w:r>
      <w:r>
        <w:t>.</w:t>
      </w:r>
    </w:p>
    <w:p>
      <w:r>
        <w:t>Для получения оценки «</w:t>
      </w:r>
      <w:r>
        <w:rPr>
          <w:b w:val="1"/>
        </w:rPr>
        <w:t>хорошо</w:t>
      </w:r>
      <w:r>
        <w:t xml:space="preserve">» необходимо выполнить все обязательные задания и часть дополнительных набрав не менее </w:t>
      </w:r>
      <w:r>
        <w:rPr>
          <w:b w:val="1"/>
        </w:rPr>
        <w:t>150 баллов</w:t>
      </w:r>
      <w:r>
        <w:t>.</w:t>
      </w:r>
    </w:p>
    <w:p>
      <w:r>
        <w:t>Для получения оценки «</w:t>
      </w:r>
      <w:r>
        <w:rPr>
          <w:b w:val="1"/>
        </w:rPr>
        <w:t>отлично</w:t>
      </w:r>
      <w:r>
        <w:t xml:space="preserve">» необходимо выполнить все обязательные задания и часть дополнительных набрав не менее </w:t>
      </w:r>
      <w:r>
        <w:rPr>
          <w:b w:val="1"/>
        </w:rPr>
        <w:t>400 баллов</w:t>
      </w:r>
      <w:r>
        <w:t>.</w:t>
      </w:r>
    </w:p>
    <w:p>
      <w:pPr>
        <w:pStyle w:val="P3"/>
      </w:pPr>
      <w:bookmarkStart w:id="9" w:name="_Toc343025170"/>
      <w:r>
        <w:t>Обязательные задания</w:t>
      </w:r>
      <w:bookmarkEnd w:id="9"/>
    </w:p>
    <w:p>
      <w:pPr>
        <w:pStyle w:val="P4"/>
      </w:pPr>
      <w:r>
        <w:t>Задание 1</w:t>
      </w:r>
    </w:p>
    <w:p>
      <w:pPr>
        <w:pStyle w:val="P5"/>
      </w:pPr>
      <w:r>
        <w:t xml:space="preserve">Вариант 1 – Реализация технологии </w:t>
      </w:r>
      <w:r>
        <w:rPr>
          <w:lang w:val="en-US"/>
        </w:rPr>
        <w:t>Stencil</w:t>
      </w:r>
      <w:r>
        <w:t xml:space="preserve"> </w:t>
      </w:r>
      <w:r>
        <w:rPr>
          <w:lang w:val="en-US"/>
        </w:rPr>
        <w:t>Shadow</w:t>
      </w:r>
      <w:r>
        <w:t xml:space="preserve"> </w:t>
      </w:r>
      <w:r>
        <w:rPr>
          <w:lang w:val="en-US"/>
        </w:rPr>
        <w:t>Volumes</w:t>
      </w:r>
      <w:r>
        <w:t xml:space="preserve"> </w:t>
      </w:r>
      <w:r>
        <w:softHyphen/>
      </w:r>
      <w:r>
        <w:t>– 100 баллов</w:t>
      </w:r>
    </w:p>
    <w:p>
      <w:pPr>
        <w:jc w:val="both"/>
      </w:pPr>
      <w:r>
        <w:t xml:space="preserve">Разработайте </w:t>
      </w:r>
      <w:r>
        <w:rPr>
          <w:lang w:val="en-US"/>
        </w:rPr>
        <w:t>OpenGL</w:t>
      </w:r>
      <w:r>
        <w:t>-приложение, визуализирующее несколько (не менее трех) достаточно сложных трехмерных моделей, загружаемых из .3</w:t>
      </w:r>
      <w:r>
        <w:rPr>
          <w:lang w:val="en-US"/>
        </w:rPr>
        <w:t>ds</w:t>
      </w:r>
      <w:r>
        <w:t xml:space="preserve">-файлов. Объекты должны освещаться движущимся по сцене точечным источником света и отбрасывать тени, визуализируемые при помощи технологии </w:t>
      </w:r>
      <w:r>
        <w:rPr>
          <w:lang w:val="en-US"/>
        </w:rPr>
        <w:t>Stencil</w:t>
      </w:r>
      <w:r>
        <w:t xml:space="preserve"> </w:t>
      </w:r>
      <w:r>
        <w:rPr>
          <w:lang w:val="en-US"/>
        </w:rPr>
        <w:t>Shadow</w:t>
      </w:r>
      <w:r>
        <w:t xml:space="preserve"> </w:t>
      </w:r>
      <w:r>
        <w:rPr>
          <w:lang w:val="en-US"/>
        </w:rPr>
        <w:t>Volumes</w:t>
      </w:r>
      <w:r>
        <w:t xml:space="preserve"> (с использованием </w:t>
      </w:r>
      <w:r>
        <w:rPr>
          <w:lang w:val="en-US"/>
        </w:rPr>
        <w:t>Depth</w:t>
      </w:r>
      <w:r>
        <w:t>-</w:t>
      </w:r>
      <w:r>
        <w:rPr>
          <w:lang w:val="en-US"/>
        </w:rPr>
        <w:t>fail</w:t>
      </w:r>
      <w:r>
        <w:t xml:space="preserve"> алгоритма). Объекты должны динамически изменять свое положение относительно друг друга и источника света, а также ориентацию в пространстве.</w:t>
      </w:r>
    </w:p>
    <w:p>
      <w:pPr>
        <w:jc w:val="both"/>
      </w:pPr>
      <w:r>
        <w:t>При визуализации объектов должны учитываться характеристики их материалов (зеркальный и диффузный цвет). Каждая модель должна использовать не менее 2 различных материалов.</w:t>
      </w:r>
    </w:p>
    <w:p>
      <w:pPr>
        <w:jc w:val="both"/>
      </w:pPr>
      <w:r>
        <w:t>Пользователь должен иметь возможность вращения камеры вокруг сцены.</w:t>
      </w:r>
    </w:p>
    <w:p>
      <w:pPr>
        <w:pStyle w:val="P6"/>
      </w:pPr>
      <w:r>
        <w:t>Бонус в 20 баллов за наличие текстуры на объектах</w:t>
      </w:r>
    </w:p>
    <w:p>
      <w:r>
        <w:t>Бонус начисляется за детализацию цвета поверхности трехмерных моделей с помощью текстуры.</w:t>
      </w:r>
    </w:p>
    <w:p>
      <w:pPr>
        <w:pStyle w:val="P6"/>
      </w:pPr>
      <w:r>
        <w:t xml:space="preserve">Бонус в 100 баллов за построение теневых объемов при помощи </w:t>
      </w:r>
      <w:r>
        <w:rPr>
          <w:lang w:val="en-US"/>
        </w:rPr>
        <w:t>GPU</w:t>
      </w:r>
    </w:p>
    <w:p>
      <w:pPr>
        <w:jc w:val="both"/>
      </w:pPr>
      <w:r>
        <w:t xml:space="preserve">Бонус начисляется за построение теневых объемов средствами графического ускорителя. Технология построения теневых объемов с помощью вершинного шейдера описана в лекции. Если ваша видеокарта поддерживает геометрические шейдеры, появившиеся в </w:t>
      </w:r>
      <w:r>
        <w:rPr>
          <w:lang w:val="en-US"/>
        </w:rPr>
        <w:t>OpenGL</w:t>
      </w:r>
      <w:r>
        <w:t xml:space="preserve"> 3.2, построение теневого объема на </w:t>
      </w:r>
      <w:r>
        <w:rPr>
          <w:lang w:val="en-US"/>
        </w:rPr>
        <w:t>GPU</w:t>
      </w:r>
      <w:r>
        <w:t xml:space="preserve"> можно выполнить с их помощью практически так же, как это выполняется средствами центрального процессора.</w:t>
      </w:r>
    </w:p>
    <w:p>
      <w:pPr>
        <w:pStyle w:val="P6"/>
      </w:pPr>
      <w:r>
        <w:t>Бонус в 20 баллов за визуализацию теней от нескольких источников света</w:t>
      </w:r>
    </w:p>
    <w:p>
      <w:pPr>
        <w:jc w:val="both"/>
      </w:pPr>
      <w:r>
        <w:t>Бонус начисляется за присутствие в сцене нескольких (от 3 до 8) движущихся источников света, освещающих объекты.</w:t>
      </w:r>
    </w:p>
    <w:p>
      <w:pPr>
        <w:pStyle w:val="P6"/>
      </w:pPr>
      <w:r>
        <w:t>Бонус в 20 баллов за визуализацию моделей с использованием попиксельного диффузного и зеркального освещения</w:t>
      </w:r>
    </w:p>
    <w:p>
      <w:pPr>
        <w:jc w:val="both"/>
      </w:pPr>
      <w:r>
        <w:t>Бонус начисляется за расчет диффузного и зеркального освещения объектов во фрагментного шейдера.</w:t>
      </w:r>
    </w:p>
    <w:p>
      <w:pPr>
        <w:pStyle w:val="P6"/>
      </w:pPr>
      <w:r>
        <w:t xml:space="preserve">Бонус в 30 баллов за передачу микрорельефа поверхности с использованием технологии </w:t>
      </w:r>
      <w:r>
        <w:rPr>
          <w:lang w:val="en-US"/>
        </w:rPr>
        <w:t>bump</w:t>
      </w:r>
      <w:r>
        <w:t xml:space="preserve"> </w:t>
      </w:r>
      <w:r>
        <w:rPr>
          <w:lang w:val="en-US"/>
        </w:rPr>
        <w:t>mapping</w:t>
      </w:r>
      <w:r>
        <w:t>.</w:t>
      </w:r>
    </w:p>
    <w:p>
      <w:pPr>
        <w:jc w:val="both"/>
      </w:pPr>
      <w:r>
        <w:t xml:space="preserve">Бонус начисляется за передачу деталей поверхности некоторых моделей с использованием технологии </w:t>
      </w:r>
      <w:r>
        <w:rPr>
          <w:lang w:val="en-US"/>
        </w:rPr>
        <w:t>bump</w:t>
      </w:r>
      <w:r>
        <w:t xml:space="preserve"> </w:t>
      </w:r>
      <w:r>
        <w:rPr>
          <w:lang w:val="en-US"/>
        </w:rPr>
        <w:t>mapping</w:t>
      </w:r>
      <w:r>
        <w:t>.</w:t>
      </w:r>
    </w:p>
    <w:p>
      <w:pPr>
        <w:pStyle w:val="P5"/>
      </w:pPr>
      <w:r>
        <w:t xml:space="preserve">Вариант 2 – Визуализация систем частиц </w:t>
      </w:r>
      <w:r>
        <w:softHyphen/>
      </w:r>
      <w:r>
        <w:t>– до 60 баллов</w:t>
      </w:r>
    </w:p>
    <w:p>
      <w:r>
        <w:t xml:space="preserve">Разработайте </w:t>
      </w:r>
      <w:r>
        <w:rPr>
          <w:lang w:val="en-US"/>
        </w:rPr>
        <w:t>OpenGL</w:t>
      </w:r>
      <w:r>
        <w:t>-приложение, визуализирующее анимированную трехмерную сцену, содержащую помимо нескольких достаточно сложных 3</w:t>
      </w:r>
      <w:r>
        <w:rPr>
          <w:lang w:val="en-US"/>
        </w:rPr>
        <w:t>D</w:t>
      </w:r>
      <w:r>
        <w:t xml:space="preserve"> объектов систему частиц.</w:t>
      </w:r>
    </w:p>
    <w:p>
      <w:pPr>
        <w:pStyle w:val="P13"/>
        <w:numPr>
          <w:ilvl w:val="0"/>
          <w:numId w:val="50"/>
        </w:numPr>
      </w:pPr>
      <w:r>
        <w:t>Салют в ночном городе</w:t>
      </w:r>
    </w:p>
    <w:p>
      <w:pPr>
        <w:pStyle w:val="P13"/>
        <w:numPr>
          <w:ilvl w:val="0"/>
          <w:numId w:val="50"/>
        </w:numPr>
      </w:pPr>
      <w:r>
        <w:t>Космический корабль, летящий в космосе вблизи кометы</w:t>
      </w:r>
    </w:p>
    <w:p>
      <w:pPr>
        <w:pStyle w:val="P13"/>
        <w:numPr>
          <w:ilvl w:val="0"/>
          <w:numId w:val="50"/>
        </w:numPr>
      </w:pPr>
      <w:r>
        <w:t>Зимний пейзаж с падающими снежинками</w:t>
      </w:r>
    </w:p>
    <w:p>
      <w:pPr>
        <w:pStyle w:val="P13"/>
        <w:numPr>
          <w:ilvl w:val="0"/>
          <w:numId w:val="50"/>
        </w:numPr>
      </w:pPr>
      <w:r>
        <w:t>Дом, из трубы которого идет дым</w:t>
      </w:r>
    </w:p>
    <w:p>
      <w:pPr>
        <w:pStyle w:val="P13"/>
        <w:numPr>
          <w:ilvl w:val="0"/>
          <w:numId w:val="50"/>
        </w:numPr>
      </w:pPr>
      <w:r>
        <w:t>Полет самолета в облаках</w:t>
      </w:r>
    </w:p>
    <w:p>
      <w:pPr>
        <w:pStyle w:val="P13"/>
        <w:numPr>
          <w:ilvl w:val="0"/>
          <w:numId w:val="50"/>
        </w:numPr>
      </w:pPr>
      <w:r>
        <w:t>Ракета, летящая в космосе. Из сопел ракеты вырывается струя раскаленных газов.</w:t>
      </w:r>
    </w:p>
    <w:p>
      <w:r>
        <w:t>Допускаются альтернативные варианты сцен после предварительного согласования темы с преподавателем.</w:t>
      </w:r>
    </w:p>
    <w:p>
      <w:r>
        <w:t xml:space="preserve">При оценке работы внимание будет обращаться на </w:t>
      </w:r>
      <w:r>
        <w:rPr>
          <w:b w:val="1"/>
        </w:rPr>
        <w:t>зрелищность и реалистичность</w:t>
      </w:r>
      <w:r>
        <w:t xml:space="preserve"> визуализируемой трехмерной сцены (в особенности, системы частиц).</w:t>
      </w:r>
    </w:p>
    <w:p>
      <w:r>
        <w:t>Объекты сцены должны быть освещены одним или несколькими источниками света (подберите параметры освещения таким образом, чтобы сцена выглядела от этого достаточно реалистично).</w:t>
      </w:r>
    </w:p>
    <w:p>
      <w:r>
        <w:t>Программа должна позволять просматривать сцену с различных точек путем управления положением камеры с помощью мыши.</w:t>
      </w:r>
    </w:p>
    <w:p>
      <w:pPr>
        <w:pStyle w:val="P6"/>
      </w:pPr>
      <w:r>
        <w:t>Бонус в 20 баллов за попиксельный расчет освещения объектов сцены</w:t>
      </w:r>
    </w:p>
    <w:p>
      <w:r>
        <w:t>Бонус в начисляется за попиксельный расчет освещения объектов сцены с использованием шейдеров</w:t>
      </w:r>
    </w:p>
    <w:p>
      <w:pPr>
        <w:pStyle w:val="P6"/>
      </w:pPr>
      <w:r>
        <w:t xml:space="preserve">Бонус в 30 баллов за передачу микрорельефа поверхности с использованием технологии </w:t>
      </w:r>
      <w:r>
        <w:rPr>
          <w:lang w:val="en-US"/>
        </w:rPr>
        <w:t>bump</w:t>
      </w:r>
      <w:r>
        <w:t xml:space="preserve"> </w:t>
      </w:r>
      <w:r>
        <w:rPr>
          <w:lang w:val="en-US"/>
        </w:rPr>
        <w:t>mapping</w:t>
      </w:r>
      <w:r>
        <w:t>.</w:t>
      </w:r>
    </w:p>
    <w:p>
      <w:pPr>
        <w:jc w:val="both"/>
      </w:pPr>
      <w:r>
        <w:t xml:space="preserve">Бонус начисляется за передачу деталей поверхности некоторых моделей с использованием технологии </w:t>
      </w:r>
      <w:r>
        <w:rPr>
          <w:lang w:val="en-US"/>
        </w:rPr>
        <w:t>bump</w:t>
      </w:r>
      <w:r>
        <w:t xml:space="preserve"> </w:t>
      </w:r>
      <w:r>
        <w:rPr>
          <w:lang w:val="en-US"/>
        </w:rPr>
        <w:t>mapping</w:t>
      </w:r>
      <w:r>
        <w:t>.</w:t>
      </w:r>
    </w:p>
    <w:p>
      <w:pPr>
        <w:pStyle w:val="P6"/>
      </w:pPr>
      <w:r>
        <w:t xml:space="preserve">Бонус в 50 баллов за вычисление анимации частиц на </w:t>
      </w:r>
      <w:r>
        <w:rPr>
          <w:lang w:val="en-US"/>
        </w:rPr>
        <w:t>GPU</w:t>
      </w:r>
    </w:p>
    <w:p>
      <w:pPr>
        <w:jc w:val="both"/>
      </w:pPr>
      <w:r>
        <w:t>Бонус начисляется за применение технологий, позволяющих вычислить анимацию частиц на стороне видеокарты с использованием вершинных (и, возможно, геометрических) шейдеров.</w:t>
      </w:r>
    </w:p>
    <w:p>
      <w:pPr>
        <w:pStyle w:val="P3"/>
      </w:pPr>
      <w:bookmarkStart w:id="10" w:name="_Toc343025171"/>
      <w:r>
        <w:t>Дополнительные задания</w:t>
      </w:r>
      <w:bookmarkEnd w:id="10"/>
    </w:p>
    <w:p>
      <w:pPr>
        <w:jc w:val="both"/>
      </w:pPr>
      <w:r>
        <w:t>Дополнительные задания принимаются только после успешной защиты обязательных заданий.</w:t>
      </w:r>
    </w:p>
    <w:p>
      <w:pPr>
        <w:pStyle w:val="P4"/>
      </w:pPr>
      <w:r>
        <w:t xml:space="preserve">Задание 2 – Реализация технологии </w:t>
      </w:r>
      <w:r>
        <w:rPr>
          <w:lang w:val="en-US"/>
        </w:rPr>
        <w:t>Shadow</w:t>
      </w:r>
      <w:r>
        <w:t xml:space="preserve"> </w:t>
      </w:r>
      <w:r>
        <w:rPr>
          <w:lang w:val="en-US"/>
        </w:rPr>
        <w:t>Mapping</w:t>
      </w:r>
      <w:r>
        <w:t xml:space="preserve"> – 150 баллов</w:t>
      </w:r>
    </w:p>
    <w:p>
      <w:pPr>
        <w:jc w:val="both"/>
      </w:pPr>
      <w:r>
        <w:t xml:space="preserve">Разработайте </w:t>
      </w:r>
      <w:r>
        <w:rPr>
          <w:lang w:val="en-US"/>
        </w:rPr>
        <w:t>OpenGL</w:t>
      </w:r>
      <w:r>
        <w:t>-приложение, визуализирующее трехмерную сцену, содержащую несколько (не менее 4) достаточно сложных трехмерных объектов, загружаемых их .3</w:t>
      </w:r>
      <w:r>
        <w:rPr>
          <w:lang w:val="en-US"/>
        </w:rPr>
        <w:t>ds</w:t>
      </w:r>
      <w:r>
        <w:t xml:space="preserve"> файлов. Объекты должны освещаться при помощи динамического источника света типа «прожектор» (</w:t>
      </w:r>
      <w:r>
        <w:rPr>
          <w:lang w:val="en-US"/>
        </w:rPr>
        <w:t>spot</w:t>
      </w:r>
      <w:r>
        <w:t xml:space="preserve"> </w:t>
      </w:r>
      <w:r>
        <w:rPr>
          <w:lang w:val="en-US"/>
        </w:rPr>
        <w:t>light</w:t>
      </w:r>
      <w:r>
        <w:t xml:space="preserve">) и отбрасывать тени с использованием технологии </w:t>
      </w:r>
      <w:r>
        <w:rPr>
          <w:lang w:val="en-US"/>
        </w:rPr>
        <w:t>Shadow</w:t>
      </w:r>
      <w:r>
        <w:t xml:space="preserve"> </w:t>
      </w:r>
      <w:r>
        <w:rPr>
          <w:lang w:val="en-US"/>
        </w:rPr>
        <w:t>mapping</w:t>
      </w:r>
      <w:r>
        <w:t>. Объекты должны динамически изменять свое положение относительно друг друга и источника света, а также ориентацию в пространстве.</w:t>
      </w:r>
    </w:p>
    <w:p>
      <w:pPr>
        <w:pStyle w:val="P5"/>
      </w:pPr>
      <w:r>
        <w:t>Бонус в 20 баллов за наличие текстуры на объектах</w:t>
      </w:r>
    </w:p>
    <w:p>
      <w:r>
        <w:t>Бонус начисляется за детализацию цвета поверхности трехмерных моделей с помощью текстуры.</w:t>
      </w:r>
    </w:p>
    <w:p>
      <w:pPr>
        <w:pStyle w:val="P5"/>
      </w:pPr>
      <w:r>
        <w:t>Бонус в 30 баллов за визуализацию теней от нескольких источников света</w:t>
      </w:r>
    </w:p>
    <w:p>
      <w:pPr>
        <w:jc w:val="both"/>
      </w:pPr>
      <w:r>
        <w:t>Бонус начисляется за присутствие в сцене нескольких (не менее 3) движущихся источников света, освещающих объекты.</w:t>
      </w:r>
    </w:p>
    <w:p>
      <w:pPr>
        <w:pStyle w:val="P5"/>
      </w:pPr>
      <w:r>
        <w:t>Бонус в 20 баллов за визуализацию моделей с использованием попиксельного диффузного и зеркального освещения</w:t>
      </w:r>
    </w:p>
    <w:p>
      <w:pPr>
        <w:jc w:val="both"/>
      </w:pPr>
      <w:r>
        <w:t>Бонус начисляется за расчет диффузного и зеркального освещения объектов во фрагментного шейдера.</w:t>
      </w:r>
    </w:p>
    <w:p>
      <w:pPr>
        <w:pStyle w:val="P5"/>
      </w:pPr>
      <w:r>
        <w:t xml:space="preserve">Бонус в 30 баллов за передачу микрорельефа поверхности с использованием технологии </w:t>
      </w:r>
      <w:r>
        <w:rPr>
          <w:lang w:val="en-US"/>
        </w:rPr>
        <w:t>bump</w:t>
      </w:r>
      <w:r>
        <w:t xml:space="preserve"> </w:t>
      </w:r>
      <w:r>
        <w:rPr>
          <w:lang w:val="en-US"/>
        </w:rPr>
        <w:t>mapping</w:t>
      </w:r>
      <w:r>
        <w:t>.</w:t>
      </w:r>
    </w:p>
    <w:p>
      <w:pPr>
        <w:jc w:val="both"/>
      </w:pPr>
      <w:r>
        <w:t xml:space="preserve">Бонус начисляется за передачу деталей поверхности некоторых моделей с использованием технологии </w:t>
      </w:r>
      <w:r>
        <w:rPr>
          <w:lang w:val="en-US"/>
        </w:rPr>
        <w:t>bump</w:t>
      </w:r>
      <w:r>
        <w:t xml:space="preserve"> </w:t>
      </w:r>
      <w:r>
        <w:rPr>
          <w:lang w:val="en-US"/>
        </w:rPr>
        <w:t>mapping</w:t>
      </w:r>
      <w:r>
        <w:t>.</w:t>
      </w:r>
    </w:p>
    <w:p>
      <w:pPr>
        <w:pStyle w:val="P5"/>
      </w:pPr>
      <w:r>
        <w:t>Бонус в 20 баллов за использование рисунка, проецируемого от источника света на освещаемые им объекты</w:t>
      </w:r>
    </w:p>
    <w:p>
      <w:pPr>
        <w:jc w:val="both"/>
      </w:pPr>
      <w:r>
        <w:t xml:space="preserve">Бонус начисляется за проецирование источником света  некоторого рисунка на освещаемые объекты подобно тому, как это происходит в случае с обычным проектором – помимо отбрасывания теней на неосвещенные участки, такой источник света проецирует некоторое изображение на освещаемые части объектов.</w:t>
      </w:r>
    </w:p>
    <w:p>
      <w:pPr>
        <w:pStyle w:val="P5"/>
      </w:pPr>
      <w:r>
        <w:t>Бонус в 100 баллов за применение подходов, уменьшающих алиасинг теней</w:t>
      </w:r>
    </w:p>
    <w:p>
      <w:r>
        <w:t>Бонус начисляется за применение одного из подходов визуализации с использованием теневых карт, уменьшающих алиасинг изображения:</w:t>
      </w:r>
    </w:p>
    <w:p>
      <w:pPr>
        <w:pStyle w:val="P13"/>
        <w:numPr>
          <w:ilvl w:val="0"/>
          <w:numId w:val="46"/>
        </w:numPr>
        <w:rPr>
          <w:lang w:val="en-US"/>
        </w:rPr>
      </w:pPr>
      <w:r>
        <w:rPr>
          <w:lang w:val="en-US"/>
        </w:rPr>
        <w:t>Perspective shadow maps</w:t>
      </w:r>
    </w:p>
    <w:p>
      <w:pPr>
        <w:pStyle w:val="P13"/>
        <w:numPr>
          <w:ilvl w:val="0"/>
          <w:numId w:val="46"/>
        </w:numPr>
        <w:rPr>
          <w:lang w:val="en-US"/>
        </w:rPr>
      </w:pPr>
      <w:r>
        <w:rPr>
          <w:lang w:val="en-US"/>
        </w:rPr>
        <w:t>Trapezoidal shadow maps</w:t>
      </w:r>
    </w:p>
    <w:p>
      <w:pPr>
        <w:pStyle w:val="P13"/>
        <w:numPr>
          <w:ilvl w:val="0"/>
          <w:numId w:val="46"/>
        </w:numPr>
        <w:rPr>
          <w:lang w:val="en-US"/>
        </w:rPr>
      </w:pPr>
      <w:r>
        <w:rPr>
          <w:lang w:val="en-US"/>
        </w:rPr>
        <w:t>Light space perspective shadow maps</w:t>
      </w:r>
    </w:p>
    <w:p>
      <w:pPr>
        <w:pStyle w:val="P13"/>
        <w:numPr>
          <w:ilvl w:val="0"/>
          <w:numId w:val="46"/>
        </w:numPr>
        <w:rPr>
          <w:lang w:val="en-US"/>
        </w:rPr>
      </w:pPr>
      <w:r>
        <w:rPr>
          <w:lang w:val="en-US"/>
        </w:rPr>
        <w:t>Parallel Split shadow maps</w:t>
      </w:r>
    </w:p>
    <w:p>
      <w:pPr>
        <w:pStyle w:val="P13"/>
        <w:ind w:left="0"/>
        <w:rPr>
          <w:lang w:val="en-US"/>
        </w:rPr>
      </w:pPr>
      <w:r>
        <w:t>и</w:t>
      </w:r>
      <w:r>
        <w:rPr>
          <w:lang w:val="en-US"/>
        </w:rPr>
        <w:t xml:space="preserve"> </w:t>
      </w:r>
      <w:r>
        <w:t>им</w:t>
      </w:r>
      <w:r>
        <w:rPr>
          <w:lang w:val="en-US"/>
        </w:rPr>
        <w:t xml:space="preserve"> </w:t>
      </w:r>
      <w:r>
        <w:t>подобных</w:t>
      </w:r>
    </w:p>
    <w:p>
      <w:pPr>
        <w:pStyle w:val="P5"/>
      </w:pPr>
      <w:r>
        <w:t>Бонус в 100 баллов за применение подходов, уменьшающих резкость теней</w:t>
      </w:r>
    </w:p>
    <w:p>
      <w:pPr>
        <w:jc w:val="both"/>
      </w:pPr>
      <w:r>
        <w:t>Бонус начисляется за применение одного из подходов, позволяющих уменьшить резкость теней, таких как</w:t>
      </w:r>
    </w:p>
    <w:p>
      <w:pPr>
        <w:pStyle w:val="P13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Percentage Closer Filtering</w:t>
      </w:r>
    </w:p>
    <w:p>
      <w:pPr>
        <w:pStyle w:val="P13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Smoothies</w:t>
      </w:r>
    </w:p>
    <w:p>
      <w:pPr>
        <w:pStyle w:val="P13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Variance shadow maps</w:t>
      </w:r>
    </w:p>
    <w:p>
      <w:pPr>
        <w:jc w:val="both"/>
      </w:pPr>
      <w:r>
        <w:t>и им подобных.</w:t>
      </w:r>
    </w:p>
    <w:p>
      <w:pPr>
        <w:pStyle w:val="P4"/>
        <w:jc w:val="both"/>
      </w:pPr>
      <w:r>
        <w:t xml:space="preserve">Задание 3 – Визуализация изоповерхности скалярного поля с использованием технологии </w:t>
      </w:r>
      <w:r>
        <w:rPr>
          <w:lang w:val="en-US"/>
        </w:rPr>
        <w:t>Marching</w:t>
      </w:r>
      <w:r>
        <w:t xml:space="preserve"> </w:t>
      </w:r>
      <w:r>
        <w:rPr>
          <w:lang w:val="en-US"/>
        </w:rPr>
        <w:t>Cubes</w:t>
      </w:r>
      <w:r>
        <w:t xml:space="preserve"> – 200 баллов</w:t>
      </w:r>
    </w:p>
    <w:p>
      <w:pPr>
        <w:jc w:val="both"/>
      </w:pPr>
      <w:r>
        <w:t xml:space="preserve">Разработайте приложение, выполняющее визуализирующее взаимодействие нескольких (10-20) капелек жидкости (еще их называют </w:t>
      </w:r>
      <w:r>
        <w:rPr>
          <w:lang w:val="en-US"/>
        </w:rPr>
        <w:t>meta</w:t>
      </w:r>
      <w:r>
        <w:t>-</w:t>
      </w:r>
      <w:r>
        <w:rPr>
          <w:lang w:val="en-US"/>
        </w:rPr>
        <w:t>balls</w:t>
      </w:r>
      <w:r>
        <w:t>) в невесомости. Каждая «капля жидкости» представляет собой движущийся по плавной траектории источник напряженности скалярного поля, создающий в пространстве напряженность, обратно пропорциональную квадрату расстояния между точкой пространства и центром капли.</w:t>
      </w:r>
    </w:p>
    <w:p>
      <w:pPr>
        <w:jc w:val="both"/>
      </w:pPr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2286000" cy="22860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302" cy="2287302"/>
                    </a:xfrm>
                    <a:prstGeom prst="rect"/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 w:val="1"/>
          <w:lang w:eastAsia="ru-RU"/>
        </w:rPr>
        <w:drawing>
          <wp:inline xmlns:wp="http://schemas.openxmlformats.org/drawingml/2006/wordprocessingDrawing" distT="0" distB="0" distL="0" distR="0">
            <wp:extent cx="3044825" cy="228600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/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Суммарная напряженность в данной точке пространства является суперпозицией (суммой) напряжений, создаваемых в данной точке всеми каплями.</w:t>
      </w:r>
    </w:p>
    <w:p>
      <w:pPr>
        <w:jc w:val="both"/>
      </w:pPr>
      <w:r>
        <w:t xml:space="preserve">Линия изоповерхности скалярного поля – поверхность, определяющая геометрическое место точек, в которых напряженность скалярного поля равна некоторой константной величине. Визуализация таких поверхностей (построение полигональной сетки, описывающей изоповерхность) обычно осуществляется при помощи технологий </w:t>
      </w:r>
      <w:r>
        <w:rPr>
          <w:lang w:val="en-US"/>
        </w:rPr>
        <w:t>Marching</w:t>
      </w:r>
      <w:r>
        <w:t xml:space="preserve"> </w:t>
      </w:r>
      <w:r>
        <w:rPr>
          <w:lang w:val="en-US"/>
        </w:rPr>
        <w:t>Cubes</w:t>
      </w:r>
      <w:r>
        <w:t xml:space="preserve"> либо </w:t>
      </w:r>
      <w:r>
        <w:rPr>
          <w:lang w:val="en-US"/>
        </w:rPr>
        <w:t>Marching</w:t>
      </w:r>
      <w:r>
        <w:t xml:space="preserve"> </w:t>
      </w:r>
      <w:r>
        <w:rPr>
          <w:lang w:val="en-US"/>
        </w:rPr>
        <w:t>Tetrahedrons</w:t>
      </w:r>
      <w:r>
        <w:t>.</w:t>
      </w:r>
    </w:p>
    <w:p>
      <w:pPr>
        <w:jc w:val="both"/>
      </w:pPr>
      <w:r>
        <w:t>Изоповерхность должна визуализироваться с имитацией эффекта преломления и отражения окружающей среды в каплях с использованием кубических текстур, а также имитацию эффекта дисперсии. Вектор нормали, необходимый для вычисления отражения и преломления может быть найден путем вычисления градиента (или антиградиента) скалярного поля в вершинах полигональной сетки.</w:t>
      </w:r>
    </w:p>
    <w:p>
      <w:pPr>
        <w:pStyle w:val="P5"/>
      </w:pPr>
      <w:r>
        <w:t>Бонус в 100 баллов за наличие в сцене отражающего свет кристалла</w:t>
      </w:r>
    </w:p>
    <w:p>
      <w:pPr>
        <w:jc w:val="both"/>
      </w:pPr>
      <w:r>
        <w:t>Бонус начисляется за наличие в сцене вращающегося и движущегося многогранника, каждая грань которого представляет собой плоское зеркало, отражающее часть сцены. В данном многограннике должно происходить отражение изоповерхности и окружающей среды.</w:t>
      </w:r>
    </w:p>
    <w:p>
      <w:pPr>
        <w:jc w:val="both"/>
      </w:pPr>
      <w:r>
        <w:t>Поскольку свет, находясь между двумя зеркальными объектами, испытывает многократное отражение то от одного, то от другого объекта, необходимо также передать данный эффект путем рендеринга сцены в несколько проходов.</w:t>
      </w:r>
    </w:p>
    <w:p>
      <w:pPr>
        <w:pStyle w:val="P13"/>
        <w:numPr>
          <w:ilvl w:val="0"/>
          <w:numId w:val="49"/>
        </w:numPr>
        <w:jc w:val="both"/>
      </w:pPr>
      <w:r>
        <w:t xml:space="preserve">В 6 изображений кубической текстуры №1 выполняется рендеринг </w:t>
      </w:r>
      <w:r>
        <w:rPr>
          <w:lang w:val="en-US"/>
        </w:rPr>
        <w:t>sky</w:t>
      </w:r>
      <w:r>
        <w:t xml:space="preserve"> </w:t>
      </w:r>
      <w:r>
        <w:rPr>
          <w:lang w:val="en-US"/>
        </w:rPr>
        <w:t>box</w:t>
      </w:r>
      <w:r>
        <w:t xml:space="preserve"> (</w:t>
      </w:r>
      <w:r>
        <w:rPr>
          <w:lang w:val="en-US"/>
        </w:rPr>
        <w:t>sky</w:t>
      </w:r>
      <w:r>
        <w:t xml:space="preserve"> </w:t>
      </w:r>
      <w:r>
        <w:rPr>
          <w:lang w:val="en-US"/>
        </w:rPr>
        <w:t>sphere</w:t>
      </w:r>
      <w:r>
        <w:t xml:space="preserve">), а также кристалла. При рендеринге кристалла в его гранях также строится отражение </w:t>
      </w:r>
      <w:r>
        <w:rPr>
          <w:lang w:val="en-US"/>
        </w:rPr>
        <w:t>skybox</w:t>
      </w:r>
      <w:r>
        <w:t>, а также отражение изоповерхности, в качестве текстуры окружающей среды которой используется оригинальная кубическая текстура (загруженная из файла). На данном этапе будет построено самое глубокое отражение.</w:t>
      </w:r>
    </w:p>
    <w:p>
      <w:pPr>
        <w:pStyle w:val="P13"/>
        <w:numPr>
          <w:ilvl w:val="0"/>
          <w:numId w:val="49"/>
        </w:numPr>
        <w:jc w:val="both"/>
      </w:pPr>
      <w:r>
        <w:t xml:space="preserve">В 6 изображений кубической текстуры №2 выполняется рендеринг </w:t>
      </w:r>
      <w:r>
        <w:rPr>
          <w:lang w:val="en-US"/>
        </w:rPr>
        <w:t>sky</w:t>
      </w:r>
      <w:r>
        <w:t xml:space="preserve"> </w:t>
      </w:r>
      <w:r>
        <w:rPr>
          <w:lang w:val="en-US"/>
        </w:rPr>
        <w:t>box</w:t>
      </w:r>
      <w:r>
        <w:t xml:space="preserve">, а также кристалла. При рендеринге кристалла в его гранях также строится отражение </w:t>
      </w:r>
      <w:r>
        <w:rPr>
          <w:lang w:val="en-US"/>
        </w:rPr>
        <w:t>skybox</w:t>
      </w:r>
      <w:r>
        <w:t>, а также отражение изоповерхности, но в качестве текстуры окружающей среды должна использоваться кубическая текстура №1, содержащая самое глубокое отражение. На данном этапе будет построено отражение, предшествующее самому глубокому. Кроме того, в отражении кристалла будет содержаться его собственное отражение в изоповерхности.</w:t>
      </w:r>
    </w:p>
    <w:p>
      <w:pPr>
        <w:pStyle w:val="P13"/>
        <w:numPr>
          <w:ilvl w:val="0"/>
          <w:numId w:val="49"/>
        </w:numPr>
        <w:jc w:val="both"/>
      </w:pPr>
      <w:r>
        <w:t>Данный шаг аналогичен предыдущему, только рендеринг будет осуществляться в кубическую текстуру №1, а в качестве текстуры окружающей среды для рисования отраженной изоповерхности в кристалле будет использоваться кубическая текстура №2. На данном этапе у нас глубина отражений будет еще больше.</w:t>
      </w:r>
    </w:p>
    <w:p>
      <w:pPr>
        <w:pStyle w:val="P13"/>
        <w:numPr>
          <w:ilvl w:val="0"/>
          <w:numId w:val="49"/>
        </w:numPr>
        <w:jc w:val="both"/>
      </w:pPr>
      <w:r>
        <w:t>Шаги 2 и 3 можно повторить еще 1-2 раза (при большем количестве повторений особой разницы заметно не будет). В результате будет получена кубическая текстура окружающей среды, содержащая отражения заданной глубины.</w:t>
      </w:r>
    </w:p>
    <w:p>
      <w:pPr>
        <w:pStyle w:val="P13"/>
        <w:numPr>
          <w:ilvl w:val="0"/>
          <w:numId w:val="49"/>
        </w:numPr>
        <w:jc w:val="both"/>
      </w:pPr>
      <w:r>
        <w:t>Сцена рисуется в основном буфере кадра. При этом в сцене наконец-то рисуется еще и оригинальная изоповерхность, а не только ее отражение. В качестве текстуры отражаемой/преломляемой окружающей среды используется текстура, в которой было построено отражение в самую последнюю очередь.</w:t>
      </w:r>
    </w:p>
    <w:p>
      <w:pPr>
        <w:jc w:val="both"/>
      </w:pPr>
    </w:p>
    <w:sectPr>
      <w:footnotePr/>
      <w:endnotePr/>
      <w:type w:val="nextPage"/>
      <w:pgSz w:w="11906" w:h="16838" w:code="0"/>
      <w:pgMar w:left="1701" w:right="850" w:top="1134" w:bottom="1134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  <w:footnote w:id="1">
    <w:p>
      <w:pPr>
        <w:pStyle w:val="P9"/>
      </w:pPr>
      <w:r>
        <w:rPr>
          <w:rStyle w:val="C8"/>
        </w:rPr>
        <w:footnoteRef/>
      </w:r>
      <w:r>
        <w:t xml:space="preserve"> Силуэтным считается ребро</w:t>
      </w:r>
      <w:r>
        <w:t>,</w:t>
      </w:r>
      <w:r>
        <w:t xml:space="preserve"> соединяющие видимую и невидимую из положения источника света грани</w:t>
      </w:r>
      <w:r>
        <w:t>.</w:t>
      </w:r>
    </w:p>
  </w:footnote>
  <w:footnote w:id="2">
    <w:p>
      <w:pPr>
        <w:pStyle w:val="P9"/>
        <w:jc w:val="both"/>
      </w:pPr>
      <w:r>
        <w:rPr>
          <w:rStyle w:val="C8"/>
        </w:rPr>
        <w:footnoteRef/>
      </w:r>
      <w:r>
        <w:t xml:space="preserve"> Например</w:t>
      </w:r>
      <w:r>
        <w:t>,</w:t>
      </w:r>
      <w:r>
        <w:t xml:space="preserve"> операция декремента</w:t>
      </w:r>
      <w:r>
        <w:t>,</w:t>
      </w:r>
      <w:r>
        <w:t xml:space="preserve"> примененная к значению 0</w:t>
      </w:r>
      <w:r>
        <w:t>,</w:t>
      </w:r>
      <w:r>
        <w:t xml:space="preserve"> не изменит содержимое буфера трафарета</w:t>
      </w:r>
      <w:r>
        <w:t>.</w:t>
      </w:r>
      <w:r>
        <w:t xml:space="preserve"> Аналогичное действие будет у команды инкремента</w:t>
      </w:r>
      <w:r>
        <w:t>:</w:t>
      </w:r>
      <w:r>
        <w:t xml:space="preserve"> по достижении значения 2</w:t>
      </w:r>
      <w:r>
        <w:rPr>
          <w:vertAlign w:val="superscript"/>
        </w:rPr>
        <w:t>разрядность буфера трафарета</w:t>
      </w:r>
      <w:r>
        <w:t>-</w:t>
      </w:r>
      <w:r>
        <w:t>1 содержимое буфера трафарета не будет изменяться под действием команды инкремента</w:t>
      </w:r>
      <w:r>
        <w:t>.</w:t>
      </w:r>
    </w:p>
  </w:footnote>
  <w:footnote w:id="3">
    <w:p>
      <w:pPr>
        <w:pStyle w:val="P9"/>
      </w:pPr>
      <w:r>
        <w:rPr>
          <w:rStyle w:val="C8"/>
        </w:rPr>
        <w:footnoteRef/>
      </w:r>
      <w:r>
        <w:t xml:space="preserve"> В </w:t>
      </w:r>
      <w:r>
        <w:rPr>
          <w:lang w:val="en-US"/>
        </w:rPr>
        <w:t>OpenGL</w:t>
      </w:r>
      <w:r>
        <w:t xml:space="preserve"> такой режим задается функцией смешивания </w:t>
      </w:r>
      <w:r>
        <w:rPr>
          <w:lang w:val="en-US"/>
        </w:rPr>
        <w:t>glBlendFunc</w:t>
      </w:r>
      <w:r>
        <w:t>(</w:t>
      </w:r>
      <w:r>
        <w:rPr>
          <w:lang w:val="en-US"/>
        </w:rPr>
        <w:t>GL</w:t>
      </w:r>
      <w:r>
        <w:t>_</w:t>
      </w:r>
      <w:r>
        <w:rPr>
          <w:lang w:val="en-US"/>
        </w:rPr>
        <w:t>ONE</w:t>
      </w:r>
      <w:r>
        <w:t>,</w:t>
      </w:r>
      <w:r>
        <w:t xml:space="preserve"> </w:t>
      </w:r>
      <w:r>
        <w:rPr>
          <w:lang w:val="en-US"/>
        </w:rPr>
        <w:t>GL</w:t>
      </w:r>
      <w:r>
        <w:t>_</w:t>
      </w:r>
      <w:r>
        <w:rPr>
          <w:lang w:val="en-US"/>
        </w:rPr>
        <w:t>ONE</w:t>
      </w:r>
      <w:r>
        <w:t>)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04A84C3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6784C6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DBF08B6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1166343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154A7D79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19BF7A1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1B6771E6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1FED731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20E82B6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217B345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2255483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24132DB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2757777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27EC3059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2A844BD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2DC0498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305C6823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7">
    <w:nsid w:val="311C31B2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32936BC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35717C5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0">
    <w:nsid w:val="3751560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1">
    <w:nsid w:val="39A351C2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39ED6D3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3B710ECE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4">
    <w:nsid w:val="3DDA177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5">
    <w:nsid w:val="3E3066C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6">
    <w:nsid w:val="3E7664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7">
    <w:nsid w:val="3FED1BD6"/>
    <w:multiLevelType w:val="hybridMultilevel"/>
    <w:lvl w:ilvl="0" w:tplc="95CEAECE">
      <w:start w:val="1"/>
      <w:numFmt w:val="bullet"/>
      <w:suff w:val="tab"/>
      <w:lvlText w:val=""/>
      <w:lvlJc w:val="left"/>
      <w:pPr>
        <w:ind w:hanging="360" w:left="720"/>
        <w:tabs>
          <w:tab w:val="num" w:pos="720" w:leader="none"/>
        </w:tabs>
      </w:pPr>
      <w:rPr>
        <w:rFonts w:ascii="Wingdings 2" w:hAnsi="Wingdings 2" w:hint="default"/>
      </w:rPr>
    </w:lvl>
    <w:lvl w:ilvl="1" w:tplc="A05EE47E">
      <w:start w:val="1"/>
      <w:numFmt w:val="bullet"/>
      <w:suff w:val="tab"/>
      <w:lvlText w:val=""/>
      <w:lvlJc w:val="left"/>
      <w:pPr>
        <w:ind w:hanging="360" w:left="1440"/>
        <w:tabs>
          <w:tab w:val="num" w:pos="1440" w:leader="none"/>
        </w:tabs>
      </w:pPr>
      <w:rPr>
        <w:rFonts w:ascii="Wingdings 2" w:hAnsi="Wingdings 2" w:hint="default"/>
      </w:rPr>
    </w:lvl>
    <w:lvl w:ilvl="2" w:tplc="60CCDD0A">
      <w:start w:val="1"/>
      <w:numFmt w:val="bullet"/>
      <w:suff w:val="tab"/>
      <w:lvlText w:val=""/>
      <w:lvlJc w:val="left"/>
      <w:pPr>
        <w:ind w:hanging="360" w:left="2160"/>
        <w:tabs>
          <w:tab w:val="num" w:pos="2160" w:leader="none"/>
        </w:tabs>
      </w:pPr>
      <w:rPr>
        <w:rFonts w:ascii="Wingdings 2" w:hAnsi="Wingdings 2" w:hint="default"/>
      </w:rPr>
    </w:lvl>
    <w:lvl w:ilvl="3" w:tplc="62C6D6B4">
      <w:start w:val="1"/>
      <w:numFmt w:val="bullet"/>
      <w:suff w:val="tab"/>
      <w:lvlText w:val=""/>
      <w:lvlJc w:val="left"/>
      <w:pPr>
        <w:ind w:hanging="360" w:left="2880"/>
        <w:tabs>
          <w:tab w:val="num" w:pos="2880" w:leader="none"/>
        </w:tabs>
      </w:pPr>
      <w:rPr>
        <w:rFonts w:ascii="Wingdings 2" w:hAnsi="Wingdings 2" w:hint="default"/>
      </w:rPr>
    </w:lvl>
    <w:lvl w:ilvl="4" w:tplc="79C62800">
      <w:start w:val="1"/>
      <w:numFmt w:val="bullet"/>
      <w:suff w:val="tab"/>
      <w:lvlText w:val=""/>
      <w:lvlJc w:val="left"/>
      <w:pPr>
        <w:ind w:hanging="360" w:left="3600"/>
        <w:tabs>
          <w:tab w:val="num" w:pos="3600" w:leader="none"/>
        </w:tabs>
      </w:pPr>
      <w:rPr>
        <w:rFonts w:ascii="Wingdings 2" w:hAnsi="Wingdings 2" w:hint="default"/>
      </w:rPr>
    </w:lvl>
    <w:lvl w:ilvl="5" w:tplc="069AB2D6">
      <w:start w:val="1"/>
      <w:numFmt w:val="bullet"/>
      <w:suff w:val="tab"/>
      <w:lvlText w:val=""/>
      <w:lvlJc w:val="left"/>
      <w:pPr>
        <w:ind w:hanging="360" w:left="4320"/>
        <w:tabs>
          <w:tab w:val="num" w:pos="4320" w:leader="none"/>
        </w:tabs>
      </w:pPr>
      <w:rPr>
        <w:rFonts w:ascii="Wingdings 2" w:hAnsi="Wingdings 2" w:hint="default"/>
      </w:rPr>
    </w:lvl>
    <w:lvl w:ilvl="6" w:tplc="72A001E0">
      <w:start w:val="1"/>
      <w:numFmt w:val="bullet"/>
      <w:suff w:val="tab"/>
      <w:lvlText w:val=""/>
      <w:lvlJc w:val="left"/>
      <w:pPr>
        <w:ind w:hanging="360" w:left="5040"/>
        <w:tabs>
          <w:tab w:val="num" w:pos="5040" w:leader="none"/>
        </w:tabs>
      </w:pPr>
      <w:rPr>
        <w:rFonts w:ascii="Wingdings 2" w:hAnsi="Wingdings 2" w:hint="default"/>
      </w:rPr>
    </w:lvl>
    <w:lvl w:ilvl="7" w:tplc="462C9822">
      <w:start w:val="1"/>
      <w:numFmt w:val="bullet"/>
      <w:suff w:val="tab"/>
      <w:lvlText w:val=""/>
      <w:lvlJc w:val="left"/>
      <w:pPr>
        <w:ind w:hanging="360" w:left="5760"/>
        <w:tabs>
          <w:tab w:val="num" w:pos="5760" w:leader="none"/>
        </w:tabs>
      </w:pPr>
      <w:rPr>
        <w:rFonts w:ascii="Wingdings 2" w:hAnsi="Wingdings 2" w:hint="default"/>
      </w:rPr>
    </w:lvl>
    <w:lvl w:ilvl="8" w:tplc="FF3AE18C">
      <w:start w:val="1"/>
      <w:numFmt w:val="bullet"/>
      <w:suff w:val="tab"/>
      <w:lvlText w:val=""/>
      <w:lvlJc w:val="left"/>
      <w:pPr>
        <w:ind w:hanging="360" w:left="6480"/>
        <w:tabs>
          <w:tab w:val="num" w:pos="6480" w:leader="none"/>
        </w:tabs>
      </w:pPr>
      <w:rPr>
        <w:rFonts w:ascii="Wingdings 2" w:hAnsi="Wingdings 2" w:hint="default"/>
      </w:rPr>
    </w:lvl>
  </w:abstractNum>
  <w:abstractNum w:abstractNumId="28">
    <w:nsid w:val="42626FA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9">
    <w:nsid w:val="4782013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0">
    <w:nsid w:val="4797316F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1">
    <w:nsid w:val="4C58078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2">
    <w:nsid w:val="50D300C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3">
    <w:nsid w:val="5398444C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4">
    <w:nsid w:val="59710F76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5">
    <w:nsid w:val="5A203FFF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6">
    <w:nsid w:val="5FB03173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8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2148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3588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4308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748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6468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37">
    <w:nsid w:val="62DE228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8">
    <w:nsid w:val="6B6E2969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9">
    <w:nsid w:val="6BF430B2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0">
    <w:nsid w:val="6C653B7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1">
    <w:nsid w:val="6D383A06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61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81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201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921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41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61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81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801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521"/>
      </w:pPr>
      <w:rPr>
        <w:rFonts w:ascii="Wingdings" w:hAnsi="Wingdings" w:hint="default"/>
      </w:rPr>
    </w:lvl>
  </w:abstractNum>
  <w:abstractNum w:abstractNumId="42">
    <w:nsid w:val="6D814C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3">
    <w:nsid w:val="7129077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4">
    <w:nsid w:val="7258724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5">
    <w:nsid w:val="744973B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6">
    <w:nsid w:val="750A5EA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47">
    <w:nsid w:val="76C53DE6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8">
    <w:nsid w:val="7E931943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9">
    <w:nsid w:val="7FB752A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43"/>
  </w:num>
  <w:num w:numId="2">
    <w:abstractNumId w:val="13"/>
  </w:num>
  <w:num w:numId="3">
    <w:abstractNumId w:val="2"/>
  </w:num>
  <w:num w:numId="4">
    <w:abstractNumId w:val="0"/>
  </w:num>
  <w:num w:numId="5">
    <w:abstractNumId w:val="28"/>
  </w:num>
  <w:num w:numId="6">
    <w:abstractNumId w:val="49"/>
  </w:num>
  <w:num w:numId="7">
    <w:abstractNumId w:val="26"/>
  </w:num>
  <w:num w:numId="8">
    <w:abstractNumId w:val="4"/>
  </w:num>
  <w:num w:numId="9">
    <w:abstractNumId w:val="41"/>
  </w:num>
  <w:num w:numId="10">
    <w:abstractNumId w:val="22"/>
  </w:num>
  <w:num w:numId="11">
    <w:abstractNumId w:val="16"/>
  </w:num>
  <w:num w:numId="12">
    <w:abstractNumId w:val="29"/>
  </w:num>
  <w:num w:numId="13">
    <w:abstractNumId w:val="19"/>
  </w:num>
  <w:num w:numId="14">
    <w:abstractNumId w:val="34"/>
  </w:num>
  <w:num w:numId="15">
    <w:abstractNumId w:val="39"/>
  </w:num>
  <w:num w:numId="16">
    <w:abstractNumId w:val="24"/>
  </w:num>
  <w:num w:numId="17">
    <w:abstractNumId w:val="48"/>
  </w:num>
  <w:num w:numId="18">
    <w:abstractNumId w:val="9"/>
  </w:num>
  <w:num w:numId="19">
    <w:abstractNumId w:val="37"/>
  </w:num>
  <w:num w:numId="20">
    <w:abstractNumId w:val="10"/>
  </w:num>
  <w:num w:numId="21">
    <w:abstractNumId w:val="32"/>
  </w:num>
  <w:num w:numId="22">
    <w:abstractNumId w:val="40"/>
  </w:num>
  <w:num w:numId="23">
    <w:abstractNumId w:val="23"/>
  </w:num>
  <w:num w:numId="24">
    <w:abstractNumId w:val="21"/>
  </w:num>
  <w:num w:numId="25">
    <w:abstractNumId w:val="30"/>
  </w:num>
  <w:num w:numId="26">
    <w:abstractNumId w:val="6"/>
  </w:num>
  <w:num w:numId="27">
    <w:abstractNumId w:val="7"/>
  </w:num>
  <w:num w:numId="28">
    <w:abstractNumId w:val="11"/>
  </w:num>
  <w:num w:numId="29">
    <w:abstractNumId w:val="17"/>
  </w:num>
  <w:num w:numId="30">
    <w:abstractNumId w:val="47"/>
  </w:num>
  <w:num w:numId="31">
    <w:abstractNumId w:val="36"/>
  </w:num>
  <w:num w:numId="32">
    <w:abstractNumId w:val="35"/>
  </w:num>
  <w:num w:numId="33">
    <w:abstractNumId w:val="27"/>
  </w:num>
  <w:num w:numId="34">
    <w:abstractNumId w:val="46"/>
  </w:num>
  <w:num w:numId="35">
    <w:abstractNumId w:val="33"/>
  </w:num>
  <w:num w:numId="36">
    <w:abstractNumId w:val="5"/>
  </w:num>
  <w:num w:numId="37">
    <w:abstractNumId w:val="8"/>
  </w:num>
  <w:num w:numId="38">
    <w:abstractNumId w:val="1"/>
  </w:num>
  <w:num w:numId="39">
    <w:abstractNumId w:val="15"/>
  </w:num>
  <w:num w:numId="40">
    <w:abstractNumId w:val="20"/>
  </w:num>
  <w:num w:numId="41">
    <w:abstractNumId w:val="18"/>
  </w:num>
  <w:num w:numId="42">
    <w:abstractNumId w:val="12"/>
  </w:num>
  <w:num w:numId="43">
    <w:abstractNumId w:val="14"/>
  </w:num>
  <w:num w:numId="44">
    <w:abstractNumId w:val="31"/>
  </w:num>
  <w:num w:numId="45">
    <w:abstractNumId w:val="25"/>
  </w:num>
  <w:num w:numId="46">
    <w:abstractNumId w:val="45"/>
  </w:num>
  <w:num w:numId="47">
    <w:abstractNumId w:val="3"/>
  </w:num>
  <w:num w:numId="48">
    <w:abstractNumId w:val="38"/>
  </w:num>
  <w:num w:numId="49">
    <w:abstractNumId w:val="42"/>
  </w:num>
  <w:num w:numId="50">
    <w:abstractNumId w:val="44"/>
  </w:num>
</w:numbering>
</file>

<file path=word/settings.xml><?xml version="1.0" encoding="utf-8"?>
<w:settings xmlns:w="http://schemas.openxmlformats.org/wordprocessingml/2006/main">
  <w:displayBackgroundShape w:val="0"/>
  <w:defaultTabStop w:val="284"/>
  <w:autoHyphenation w:val="0"/>
  <w:evenAndOddHeaders w:val="0"/>
  <w:characterSpacingControl w:val="doNotCompress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3">
    <w:name w:val="Heading 3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4">
    <w:name w:val="Heading 4"/>
    <w:basedOn w:val="P0"/>
    <w:next w:val="P0"/>
    <w:link w:val="C9"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5">
    <w:name w:val="Heading 5"/>
    <w:basedOn w:val="P0"/>
    <w:next w:val="P0"/>
    <w:link w:val="C13"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6">
    <w:name w:val="Heading 6"/>
    <w:basedOn w:val="P0"/>
    <w:next w:val="P0"/>
    <w:link w:val="C16"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7">
    <w:name w:val="Heading 7"/>
    <w:basedOn w:val="P0"/>
    <w:next w:val="P0"/>
    <w:link w:val="C22"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8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9">
    <w:name w:val="Footnote Text"/>
    <w:basedOn w:val="P0"/>
    <w:link w:val="C7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10">
    <w:name w:val="Document Map"/>
    <w:basedOn w:val="P0"/>
    <w:link w:val="C10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11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2">
    <w:name w:val="Footer"/>
    <w:basedOn w:val="P0"/>
    <w:link w:val="C12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TOC Heading"/>
    <w:basedOn w:val="P1"/>
    <w:next w:val="P0"/>
    <w:semiHidden/>
    <w:qFormat/>
    <w:pPr>
      <w:outlineLvl w:val="9"/>
    </w:pPr>
    <w:rPr/>
  </w:style>
  <w:style w:type="paragraph" w:styleId="P15">
    <w:name w:val="TOC 1"/>
    <w:basedOn w:val="P0"/>
    <w:next w:val="P0"/>
    <w:autoRedefine w:val="1"/>
    <w:pPr>
      <w:spacing w:after="100" w:beforeAutospacing="0" w:afterAutospacing="0"/>
    </w:pPr>
    <w:rPr/>
  </w:style>
  <w:style w:type="paragraph" w:styleId="P16">
    <w:name w:val="TOC 2"/>
    <w:basedOn w:val="P0"/>
    <w:next w:val="P0"/>
    <w:autoRedefine w:val="1"/>
    <w:pPr>
      <w:spacing w:after="100" w:beforeAutospacing="0" w:afterAutospacing="0"/>
      <w:ind w:left="220"/>
    </w:pPr>
    <w:rPr/>
  </w:style>
  <w:style w:type="paragraph" w:styleId="P17">
    <w:name w:val="TOC 3"/>
    <w:basedOn w:val="P0"/>
    <w:next w:val="P0"/>
    <w:autoRedefine w:val="1"/>
    <w:pPr>
      <w:spacing w:after="100" w:beforeAutospacing="0" w:afterAutospacing="0"/>
      <w:ind w:left="440"/>
    </w:pPr>
    <w:rPr/>
  </w:style>
  <w:style w:type="paragraph" w:styleId="P18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P19">
    <w:name w:val="annotation text"/>
    <w:basedOn w:val="P0"/>
    <w:link w:val="C19"/>
    <w:semiHidden/>
    <w:pPr>
      <w:spacing w:lineRule="auto" w:line="240" w:beforeAutospacing="0" w:afterAutospacing="0"/>
    </w:pPr>
    <w:rPr>
      <w:sz w:val="20"/>
      <w:szCs w:val="20"/>
    </w:rPr>
  </w:style>
  <w:style w:type="paragraph" w:styleId="P20">
    <w:name w:val="annotation subject"/>
    <w:basedOn w:val="P19"/>
    <w:next w:val="P19"/>
    <w:link w:val="C20"/>
    <w:semiHidden/>
    <w:pPr/>
    <w:rPr>
      <w:b w:val="1"/>
      <w:bCs w:val="1"/>
    </w:rPr>
  </w:style>
  <w:style w:type="paragraph" w:styleId="P21">
    <w:name w:val="Source code"/>
    <w:basedOn w:val="P0"/>
    <w:link w:val="C21"/>
    <w:qFormat/>
    <w:pPr>
      <w:spacing w:after="0" w:beforeAutospacing="0" w:afterAutospacing="0"/>
    </w:pPr>
    <w:rPr>
      <w:rFonts w:ascii="Courier New" w:hAnsi="Courier New" w:cs="Courier New"/>
      <w:lang w:val="en-US"/>
    </w:rPr>
  </w:style>
  <w:style w:type="paragraph" w:styleId="P22">
    <w:name w:val="Endnote Text"/>
    <w:link w:val="C25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 w:themeColor="hyperlink"/>
      <w:u w:val="single"/>
    </w:rPr>
  </w:style>
  <w:style w:type="character" w:styleId="C3">
    <w:name w:val="Заголовок 1 Знак"/>
    <w:basedOn w:val="C0"/>
    <w:link w:val="P1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4">
    <w:name w:val="Заголовок 2 Знак"/>
    <w:basedOn w:val="C0"/>
    <w:link w:val="P2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5">
    <w:name w:val="Текст выноски Знак"/>
    <w:basedOn w:val="C0"/>
    <w:link w:val="P8"/>
    <w:semiHidden/>
    <w:rPr>
      <w:rFonts w:ascii="Tahoma" w:hAnsi="Tahoma" w:cs="Tahoma"/>
      <w:sz w:val="16"/>
      <w:szCs w:val="16"/>
    </w:rPr>
  </w:style>
  <w:style w:type="character" w:styleId="C6">
    <w:name w:val="Заголовок 3 Знак"/>
    <w:basedOn w:val="C0"/>
    <w:link w:val="P3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7">
    <w:name w:val="Текст сноски Знак"/>
    <w:basedOn w:val="C0"/>
    <w:link w:val="P9"/>
    <w:semiHidden/>
    <w:rPr>
      <w:sz w:val="20"/>
      <w:szCs w:val="2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Заголовок 4 Знак"/>
    <w:basedOn w:val="C0"/>
    <w:link w:val="P4"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0">
    <w:name w:val="Схема документа Знак"/>
    <w:basedOn w:val="C0"/>
    <w:link w:val="P10"/>
    <w:semiHidden/>
    <w:rPr>
      <w:rFonts w:ascii="Tahoma" w:hAnsi="Tahoma" w:cs="Tahoma"/>
      <w:sz w:val="16"/>
      <w:szCs w:val="16"/>
    </w:rPr>
  </w:style>
  <w:style w:type="character" w:styleId="C11">
    <w:name w:val="Верхний колонтитул Знак"/>
    <w:basedOn w:val="C0"/>
    <w:link w:val="P11"/>
    <w:semiHidden/>
    <w:rPr/>
  </w:style>
  <w:style w:type="character" w:styleId="C12">
    <w:name w:val="Нижний колонтитул Знак"/>
    <w:basedOn w:val="C0"/>
    <w:link w:val="P12"/>
    <w:semiHidden/>
    <w:rPr/>
  </w:style>
  <w:style w:type="character" w:styleId="C13">
    <w:name w:val="Заголовок 5 Знак"/>
    <w:basedOn w:val="C0"/>
    <w:link w:val="P5"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4">
    <w:name w:val="FollowedHyperlink"/>
    <w:basedOn w:val="C0"/>
    <w:semiHidden/>
    <w:rPr>
      <w:color w:val="800080" w:themeColor="followedHyperlink"/>
      <w:u w:val="single"/>
    </w:rPr>
  </w:style>
  <w:style w:type="character" w:styleId="C15">
    <w:name w:val="Placeholder Text1"/>
    <w:basedOn w:val="C0"/>
    <w:semiHidden/>
    <w:rPr>
      <w:color w:val="808080"/>
    </w:rPr>
  </w:style>
  <w:style w:type="character" w:styleId="C16">
    <w:name w:val="Заголовок 6 Знак"/>
    <w:basedOn w:val="C0"/>
    <w:link w:val="P6"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7">
    <w:name w:val="texhtml"/>
    <w:basedOn w:val="C0"/>
    <w:rPr/>
  </w:style>
  <w:style w:type="character" w:styleId="C18">
    <w:name w:val="annotation reference"/>
    <w:basedOn w:val="C0"/>
    <w:semiHidden/>
    <w:rPr>
      <w:sz w:val="16"/>
      <w:szCs w:val="16"/>
    </w:rPr>
  </w:style>
  <w:style w:type="character" w:styleId="C19">
    <w:name w:val="Текст примечания Знак"/>
    <w:basedOn w:val="C0"/>
    <w:link w:val="P19"/>
    <w:semiHidden/>
    <w:rPr>
      <w:sz w:val="20"/>
      <w:szCs w:val="20"/>
    </w:rPr>
  </w:style>
  <w:style w:type="character" w:styleId="C20">
    <w:name w:val="Тема примечания Знак"/>
    <w:basedOn w:val="C19"/>
    <w:link w:val="P20"/>
    <w:semiHidden/>
    <w:rPr>
      <w:b w:val="1"/>
      <w:bCs w:val="1"/>
      <w:sz w:val="20"/>
      <w:szCs w:val="20"/>
    </w:rPr>
  </w:style>
  <w:style w:type="character" w:styleId="C21">
    <w:name w:val="Source code Знак"/>
    <w:basedOn w:val="C0"/>
    <w:link w:val="P21"/>
    <w:rPr>
      <w:rFonts w:ascii="Courier New" w:hAnsi="Courier New" w:cs="Courier New"/>
      <w:lang w:val="en-US"/>
    </w:rPr>
  </w:style>
  <w:style w:type="character" w:styleId="C22">
    <w:name w:val="Заголовок 7 Знак"/>
    <w:basedOn w:val="C0"/>
    <w:link w:val="P7"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23">
    <w:name w:val="Footnote Text Char"/>
    <w:semiHidden/>
    <w:rPr>
      <w:sz w:val="20"/>
      <w:szCs w:val="20"/>
    </w:rPr>
  </w:style>
  <w:style w:type="character" w:styleId="C24">
    <w:name w:val="Endnote Reference"/>
    <w:semiHidden/>
    <w:rPr>
      <w:vertAlign w:val="superscript"/>
    </w:rPr>
  </w:style>
  <w:style w:type="character" w:styleId="C25">
    <w:name w:val="Endnote Text Char"/>
    <w:link w:val="P2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000000" w:themeColor="text1"/>
        <w:insideV w:val="single" w:sz="4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emf" /><Relationship Id="Relimage2" Type="http://schemas.openxmlformats.org/officeDocument/2006/relationships/image" Target="/media/image2.emf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2" Type="http://schemas.openxmlformats.org/officeDocument/2006/relationships/hyperlink" Target="http://www.opengl.org/registry/specs/EXT/stencil_two_side.txt" TargetMode="External" /><Relationship Id="R3" Type="http://schemas.openxmlformats.org/officeDocument/2006/relationships/hyperlink" Target="http://www.opengl.org/registry/specs/EXT/stencil_wrap.txt" TargetMode="Externa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3c0bc-d6b6-4824-81ba-a521288ebc2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API/23.1.4.0</Application>
  <AppVersion>23.1</AppVersion>
  <Company>Krokoz™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Aleksey Malov</dc:creator>
  <dcterms:created xsi:type="dcterms:W3CDTF">2010-12-18T22:08:00Z</dcterms:created>
  <cp:lastModifiedBy>Таня K</cp:lastModifiedBy>
  <cp:lastPrinted>2012-12-11T17:37:00Z</cp:lastPrinted>
  <dcterms:modified xsi:type="dcterms:W3CDTF">2024-05-23T05:40:31Z</dcterms:modified>
  <cp:revision>21</cp:revision>
</cp:coreProperties>
</file>