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16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100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Внешний курс. Модуль 2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Безлепкина Татьяна Игоревна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второго модуля является освоение навыков безопасной удаленной работы с серверами, управления пакетами и процессами в Linux, а также практическое применение биоинформатических инструментов (FastQC, ClustalW, bowtie2) и терминального мультиплексора tmux.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SourceCode"/>
      </w:pPr>
      <w:r>
        <w:rPr>
          <w:rStyle w:val="VerbatimChar"/>
        </w:rPr>
        <w:t xml:space="preserve">Настройка SSH-ключей и подключение к серверу</w:t>
      </w:r>
      <w:r>
        <w:br/>
      </w:r>
      <w:r>
        <w:br/>
      </w:r>
      <w:r>
        <w:rPr>
          <w:rStyle w:val="VerbatimChar"/>
        </w:rPr>
        <w:t xml:space="preserve">Копирование файлов через scp и Filezilla</w:t>
      </w:r>
      <w:r>
        <w:br/>
      </w:r>
      <w:r>
        <w:br/>
      </w:r>
      <w:r>
        <w:rPr>
          <w:rStyle w:val="VerbatimChar"/>
        </w:rPr>
        <w:t xml:space="preserve">Управление пакетами через apt-get</w:t>
      </w:r>
      <w:r>
        <w:br/>
      </w:r>
      <w:r>
        <w:br/>
      </w:r>
      <w:r>
        <w:rPr>
          <w:rStyle w:val="VerbatimChar"/>
        </w:rPr>
        <w:t xml:space="preserve">Запуск FastQC и определение форматов входных данных</w:t>
      </w:r>
      <w:r>
        <w:br/>
      </w:r>
      <w:r>
        <w:br/>
      </w:r>
      <w:r>
        <w:rPr>
          <w:rStyle w:val="VerbatimChar"/>
        </w:rPr>
        <w:t xml:space="preserve">Запуск ClustalW для множественного выравнивания</w:t>
      </w:r>
      <w:r>
        <w:br/>
      </w:r>
      <w:r>
        <w:br/>
      </w:r>
      <w:r>
        <w:rPr>
          <w:rStyle w:val="VerbatimChar"/>
        </w:rPr>
        <w:t xml:space="preserve">Управление процессами (фон, приостановка, jobs, fg, bg, kill)</w:t>
      </w:r>
      <w:r>
        <w:br/>
      </w:r>
      <w:r>
        <w:br/>
      </w:r>
      <w:r>
        <w:rPr>
          <w:rStyle w:val="VerbatimChar"/>
        </w:rPr>
        <w:t xml:space="preserve">Мониторинг процессов через top и ps</w:t>
      </w:r>
      <w:r>
        <w:br/>
      </w:r>
      <w:r>
        <w:br/>
      </w:r>
      <w:r>
        <w:rPr>
          <w:rStyle w:val="VerbatimChar"/>
        </w:rPr>
        <w:t xml:space="preserve">Работа с tmux (сессии, вкладки, разделение экрана)</w:t>
      </w:r>
      <w:r>
        <w:br/>
      </w:r>
      <w:r>
        <w:br/>
      </w:r>
      <w:r>
        <w:rPr>
          <w:rStyle w:val="VerbatimChar"/>
        </w:rPr>
        <w:t xml:space="preserve">Многопоточный запуск bowtie2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Второй модуль посвящен углубленной работе с командной строкой Linux. Рассмотрены безопасное подключение к удаленным серверам по SSH с использованием ключей, копирование файлов через scp, управление пакетами через apt-get. Изучены биоинформатические инструменты: FastQC для контроля качества данных и ClustalW для множественного выравнивания последовательностей. Освоены механизмы управления процессами (фоновый режим, приостановка, завершение) и мониторинг через jobs, top, ps. Изучен терминальный мультиплексор tmux для сохранения сессий, а также многопоточное выравнивание ридов с помощью bowtie2.</w:t>
      </w:r>
    </w:p>
    <w:bookmarkEnd w:id="11"/>
    <w:bookmarkStart w:id="104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Пояснение: Удаленный сервер можно использовать для хранения общедоступных данных (например, веб-сайты) и для хранения конфиденциальных данных (с ограничением доступа через настройки прав). Выполнение сложных вычислений и хранение больших объемов данных тоже возможны, но в данном тесте эти варианты не отмечены.</w:t>
      </w:r>
    </w:p>
    <w:bookmarkStart w:id="15" w:name="fig:001"/>
    <w:p>
      <w:pPr>
        <w:pStyle w:val="CaptionedFigure"/>
      </w:pPr>
      <w:r>
        <w:drawing>
          <wp:inline>
            <wp:extent cx="3733800" cy="1655353"/>
            <wp:effectExtent b="0" l="0" r="0" t="0"/>
            <wp:docPr descr="Рис. 1: Выбор операционной системы Windows" title="" id="13" name="Picture"/>
            <a:graphic>
              <a:graphicData uri="http://schemas.openxmlformats.org/drawingml/2006/picture">
                <pic:pic>
                  <pic:nvPicPr>
                    <pic:cNvPr descr="image/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5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Выбор операционной системы Windows</w:t>
      </w:r>
    </w:p>
    <w:bookmarkEnd w:id="15"/>
    <w:p>
      <w:pPr>
        <w:pStyle w:val="BodyText"/>
      </w:pPr>
      <w:r>
        <w:t xml:space="preserve">Пояснение: id_rsa.pub — это публичный ключ, его можно свободно передавать по интернету. Приватный ключ id_rsa нельзя передавать никому. Публичный ключ предназначен для размещения на серверах, к которым нужен доступ.</w:t>
      </w:r>
    </w:p>
    <w:bookmarkStart w:id="19" w:name="fig:002"/>
    <w:p>
      <w:pPr>
        <w:pStyle w:val="CaptionedFigure"/>
      </w:pPr>
      <w:r>
        <w:drawing>
          <wp:inline>
            <wp:extent cx="3733800" cy="1442702"/>
            <wp:effectExtent b="0" l="0" r="0" t="0"/>
            <wp:docPr descr="Рис. 2: Публичный ключ id_rsa.pub можно передавать по сети" title="" id="17" name="Picture"/>
            <a:graphic>
              <a:graphicData uri="http://schemas.openxmlformats.org/drawingml/2006/picture">
                <pic:pic>
                  <pic:nvPicPr>
                    <pic:cNvPr descr="image/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2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Публичный ключ id_rsa.pub можно передавать по сети</w:t>
      </w:r>
    </w:p>
    <w:bookmarkEnd w:id="19"/>
    <w:p>
      <w:pPr>
        <w:pStyle w:val="BodyText"/>
      </w:pPr>
      <w:r>
        <w:t xml:space="preserve">Пояснение: Команда scp -r stepic username@server:~ рекурсивно копирует папку stepic со всем содержимым на сервер в домашнюю директорию. -r — рекурсия, scp — безопасное копирование. Остальные варианты содержат ошибки (ssh вместо scp, неправильные ключи).</w:t>
      </w:r>
    </w:p>
    <w:bookmarkStart w:id="23" w:name="fig:003"/>
    <w:p>
      <w:pPr>
        <w:pStyle w:val="CaptionedFigure"/>
      </w:pPr>
      <w:r>
        <w:drawing>
          <wp:inline>
            <wp:extent cx="3733800" cy="1392943"/>
            <wp:effectExtent b="0" l="0" r="0" t="0"/>
            <wp:docPr descr="Рис. 3: Команда scp -r для копирования папки на сервер" title="" id="21" name="Picture"/>
            <a:graphic>
              <a:graphicData uri="http://schemas.openxmlformats.org/drawingml/2006/picture">
                <pic:pic>
                  <pic:nvPicPr>
                    <pic:cNvPr descr="image/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2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Команда scp -r для копирования папки на сервер</w:t>
      </w:r>
    </w:p>
    <w:bookmarkEnd w:id="23"/>
    <w:p>
      <w:pPr>
        <w:pStyle w:val="BodyText"/>
      </w:pPr>
      <w:r>
        <w:t xml:space="preserve">Пояснение: При ошибке «не могу найти пакет» нужно сначала выполнить sudo apt-get update (обновить список пакетов). upgrade обновляет уже установленные пакеты, проверка места на диске не влияет на поиск пакета.</w:t>
      </w:r>
    </w:p>
    <w:bookmarkStart w:id="27" w:name="fig:004"/>
    <w:p>
      <w:pPr>
        <w:pStyle w:val="CaptionedFigure"/>
      </w:pPr>
      <w:r>
        <w:drawing>
          <wp:inline>
            <wp:extent cx="3733800" cy="1661369"/>
            <wp:effectExtent b="0" l="0" r="0" t="0"/>
            <wp:docPr descr="Рис. 4: Решение проблемы apt-get update при ошибке" title="" id="25" name="Picture"/>
            <a:graphic>
              <a:graphicData uri="http://schemas.openxmlformats.org/drawingml/2006/picture">
                <pic:pic>
                  <pic:nvPicPr>
                    <pic:cNvPr descr="image/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1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Решение проблемы apt-get update при ошибке</w:t>
      </w:r>
    </w:p>
    <w:bookmarkEnd w:id="27"/>
    <w:p>
      <w:pPr>
        <w:pStyle w:val="BodyText"/>
      </w:pPr>
      <w:r>
        <w:t xml:space="preserve">Пояснение: Filezilla — это FTP/SFTP-клиент. Он позволяет копировать файлы с компьютера на сервер и обратно, просматривать содержимое директорий на сервере и на своем компьютере. Установкой программ на сервер он не занимается.</w:t>
      </w:r>
    </w:p>
    <w:bookmarkStart w:id="31" w:name="fig:005"/>
    <w:p>
      <w:pPr>
        <w:pStyle w:val="CaptionedFigure"/>
      </w:pPr>
      <w:r>
        <w:drawing>
          <wp:inline>
            <wp:extent cx="3733800" cy="2628347"/>
            <wp:effectExtent b="0" l="0" r="0" t="0"/>
            <wp:docPr descr="Рис. 5: Filezilla для копирования файлов и просмотра директорий" title="" id="29" name="Picture"/>
            <a:graphic>
              <a:graphicData uri="http://schemas.openxmlformats.org/drawingml/2006/picture">
                <pic:pic>
                  <pic:nvPicPr>
                    <pic:cNvPr descr="image/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8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Filezilla для копирования файлов и просмотра директорий</w:t>
      </w:r>
    </w:p>
    <w:bookmarkEnd w:id="31"/>
    <w:p>
      <w:pPr>
        <w:pStyle w:val="BodyText"/>
      </w:pPr>
      <w:r>
        <w:t xml:space="preserve">Пояснение: Чтобы запустить на сервере программу с графическим интерфейсом, нужно настроить X11 forwarding (ssh -X), чтобы сервер мог выводить информацию на экран локального компьютера.</w:t>
      </w:r>
    </w:p>
    <w:bookmarkStart w:id="35" w:name="fig:006"/>
    <w:p>
      <w:pPr>
        <w:pStyle w:val="CaptionedFigure"/>
      </w:pPr>
      <w:r>
        <w:drawing>
          <wp:inline>
            <wp:extent cx="3733800" cy="1450473"/>
            <wp:effectExtent b="0" l="0" r="0" t="0"/>
            <wp:docPr descr="Рис. 6: Настройка X11 forwarding для графических программ на сервере" title="" id="33" name="Picture"/>
            <a:graphic>
              <a:graphicData uri="http://schemas.openxmlformats.org/drawingml/2006/picture">
                <pic:pic>
                  <pic:nvPicPr>
                    <pic:cNvPr descr="image/6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50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Настройка X11 forwarding для графических программ на сервере</w:t>
      </w:r>
    </w:p>
    <w:bookmarkEnd w:id="35"/>
    <w:p>
      <w:pPr>
        <w:pStyle w:val="BodyText"/>
      </w:pPr>
      <w:r>
        <w:t xml:space="preserve">Пояснение: Основные способы получить справку в Linux: man program, program –help, program -h. Вариант help program работает только для встроенных команд оболочки.</w:t>
      </w:r>
    </w:p>
    <w:bookmarkStart w:id="39" w:name="fig:007"/>
    <w:p>
      <w:pPr>
        <w:pStyle w:val="CaptionedFigure"/>
      </w:pPr>
      <w:r>
        <w:drawing>
          <wp:inline>
            <wp:extent cx="3733800" cy="1294785"/>
            <wp:effectExtent b="0" l="0" r="0" t="0"/>
            <wp:docPr descr="Рис. 7: Способы получения справки man, –help, -h" title="" id="37" name="Picture"/>
            <a:graphic>
              <a:graphicData uri="http://schemas.openxmlformats.org/drawingml/2006/picture">
                <pic:pic>
                  <pic:nvPicPr>
                    <pic:cNvPr descr="image/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94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Способы получения справки man, –help, -h</w:t>
      </w:r>
    </w:p>
    <w:bookmarkEnd w:id="39"/>
    <w:p>
      <w:pPr>
        <w:pStyle w:val="BodyText"/>
      </w:pPr>
      <w:r>
        <w:t xml:space="preserve">Пояснение: Из справки FastQC следует, что программа принимает форматы fastq, bam, sam, bam_mapped, sam_mapped.</w:t>
      </w:r>
    </w:p>
    <w:bookmarkStart w:id="43" w:name="fig:008"/>
    <w:p>
      <w:pPr>
        <w:pStyle w:val="CaptionedFigure"/>
      </w:pPr>
      <w:r>
        <w:drawing>
          <wp:inline>
            <wp:extent cx="3733800" cy="3139281"/>
            <wp:effectExtent b="0" l="0" r="0" t="0"/>
            <wp:docPr descr="Рис. 8: FastQC принимает форматы fastq, bam, sam" title="" id="41" name="Picture"/>
            <a:graphic>
              <a:graphicData uri="http://schemas.openxmlformats.org/drawingml/2006/picture">
                <pic:pic>
                  <pic:nvPicPr>
                    <pic:cNvPr descr="image/8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9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FastQC принимает форматы fastq, bam, sam</w:t>
      </w:r>
    </w:p>
    <w:bookmarkEnd w:id="43"/>
    <w:p>
      <w:pPr>
        <w:pStyle w:val="BodyText"/>
      </w:pPr>
      <w:r>
        <w:t xml:space="preserve">Пояснение: Правильная команда для запуска Clustal: clustalw -align -infile=test.fasta. Пробелы между опциями обязательны.</w:t>
      </w:r>
    </w:p>
    <w:bookmarkStart w:id="47" w:name="fig:009"/>
    <w:p>
      <w:pPr>
        <w:pStyle w:val="CaptionedFigure"/>
      </w:pPr>
      <w:r>
        <w:drawing>
          <wp:inline>
            <wp:extent cx="3733800" cy="2465300"/>
            <wp:effectExtent b="0" l="0" r="0" t="0"/>
            <wp:docPr descr="Рис. 9: Команда clustalw -align -infile=test.fasta" title="" id="45" name="Picture"/>
            <a:graphic>
              <a:graphicData uri="http://schemas.openxmlformats.org/drawingml/2006/picture">
                <pic:pic>
                  <pic:nvPicPr>
                    <pic:cNvPr descr="image/9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5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Команда clustalw -align -infile=test.fasta</w:t>
      </w:r>
    </w:p>
    <w:bookmarkEnd w:id="47"/>
    <w:p>
      <w:pPr>
        <w:pStyle w:val="BodyText"/>
      </w:pPr>
      <w:r>
        <w:t xml:space="preserve">Пояснение: После действий: fg %1 → Ctrl+C (program1 завершён), fg %2 → Ctrl+Z (program2 приостановлен), program3 остался в фоне. Команда jobs покажет program2 и program3.</w:t>
      </w:r>
    </w:p>
    <w:bookmarkStart w:id="51" w:name="fig:010"/>
    <w:p>
      <w:pPr>
        <w:pStyle w:val="CaptionedFigure"/>
      </w:pPr>
      <w:r>
        <w:drawing>
          <wp:inline>
            <wp:extent cx="3733800" cy="2040296"/>
            <wp:effectExtent b="0" l="0" r="0" t="0"/>
            <wp:docPr descr="Рис. 10: jobs показывает program2 и program3 после операций fg, Ctrl+C, Ctrl+Z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jobs показывает program2 и program3 после операций fg, Ctrl+C, Ctrl+Z</w:t>
      </w:r>
    </w:p>
    <w:bookmarkEnd w:id="51"/>
    <w:p>
      <w:pPr>
        <w:pStyle w:val="BodyText"/>
      </w:pPr>
      <w:r>
        <w:t xml:space="preserve">Пояснение: Во всех трёх утилитах (jobs, top, ps) отображается один и тот же идентификатор процесса — PID. Он одинаковый везде. Однако на скриншоте пользователь ошибся и выбрал другой вариант.</w:t>
      </w:r>
    </w:p>
    <w:bookmarkStart w:id="55" w:name="fig:011"/>
    <w:p>
      <w:pPr>
        <w:pStyle w:val="CaptionedFigure"/>
      </w:pPr>
      <w:r>
        <w:drawing>
          <wp:inline>
            <wp:extent cx="3733800" cy="1470407"/>
            <wp:effectExtent b="0" l="0" r="0" t="0"/>
            <wp:docPr descr="Рис. 11: Идентификаторы процессов PID одинаковы в jobs, top, ps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04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Идентификаторы процессов PID одинаковы в jobs, top, ps</w:t>
      </w:r>
    </w:p>
    <w:bookmarkEnd w:id="55"/>
    <w:p>
      <w:pPr>
        <w:pStyle w:val="BodyText"/>
      </w:pPr>
      <w:r>
        <w:t xml:space="preserve">Пояснение: Сигнал SIGKILL (команда kill -9) мгновенно завершает процесс без возможности перехвата. Обычный kill отправляет SIGTERM, который может быть проигнорирован.</w:t>
      </w:r>
    </w:p>
    <w:bookmarkStart w:id="59" w:name="fig:012"/>
    <w:p>
      <w:pPr>
        <w:pStyle w:val="CaptionedFigure"/>
      </w:pPr>
      <w:r>
        <w:drawing>
          <wp:inline>
            <wp:extent cx="3733800" cy="1837729"/>
            <wp:effectExtent b="0" l="0" r="0" t="0"/>
            <wp:docPr descr="Рис. 12: Команда kill -9 для мгновенного завершения процесса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7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Команда kill -9 для мгновенного завершения процесса</w:t>
      </w:r>
    </w:p>
    <w:bookmarkEnd w:id="59"/>
    <w:p>
      <w:pPr>
        <w:pStyle w:val="BodyText"/>
      </w:pPr>
      <w:r>
        <w:t xml:space="preserve">Пояснение: kill без опций отправляет сигнал SIGTERM. Процесс получит его немедленно, даже в состоянии остановки, и завершится.</w:t>
      </w:r>
    </w:p>
    <w:bookmarkStart w:id="63" w:name="fig:013"/>
    <w:p>
      <w:pPr>
        <w:pStyle w:val="CaptionedFigure"/>
      </w:pPr>
      <w:r>
        <w:drawing>
          <wp:inline>
            <wp:extent cx="3733800" cy="1329846"/>
            <wp:effectExtent b="0" l="0" r="0" t="0"/>
            <wp:docPr descr="Рис. 13: kill без опций завершает приостановленный процесс" title="" id="61" name="Picture"/>
            <a:graphic>
              <a:graphicData uri="http://schemas.openxmlformats.org/drawingml/2006/picture">
                <pic:pic>
                  <pic:nvPicPr>
                    <pic:cNvPr descr="image/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9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kill без опций завершает приостановленный процесс</w:t>
      </w:r>
    </w:p>
    <w:bookmarkEnd w:id="63"/>
    <w:p>
      <w:pPr>
        <w:pStyle w:val="BodyText"/>
      </w:pPr>
      <w:r>
        <w:t xml:space="preserve">Пояснение: Остановленный (по Ctrl+Z) процесс не получает процессорного времени, так как ядро не планирует его выполнение. В top в столбце %CPU будет 0.</w:t>
      </w:r>
    </w:p>
    <w:bookmarkStart w:id="67" w:name="fig:014"/>
    <w:p>
      <w:pPr>
        <w:pStyle w:val="CaptionedFigure"/>
      </w:pPr>
      <w:r>
        <w:drawing>
          <wp:inline>
            <wp:extent cx="3733800" cy="2283197"/>
            <wp:effectExtent b="0" l="0" r="0" t="0"/>
            <wp:docPr descr="Рис. 14: Остановленный процесс использует 0% CPU" title="" id="65" name="Picture"/>
            <a:graphic>
              <a:graphicData uri="http://schemas.openxmlformats.org/drawingml/2006/picture">
                <pic:pic>
                  <pic:nvPicPr>
                    <pic:cNvPr descr="image/14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3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Остановленный процесс использует 0% CPU</w:t>
      </w:r>
    </w:p>
    <w:bookmarkEnd w:id="67"/>
    <w:p>
      <w:pPr>
        <w:pStyle w:val="BodyText"/>
      </w:pPr>
      <w:r>
        <w:t xml:space="preserve">Пояснение: При остановке процесса (Ctrl+Z) память, которую он занимал, не освобождается. Система сохраняет её, чтобы процесс мог мгновенно продолжить работу после fg.</w:t>
      </w:r>
    </w:p>
    <w:bookmarkStart w:id="71" w:name="fig:015"/>
    <w:p>
      <w:pPr>
        <w:pStyle w:val="CaptionedFigure"/>
      </w:pPr>
      <w:r>
        <w:drawing>
          <wp:inline>
            <wp:extent cx="3733800" cy="1959066"/>
            <wp:effectExtent b="0" l="0" r="0" t="0"/>
            <wp:docPr descr="Рис. 15: Остановленный процесс сохраняет занятую память" title="" id="69" name="Picture"/>
            <a:graphic>
              <a:graphicData uri="http://schemas.openxmlformats.org/drawingml/2006/picture">
                <pic:pic>
                  <pic:nvPicPr>
                    <pic:cNvPr descr="image/15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9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Остановленный процесс сохраняет занятую память</w:t>
      </w:r>
    </w:p>
    <w:bookmarkEnd w:id="71"/>
    <w:p>
      <w:pPr>
        <w:pStyle w:val="BodyText"/>
      </w:pPr>
      <w:r>
        <w:t xml:space="preserve">Пояснение: Справка bowtie2 показывает, что опция -p (количество потоков) доступна для bowtie2 (этап выравнивания), но не для bowtie2-build (этап индексации).</w:t>
      </w:r>
    </w:p>
    <w:bookmarkStart w:id="75" w:name="fig:016"/>
    <w:p>
      <w:pPr>
        <w:pStyle w:val="CaptionedFigure"/>
      </w:pPr>
      <w:r>
        <w:drawing>
          <wp:inline>
            <wp:extent cx="3733800" cy="1708762"/>
            <wp:effectExtent b="0" l="0" r="0" t="0"/>
            <wp:docPr descr="Рис. 16: Только bowtie2 поддерживает многопоточность" title="" id="73" name="Picture"/>
            <a:graphic>
              <a:graphicData uri="http://schemas.openxmlformats.org/drawingml/2006/picture">
                <pic:pic>
                  <pic:nvPicPr>
                    <pic:cNvPr descr="image/16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8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Только bowtie2 поддерживает многопоточность</w:t>
      </w:r>
    </w:p>
    <w:bookmarkEnd w:id="75"/>
    <w:p>
      <w:pPr>
        <w:pStyle w:val="BodyText"/>
      </w:pPr>
      <w:r>
        <w:t xml:space="preserve">Пояснение: В выводе bowtie2 указано количество прочитанных ридов (306174), процент выравнивания (100%) и другая статистика — это ожидаемый результат работы программы.</w:t>
      </w:r>
    </w:p>
    <w:bookmarkStart w:id="79" w:name="fig:017"/>
    <w:p>
      <w:pPr>
        <w:pStyle w:val="CaptionedFigure"/>
      </w:pPr>
      <w:r>
        <w:drawing>
          <wp:inline>
            <wp:extent cx="3733800" cy="2418962"/>
            <wp:effectExtent b="0" l="0" r="0" t="0"/>
            <wp:docPr descr="Рис. 17: Вывод bowtie2 с 306174 ридов и 100% выравниванием" title="" id="77" name="Picture"/>
            <a:graphic>
              <a:graphicData uri="http://schemas.openxmlformats.org/drawingml/2006/picture">
                <pic:pic>
                  <pic:nvPicPr>
                    <pic:cNvPr descr="image/17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8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Вывод bowtie2 с 306174 ридов и 100% выравниванием</w:t>
      </w:r>
    </w:p>
    <w:bookmarkEnd w:id="79"/>
    <w:p>
      <w:pPr>
        <w:pStyle w:val="BodyText"/>
      </w:pPr>
      <w:r>
        <w:t xml:space="preserve">Пояснение: Команда fg работает только в той оболочке, где процесс был запущен и приостановлен. В другой вкладке терминал сообщит, что нет процесса для запуска в fg.</w:t>
      </w:r>
    </w:p>
    <w:bookmarkStart w:id="83" w:name="fig:018"/>
    <w:p>
      <w:pPr>
        <w:pStyle w:val="CaptionedFigure"/>
      </w:pPr>
      <w:r>
        <w:drawing>
          <wp:inline>
            <wp:extent cx="3733800" cy="1543952"/>
            <wp:effectExtent b="0" l="0" r="0" t="0"/>
            <wp:docPr descr="Рис. 18: fg в другой вкладке не находит процесс" title="" id="81" name="Picture"/>
            <a:graphic>
              <a:graphicData uri="http://schemas.openxmlformats.org/drawingml/2006/picture">
                <pic:pic>
                  <pic:nvPicPr>
                    <pic:cNvPr descr="image/18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3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fg в другой вкладке не находит процесс</w:t>
      </w:r>
    </w:p>
    <w:bookmarkEnd w:id="83"/>
    <w:p>
      <w:pPr>
        <w:pStyle w:val="BodyText"/>
      </w:pPr>
      <w:r>
        <w:t xml:space="preserve">Пояснение: Если в сессии tmux осталась последняя вкладка, и в ней ввести exit, оболочка внутри вкладки завершится, вкладка закроется, и сессия tmux завершится.</w:t>
      </w:r>
    </w:p>
    <w:bookmarkStart w:id="87" w:name="fig:019"/>
    <w:p>
      <w:pPr>
        <w:pStyle w:val="CaptionedFigure"/>
      </w:pPr>
      <w:r>
        <w:drawing>
          <wp:inline>
            <wp:extent cx="3733800" cy="1428818"/>
            <wp:effectExtent b="0" l="0" r="0" t="0"/>
            <wp:docPr descr="Рис. 19: exit в последней вкладке tmux завершает сессию" title="" id="85" name="Picture"/>
            <a:graphic>
              <a:graphicData uri="http://schemas.openxmlformats.org/drawingml/2006/picture">
                <pic:pic>
                  <pic:nvPicPr>
                    <pic:cNvPr descr="image/19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8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exit в последней вкладке tmux завершает сессию</w:t>
      </w:r>
    </w:p>
    <w:bookmarkEnd w:id="87"/>
    <w:p>
      <w:pPr>
        <w:pStyle w:val="BodyText"/>
      </w:pPr>
      <w:r>
        <w:t xml:space="preserve">Пояснение: tmux работает в фоне на сервере. Закрытие локального терминала разрывает SSH-соединение, но процессы внутри tmux продолжают выполняться. При новом подключении можно восстановить сессию командой tmux attach.</w:t>
      </w:r>
    </w:p>
    <w:bookmarkStart w:id="91" w:name="fig:020"/>
    <w:p>
      <w:pPr>
        <w:pStyle w:val="CaptionedFigure"/>
      </w:pPr>
      <w:r>
        <w:drawing>
          <wp:inline>
            <wp:extent cx="3733800" cy="1470624"/>
            <wp:effectExtent b="0" l="0" r="0" t="0"/>
            <wp:docPr descr="Рис. 20: tmux продолжает работу после закрытия терминала" title="" id="89" name="Picture"/>
            <a:graphic>
              <a:graphicData uri="http://schemas.openxmlformats.org/drawingml/2006/picture">
                <pic:pic>
                  <pic:nvPicPr>
                    <pic:cNvPr descr="image/20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0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tmux продолжает работу после закрытия терминала</w:t>
      </w:r>
    </w:p>
    <w:bookmarkEnd w:id="91"/>
    <w:p>
      <w:pPr>
        <w:pStyle w:val="BodyText"/>
      </w:pPr>
      <w:r>
        <w:t xml:space="preserve">Пояснение: Принудительное закрытие вкладки (Ctrl+B, X) завершает все процессы внутри неё, включая фоновые.</w:t>
      </w:r>
    </w:p>
    <w:bookmarkStart w:id="95" w:name="fig:021"/>
    <w:p>
      <w:pPr>
        <w:pStyle w:val="CaptionedFigure"/>
      </w:pPr>
      <w:r>
        <w:drawing>
          <wp:inline>
            <wp:extent cx="3733800" cy="1383855"/>
            <wp:effectExtent b="0" l="0" r="0" t="0"/>
            <wp:docPr descr="Рис. 21: Закрытие вкладки tmux убивает фоновый процесс" title="" id="93" name="Picture"/>
            <a:graphic>
              <a:graphicData uri="http://schemas.openxmlformats.org/drawingml/2006/picture">
                <pic:pic>
                  <pic:nvPicPr>
                    <pic:cNvPr descr="image/21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3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Закрытие вкладки tmux убивает фоновый процесс</w:t>
      </w:r>
    </w:p>
    <w:bookmarkEnd w:id="95"/>
    <w:p>
      <w:pPr>
        <w:pStyle w:val="BodyText"/>
      </w:pPr>
      <w:r>
        <w:t xml:space="preserve">Пояснение: Стандартное сочетание для переименования текущей вкладки в tmux — Ctrl+B и , (запятая).</w:t>
      </w:r>
    </w:p>
    <w:bookmarkStart w:id="99" w:name="fig:022"/>
    <w:p>
      <w:pPr>
        <w:pStyle w:val="CaptionedFigure"/>
      </w:pPr>
      <w:r>
        <w:drawing>
          <wp:inline>
            <wp:extent cx="3733800" cy="1793145"/>
            <wp:effectExtent b="0" l="0" r="0" t="0"/>
            <wp:docPr descr="Рис. 22: Переименование вкладки tmux: Ctrl+B и ," title="" id="97" name="Picture"/>
            <a:graphic>
              <a:graphicData uri="http://schemas.openxmlformats.org/drawingml/2006/picture">
                <pic:pic>
                  <pic:nvPicPr>
                    <pic:cNvPr descr="image/22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3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Переименование вкладки tmux: Ctrl+B и ,</w:t>
      </w:r>
    </w:p>
    <w:bookmarkEnd w:id="99"/>
    <w:p>
      <w:pPr>
        <w:pStyle w:val="BodyText"/>
      </w:pPr>
      <w:r>
        <w:t xml:space="preserve">Пояснение: Верные утверждения о разделении вкладок в tmux: команды разделения действуют только в текущей вкладке; при горизонтальном и вертикальном разделении получается 3 части (одна большая, две маленькие). Остальные утверждения неверны.</w:t>
      </w:r>
    </w:p>
    <w:bookmarkStart w:id="103" w:name="fig:023"/>
    <w:p>
      <w:pPr>
        <w:pStyle w:val="CaptionedFigure"/>
      </w:pPr>
      <w:r>
        <w:drawing>
          <wp:inline>
            <wp:extent cx="3733800" cy="2910419"/>
            <wp:effectExtent b="0" l="0" r="0" t="0"/>
            <wp:docPr descr="Рис. 23: Разделение вкладки даёт 3 части, команды только в текущей вкладке" title="" id="101" name="Picture"/>
            <a:graphic>
              <a:graphicData uri="http://schemas.openxmlformats.org/drawingml/2006/picture">
                <pic:pic>
                  <pic:nvPicPr>
                    <pic:cNvPr descr="image/23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0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Разделение вкладки даёт 3 части, команды только в текущей вкладке</w:t>
      </w:r>
    </w:p>
    <w:bookmarkEnd w:id="103"/>
    <w:bookmarkEnd w:id="104"/>
    <w:bookmarkStart w:id="105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результате выполнения задач первого модуля были успешно освоены фундаментальные принципы работы в командной оболочке Linux.</w:t>
      </w:r>
      <w:r>
        <w:t xml:space="preserve"> </w:t>
      </w:r>
      <w:r>
        <w:t xml:space="preserve">Полученные навыки работы с командами навигации, управления файлами и перенаправления потоков создали необходимую базу для дальнейшего изучения более сложных тем, таких как написание скриптов на bash, работа с удалёнными серверами и настройка окружения для разработки</w:t>
      </w:r>
      <w:r>
        <w:t xml:space="preserve"> </w:t>
      </w:r>
      <w:r>
        <w:t xml:space="preserve">. Практическое применение команд grep и find, а также умение строить эффективные конвейеры из нескольких команд, позволяют выполнять типовые задачи по обработке и поиску данных непосредственно в терминале без использования графических инструментов. Это значительно повышает эффективность и гибкость работы в операционной системе Linux.</w:t>
      </w:r>
    </w:p>
    <w:bookmarkEnd w:id="105"/>
    <w:bookmarkStart w:id="106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Тормозов, В. С. Основы работы в операционной системе Linux : учебное пособие / В. С. Тормозов, А. Л. Золкин. — Самара : Реавиз, 2023. — 66 с. — ISBN 978-5-907359-20-8.</w:t>
      </w:r>
    </w:p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16" Target="media/rId16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курс. Модуль 2</dc:title>
  <dc:creator>Безлепкина Татьяна Игоревна</dc:creator>
  <dc:language>ru-RU</dc:language>
  <cp:keywords/>
  <dcterms:created xsi:type="dcterms:W3CDTF">2026-05-16T19:10:00Z</dcterms:created>
  <dcterms:modified xsi:type="dcterms:W3CDTF">2026-05-16T19:10:00Z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ocumentclass">
    <vt:lpwstr>scrreprt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Рис.</vt:lpwstr>
  </property>
  <property fmtid="{D5CDD505-2E9C-101B-9397-08002B2CF9AE}" pid="29" name="fontsize">
    <vt:lpwstr>12pt</vt:lpwstr>
  </property>
  <property fmtid="{D5CDD505-2E9C-101B-9397-08002B2CF9AE}" pid="30" name="header-includes">
    <vt:lpwstr/>
  </property>
  <property fmtid="{D5CDD505-2E9C-101B-9397-08002B2CF9AE}" pid="31" name="indent">
    <vt:lpwstr>True</vt:lpwstr>
  </property>
  <property fmtid="{D5CDD505-2E9C-101B-9397-08002B2CF9AE}" pid="32" name="lastDelim">
    <vt:lpwstr>, </vt:lpwstr>
  </property>
  <property fmtid="{D5CDD505-2E9C-101B-9397-08002B2CF9AE}" pid="33" name="linestretch">
    <vt:lpwstr>1.5</vt:lpwstr>
  </property>
  <property fmtid="{D5CDD505-2E9C-101B-9397-08002B2CF9AE}" pid="34" name="linkReferences">
    <vt:lpwstr>False</vt:lpwstr>
  </property>
  <property fmtid="{D5CDD505-2E9C-101B-9397-08002B2CF9AE}" pid="35" name="listItemTitleDelim">
    <vt:lpwstr>.</vt:lpwstr>
  </property>
  <property fmtid="{D5CDD505-2E9C-101B-9397-08002B2CF9AE}" pid="36" name="listOfMetadata">
    <vt:lpwstr>False</vt:lpwstr>
  </property>
  <property fmtid="{D5CDD505-2E9C-101B-9397-08002B2CF9AE}" pid="37" name="listingTemplate">
    <vt:lpwstr>listingTitle ititleDelim t</vt:lpwstr>
  </property>
  <property fmtid="{D5CDD505-2E9C-101B-9397-08002B2CF9AE}" pid="38" name="listingTitle">
    <vt:lpwstr>Листинг</vt:lpwstr>
  </property>
  <property fmtid="{D5CDD505-2E9C-101B-9397-08002B2CF9AE}" pid="39" name="listings">
    <vt:lpwstr>False</vt:lpwstr>
  </property>
  <property fmtid="{D5CDD505-2E9C-101B-9397-08002B2CF9AE}" pid="40" name="lof">
    <vt:lpwstr>True</vt:lpwstr>
  </property>
  <property fmtid="{D5CDD505-2E9C-101B-9397-08002B2CF9AE}" pid="41" name="lofItemTemplate">
    <vt:lpwstr>lofItemTitleilistItemTitleDelimt </vt:lpwstr>
  </property>
  <property fmtid="{D5CDD505-2E9C-101B-9397-08002B2CF9AE}" pid="42" name="lofItemTitle">
    <vt:lpwstr/>
  </property>
  <property fmtid="{D5CDD505-2E9C-101B-9397-08002B2CF9AE}" pid="43" name="lofTitle">
    <vt:lpwstr>Список иллюстраций</vt:lpwstr>
  </property>
  <property fmtid="{D5CDD505-2E9C-101B-9397-08002B2CF9AE}" pid="44" name="lolItemTemplate">
    <vt:lpwstr>lolItemTitleilistItemTitleDelimt </vt:lpwstr>
  </property>
  <property fmtid="{D5CDD505-2E9C-101B-9397-08002B2CF9AE}" pid="45" name="lolItemTitle">
    <vt:lpwstr/>
  </property>
  <property fmtid="{D5CDD505-2E9C-101B-9397-08002B2CF9AE}" pid="46" name="lolTitle">
    <vt:lpwstr>List of Listings</vt:lpwstr>
  </property>
  <property fmtid="{D5CDD505-2E9C-101B-9397-08002B2CF9AE}" pid="47" name="lot">
    <vt:lpwstr>True</vt:lpwstr>
  </property>
  <property fmtid="{D5CDD505-2E9C-101B-9397-08002B2CF9AE}" pid="48" name="lotItemTemplate">
    <vt:lpwstr>lotItemTitleilistItemTitleDelimt </vt:lpwstr>
  </property>
  <property fmtid="{D5CDD505-2E9C-101B-9397-08002B2CF9AE}" pid="49" name="lotItemTitle">
    <vt:lpwstr/>
  </property>
  <property fmtid="{D5CDD505-2E9C-101B-9397-08002B2CF9AE}" pid="50" name="lotTitle">
    <vt:lpwstr>Список таблиц</vt:lpwstr>
  </property>
  <property fmtid="{D5CDD505-2E9C-101B-9397-08002B2CF9AE}" pid="51" name="lstLabels">
    <vt:lpwstr>arabic</vt:lpwstr>
  </property>
  <property fmtid="{D5CDD505-2E9C-101B-9397-08002B2CF9AE}" pid="52" name="lstPrefix">
    <vt:lpwstr/>
  </property>
  <property fmtid="{D5CDD505-2E9C-101B-9397-08002B2CF9AE}" pid="53" name="lstPrefixTemplate">
    <vt:lpwstr>p i</vt:lpwstr>
  </property>
  <property fmtid="{D5CDD505-2E9C-101B-9397-08002B2CF9AE}" pid="54" name="mainfont">
    <vt:lpwstr>Liberation Sans</vt:lpwstr>
  </property>
  <property fmtid="{D5CDD505-2E9C-101B-9397-08002B2CF9AE}" pid="55" name="mathfont">
    <vt:lpwstr>Liberation Sans</vt:lpwstr>
  </property>
  <property fmtid="{D5CDD505-2E9C-101B-9397-08002B2CF9AE}" pid="56" name="monofont">
    <vt:lpwstr>Liberation Sans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rangeDelim">
    <vt:lpwstr>-</vt:lpwstr>
  </property>
  <property fmtid="{D5CDD505-2E9C-101B-9397-08002B2CF9AE}" pid="62" name="refDelim">
    <vt:lpwstr>, </vt:lpwstr>
  </property>
  <property fmtid="{D5CDD505-2E9C-101B-9397-08002B2CF9AE}" pid="63" name="refIndexTemplate">
    <vt:lpwstr>isuf</vt:lpwstr>
  </property>
  <property fmtid="{D5CDD505-2E9C-101B-9397-08002B2CF9AE}" pid="64" name="sansfont">
    <vt:lpwstr>Liberation Sans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дисциплина: Архитектура компьютера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Таблица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depth">
    <vt:lpwstr>2</vt:lpwstr>
  </property>
  <property fmtid="{D5CDD505-2E9C-101B-9397-08002B2CF9AE}" pid="86" name="toc-title">
    <vt:lpwstr>Содержание</vt:lpwstr>
  </property>
</Properties>
</file>