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2BDA" w14:textId="34223BF7" w:rsidR="00497D15" w:rsidRDefault="008D3AE6" w:rsidP="008D3AE6">
      <w:pPr>
        <w:spacing w:after="60"/>
        <w:rPr>
          <w:rFonts w:ascii="Aptos" w:hAnsi="Aptos"/>
          <w:b/>
          <w:color w:val="000000"/>
          <w:sz w:val="40"/>
        </w:rPr>
      </w:pPr>
      <w:r>
        <w:rPr>
          <w:rFonts w:ascii="Aptos" w:hAnsi="Aptos"/>
          <w:b/>
          <w:color w:val="000000"/>
          <w:sz w:val="40"/>
        </w:rPr>
        <w:t>Remittance Advice Enhancement Time Estimate</w:t>
      </w:r>
    </w:p>
    <w:p w14:paraId="1C6C0F7D" w14:textId="789AFA29" w:rsidR="008D3AE6" w:rsidRDefault="008D3AE6" w:rsidP="008D3AE6">
      <w:pPr>
        <w:spacing w:after="200"/>
        <w:rPr>
          <w:rFonts w:ascii="Aptos" w:hAnsi="Aptos"/>
          <w:color w:val="707070"/>
          <w:sz w:val="20"/>
        </w:rPr>
      </w:pPr>
      <w:r>
        <w:rPr>
          <w:rFonts w:ascii="Aptos" w:hAnsi="Aptos"/>
          <w:color w:val="707070"/>
          <w:sz w:val="20"/>
        </w:rPr>
        <w:t>Business Central report 50004  LBMC ExportElecPayments Word</w:t>
      </w:r>
    </w:p>
    <w:p w14:paraId="68AF83D4" w14:textId="30613E8C" w:rsidR="008D3AE6" w:rsidRDefault="008D3AE6" w:rsidP="008D3AE6">
      <w:pPr>
        <w:spacing w:after="60"/>
        <w:rPr>
          <w:rFonts w:ascii="Aptos" w:hAnsi="Aptos"/>
          <w:b/>
          <w:color w:val="000000"/>
          <w:sz w:val="26"/>
        </w:rPr>
      </w:pPr>
      <w:r>
        <w:rPr>
          <w:rFonts w:ascii="Aptos" w:hAnsi="Aptos"/>
          <w:b/>
          <w:color w:val="000000"/>
          <w:sz w:val="26"/>
        </w:rPr>
        <w:t>Purpose and recommendation</w:t>
      </w:r>
    </w:p>
    <w:p w14:paraId="04378025" w14:textId="6E1DFA4B" w:rsidR="008D3AE6" w:rsidRDefault="008D3AE6" w:rsidP="008D3AE6">
      <w:pPr>
        <w:rPr>
          <w:rFonts w:ascii="Aptos" w:hAnsi="Aptos"/>
          <w:color w:val="000000"/>
          <w:sz w:val="20"/>
        </w:rPr>
      </w:pPr>
      <w:r>
        <w:rPr>
          <w:rFonts w:ascii="Aptos" w:hAnsi="Aptos"/>
          <w:color w:val="000000"/>
          <w:sz w:val="20"/>
        </w:rPr>
        <w:t>The enhancement will group payment journal entries by vendor and Request Number (stored in the ACH No. field), print all related payment details on one remittance advice, calculate the combined amount correctly, and show the Request Number in the existing Word layout. A planned effort of 10 hours is practical for implementation, focused validation, and handover without adding excessive contingency.</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00" w:type="dxa"/>
          <w:left w:w="120" w:type="dxa"/>
          <w:bottom w:w="100" w:type="dxa"/>
          <w:right w:w="120" w:type="dxa"/>
        </w:tblCellMar>
        <w:tblLook w:val="0000" w:firstRow="0" w:lastRow="0" w:firstColumn="0" w:lastColumn="0" w:noHBand="0" w:noVBand="0"/>
      </w:tblPr>
      <w:tblGrid>
        <w:gridCol w:w="3406"/>
        <w:gridCol w:w="3405"/>
        <w:gridCol w:w="3403"/>
      </w:tblGrid>
      <w:tr w:rsidR="008D3AE6" w14:paraId="2791C49D" w14:textId="77777777" w:rsidTr="008D3AE6">
        <w:tc>
          <w:tcPr>
            <w:tcW w:w="1667" w:type="pct"/>
            <w:shd w:val="clear" w:color="auto" w:fill="1F6E79"/>
            <w:vAlign w:val="center"/>
          </w:tcPr>
          <w:p w14:paraId="522F461C" w14:textId="6A201C7C" w:rsidR="008D3AE6" w:rsidRPr="008D3AE6" w:rsidRDefault="008D3AE6" w:rsidP="008D3AE6">
            <w:pPr>
              <w:spacing w:after="0"/>
              <w:jc w:val="center"/>
              <w:rPr>
                <w:rFonts w:ascii="Aptos" w:hAnsi="Aptos"/>
                <w:b/>
                <w:color w:val="FFFFFF"/>
                <w:sz w:val="18"/>
              </w:rPr>
            </w:pPr>
            <w:r w:rsidRPr="008D3AE6">
              <w:rPr>
                <w:rFonts w:ascii="Aptos" w:hAnsi="Aptos"/>
                <w:b/>
                <w:color w:val="FFFFFF"/>
                <w:sz w:val="18"/>
              </w:rPr>
              <w:t>Planned effort</w:t>
            </w:r>
          </w:p>
        </w:tc>
        <w:tc>
          <w:tcPr>
            <w:tcW w:w="1667" w:type="pct"/>
            <w:shd w:val="clear" w:color="auto" w:fill="1F6E79"/>
            <w:vAlign w:val="center"/>
          </w:tcPr>
          <w:p w14:paraId="7AA18B9E" w14:textId="109E10CA" w:rsidR="008D3AE6" w:rsidRPr="008D3AE6" w:rsidRDefault="008D3AE6" w:rsidP="008D3AE6">
            <w:pPr>
              <w:spacing w:after="0"/>
              <w:jc w:val="center"/>
              <w:rPr>
                <w:rFonts w:ascii="Aptos" w:hAnsi="Aptos"/>
                <w:b/>
                <w:color w:val="FFFFFF"/>
                <w:sz w:val="18"/>
              </w:rPr>
            </w:pPr>
            <w:r w:rsidRPr="008D3AE6">
              <w:rPr>
                <w:rFonts w:ascii="Aptos" w:hAnsi="Aptos"/>
                <w:b/>
                <w:color w:val="FFFFFF"/>
                <w:sz w:val="18"/>
              </w:rPr>
              <w:t>Expected duration</w:t>
            </w:r>
          </w:p>
        </w:tc>
        <w:tc>
          <w:tcPr>
            <w:tcW w:w="1667" w:type="pct"/>
            <w:shd w:val="clear" w:color="auto" w:fill="1F6E79"/>
            <w:vAlign w:val="center"/>
          </w:tcPr>
          <w:p w14:paraId="2276185F" w14:textId="089B7090" w:rsidR="008D3AE6" w:rsidRPr="008D3AE6" w:rsidRDefault="008D3AE6" w:rsidP="008D3AE6">
            <w:pPr>
              <w:spacing w:after="0"/>
              <w:jc w:val="center"/>
              <w:rPr>
                <w:rFonts w:ascii="Aptos" w:hAnsi="Aptos"/>
                <w:b/>
                <w:color w:val="FFFFFF"/>
                <w:sz w:val="18"/>
              </w:rPr>
            </w:pPr>
            <w:r w:rsidRPr="008D3AE6">
              <w:rPr>
                <w:rFonts w:ascii="Aptos" w:hAnsi="Aptos"/>
                <w:b/>
                <w:color w:val="FFFFFF"/>
                <w:sz w:val="18"/>
              </w:rPr>
              <w:t>Estimate confidence</w:t>
            </w:r>
          </w:p>
        </w:tc>
      </w:tr>
      <w:tr w:rsidR="008D3AE6" w14:paraId="22F69E35" w14:textId="77777777" w:rsidTr="008D3AE6">
        <w:tc>
          <w:tcPr>
            <w:tcW w:w="1667" w:type="pct"/>
            <w:vAlign w:val="center"/>
          </w:tcPr>
          <w:p w14:paraId="1E30752F" w14:textId="6CF1BAF4" w:rsidR="008D3AE6" w:rsidRPr="008D3AE6" w:rsidRDefault="008D3AE6" w:rsidP="008D3AE6">
            <w:pPr>
              <w:spacing w:after="0"/>
              <w:jc w:val="center"/>
              <w:rPr>
                <w:rFonts w:ascii="Aptos" w:hAnsi="Aptos"/>
                <w:b/>
                <w:color w:val="000000"/>
                <w:sz w:val="20"/>
              </w:rPr>
            </w:pPr>
            <w:r w:rsidRPr="008D3AE6">
              <w:rPr>
                <w:rFonts w:ascii="Aptos" w:hAnsi="Aptos"/>
                <w:b/>
                <w:color w:val="000000"/>
                <w:sz w:val="20"/>
              </w:rPr>
              <w:t>10 hours</w:t>
            </w:r>
          </w:p>
        </w:tc>
        <w:tc>
          <w:tcPr>
            <w:tcW w:w="1667" w:type="pct"/>
            <w:vAlign w:val="center"/>
          </w:tcPr>
          <w:p w14:paraId="440C3DC0" w14:textId="1AF6C976" w:rsidR="008D3AE6" w:rsidRPr="008D3AE6" w:rsidRDefault="008D3AE6" w:rsidP="008D3AE6">
            <w:pPr>
              <w:spacing w:after="0"/>
              <w:jc w:val="center"/>
              <w:rPr>
                <w:rFonts w:ascii="Aptos" w:hAnsi="Aptos"/>
                <w:b/>
                <w:color w:val="000000"/>
                <w:sz w:val="20"/>
              </w:rPr>
            </w:pPr>
            <w:r w:rsidRPr="008D3AE6">
              <w:rPr>
                <w:rFonts w:ascii="Aptos" w:hAnsi="Aptos"/>
                <w:b/>
                <w:color w:val="000000"/>
                <w:sz w:val="20"/>
              </w:rPr>
              <w:t>1.25 business days</w:t>
            </w:r>
          </w:p>
        </w:tc>
        <w:tc>
          <w:tcPr>
            <w:tcW w:w="1667" w:type="pct"/>
            <w:vAlign w:val="center"/>
          </w:tcPr>
          <w:p w14:paraId="24A9D900" w14:textId="4E39FCBC" w:rsidR="008D3AE6" w:rsidRPr="008D3AE6" w:rsidRDefault="008D3AE6" w:rsidP="008D3AE6">
            <w:pPr>
              <w:spacing w:after="0"/>
              <w:jc w:val="center"/>
              <w:rPr>
                <w:rFonts w:ascii="Aptos" w:hAnsi="Aptos"/>
                <w:b/>
                <w:color w:val="000000"/>
                <w:sz w:val="20"/>
              </w:rPr>
            </w:pPr>
            <w:r w:rsidRPr="008D3AE6">
              <w:rPr>
                <w:rFonts w:ascii="Aptos" w:hAnsi="Aptos"/>
                <w:b/>
                <w:color w:val="000000"/>
                <w:sz w:val="20"/>
              </w:rPr>
              <w:t>Medium to high</w:t>
            </w:r>
          </w:p>
        </w:tc>
      </w:tr>
    </w:tbl>
    <w:p w14:paraId="25414CB3" w14:textId="77777777" w:rsidR="008D3AE6" w:rsidRDefault="008D3AE6" w:rsidP="008D3AE6">
      <w:pPr>
        <w:rPr>
          <w:rFonts w:ascii="Aptos" w:hAnsi="Aptos"/>
          <w:color w:val="000000"/>
          <w:sz w:val="20"/>
        </w:rPr>
      </w:pPr>
    </w:p>
    <w:p w14:paraId="4D258942" w14:textId="340F8FEE" w:rsidR="008D3AE6" w:rsidRDefault="008D3AE6" w:rsidP="008D3AE6">
      <w:pPr>
        <w:spacing w:before="140" w:after="80"/>
        <w:rPr>
          <w:rFonts w:ascii="Aptos" w:hAnsi="Aptos"/>
          <w:b/>
          <w:color w:val="000000"/>
          <w:sz w:val="26"/>
        </w:rPr>
      </w:pPr>
      <w:r>
        <w:rPr>
          <w:rFonts w:ascii="Aptos" w:hAnsi="Aptos"/>
          <w:b/>
          <w:color w:val="000000"/>
          <w:sz w:val="26"/>
        </w:rPr>
        <w:t>Estimated work breakdown</w:t>
      </w:r>
    </w:p>
    <w:tbl>
      <w:tblPr>
        <w:tblW w:w="100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504"/>
        <w:gridCol w:w="2376"/>
        <w:gridCol w:w="6192"/>
        <w:gridCol w:w="936"/>
      </w:tblGrid>
      <w:tr w:rsidR="008D3AE6" w14:paraId="0A42034D" w14:textId="77777777" w:rsidTr="008D3AE6">
        <w:trPr>
          <w:tblHeader/>
        </w:trPr>
        <w:tc>
          <w:tcPr>
            <w:tcW w:w="504" w:type="dxa"/>
            <w:tcBorders>
              <w:bottom w:val="single" w:sz="4" w:space="0" w:color="D9D9D9"/>
            </w:tcBorders>
            <w:shd w:val="clear" w:color="auto" w:fill="1F6E79"/>
            <w:vAlign w:val="center"/>
          </w:tcPr>
          <w:p w14:paraId="19CB9D19" w14:textId="0DDF883C" w:rsidR="008D3AE6" w:rsidRPr="008D3AE6" w:rsidRDefault="008D3AE6" w:rsidP="008D3AE6">
            <w:pPr>
              <w:spacing w:before="140" w:after="0"/>
              <w:jc w:val="center"/>
              <w:rPr>
                <w:rFonts w:ascii="Aptos" w:hAnsi="Aptos"/>
                <w:b/>
                <w:color w:val="FFFFFF"/>
                <w:sz w:val="18"/>
              </w:rPr>
            </w:pPr>
            <w:r w:rsidRPr="008D3AE6">
              <w:rPr>
                <w:rFonts w:ascii="Aptos" w:hAnsi="Aptos"/>
                <w:b/>
                <w:color w:val="FFFFFF"/>
                <w:sz w:val="18"/>
              </w:rPr>
              <w:t>#</w:t>
            </w:r>
          </w:p>
        </w:tc>
        <w:tc>
          <w:tcPr>
            <w:tcW w:w="2376" w:type="dxa"/>
            <w:tcBorders>
              <w:bottom w:val="single" w:sz="4" w:space="0" w:color="D9D9D9"/>
            </w:tcBorders>
            <w:shd w:val="clear" w:color="auto" w:fill="1F6E79"/>
            <w:vAlign w:val="center"/>
          </w:tcPr>
          <w:p w14:paraId="3356787D" w14:textId="537A2CC1" w:rsidR="008D3AE6" w:rsidRPr="008D3AE6" w:rsidRDefault="008D3AE6" w:rsidP="008D3AE6">
            <w:pPr>
              <w:spacing w:before="140" w:after="0"/>
              <w:rPr>
                <w:rFonts w:ascii="Aptos" w:hAnsi="Aptos"/>
                <w:b/>
                <w:color w:val="FFFFFF"/>
                <w:sz w:val="18"/>
              </w:rPr>
            </w:pPr>
            <w:r w:rsidRPr="008D3AE6">
              <w:rPr>
                <w:rFonts w:ascii="Aptos" w:hAnsi="Aptos"/>
                <w:b/>
                <w:color w:val="FFFFFF"/>
                <w:sz w:val="18"/>
              </w:rPr>
              <w:t>Activity</w:t>
            </w:r>
          </w:p>
        </w:tc>
        <w:tc>
          <w:tcPr>
            <w:tcW w:w="6192" w:type="dxa"/>
            <w:tcBorders>
              <w:bottom w:val="single" w:sz="4" w:space="0" w:color="D9D9D9"/>
            </w:tcBorders>
            <w:shd w:val="clear" w:color="auto" w:fill="1F6E79"/>
            <w:vAlign w:val="center"/>
          </w:tcPr>
          <w:p w14:paraId="17591F6D" w14:textId="1113C27B" w:rsidR="008D3AE6" w:rsidRPr="008D3AE6" w:rsidRDefault="008D3AE6" w:rsidP="008D3AE6">
            <w:pPr>
              <w:spacing w:before="140" w:after="0"/>
              <w:rPr>
                <w:rFonts w:ascii="Aptos" w:hAnsi="Aptos"/>
                <w:b/>
                <w:color w:val="FFFFFF"/>
                <w:sz w:val="18"/>
              </w:rPr>
            </w:pPr>
            <w:r w:rsidRPr="008D3AE6">
              <w:rPr>
                <w:rFonts w:ascii="Aptos" w:hAnsi="Aptos"/>
                <w:b/>
                <w:color w:val="FFFFFF"/>
                <w:sz w:val="18"/>
              </w:rPr>
              <w:t>Scope and rationale</w:t>
            </w:r>
          </w:p>
        </w:tc>
        <w:tc>
          <w:tcPr>
            <w:tcW w:w="936" w:type="dxa"/>
            <w:tcBorders>
              <w:bottom w:val="single" w:sz="4" w:space="0" w:color="D9D9D9"/>
            </w:tcBorders>
            <w:shd w:val="clear" w:color="auto" w:fill="1F6E79"/>
            <w:vAlign w:val="center"/>
          </w:tcPr>
          <w:p w14:paraId="511769C8" w14:textId="3E189E68" w:rsidR="008D3AE6" w:rsidRPr="008D3AE6" w:rsidRDefault="008D3AE6" w:rsidP="008D3AE6">
            <w:pPr>
              <w:spacing w:before="140" w:after="0"/>
              <w:jc w:val="center"/>
              <w:rPr>
                <w:rFonts w:ascii="Aptos" w:hAnsi="Aptos"/>
                <w:b/>
                <w:color w:val="FFFFFF"/>
                <w:sz w:val="18"/>
              </w:rPr>
            </w:pPr>
            <w:r w:rsidRPr="008D3AE6">
              <w:rPr>
                <w:rFonts w:ascii="Aptos" w:hAnsi="Aptos"/>
                <w:b/>
                <w:color w:val="FFFFFF"/>
                <w:sz w:val="18"/>
              </w:rPr>
              <w:t>Hours</w:t>
            </w:r>
          </w:p>
        </w:tc>
      </w:tr>
      <w:tr w:rsidR="008D3AE6" w14:paraId="53BBEF07" w14:textId="77777777" w:rsidTr="008D3AE6">
        <w:tc>
          <w:tcPr>
            <w:tcW w:w="504" w:type="dxa"/>
            <w:shd w:val="clear" w:color="auto" w:fill="E7EFF7"/>
            <w:vAlign w:val="center"/>
          </w:tcPr>
          <w:p w14:paraId="2185507B" w14:textId="5181DEB0" w:rsidR="008D3AE6" w:rsidRPr="008D3AE6" w:rsidRDefault="008D3AE6" w:rsidP="008D3AE6">
            <w:pPr>
              <w:spacing w:before="140" w:after="0"/>
              <w:jc w:val="center"/>
              <w:rPr>
                <w:rFonts w:ascii="Aptos" w:hAnsi="Aptos"/>
                <w:color w:val="000000"/>
                <w:sz w:val="18"/>
              </w:rPr>
            </w:pPr>
            <w:r w:rsidRPr="008D3AE6">
              <w:rPr>
                <w:rFonts w:ascii="Aptos" w:hAnsi="Aptos"/>
                <w:color w:val="000000"/>
                <w:sz w:val="18"/>
              </w:rPr>
              <w:t>1</w:t>
            </w:r>
          </w:p>
        </w:tc>
        <w:tc>
          <w:tcPr>
            <w:tcW w:w="2376" w:type="dxa"/>
            <w:shd w:val="clear" w:color="auto" w:fill="E7EFF7"/>
            <w:vAlign w:val="center"/>
          </w:tcPr>
          <w:p w14:paraId="126D384E" w14:textId="7E48D6C8" w:rsidR="008D3AE6" w:rsidRPr="008D3AE6" w:rsidRDefault="008D3AE6" w:rsidP="008D3AE6">
            <w:pPr>
              <w:spacing w:before="140" w:after="0"/>
              <w:rPr>
                <w:rFonts w:ascii="Aptos" w:hAnsi="Aptos"/>
                <w:b/>
                <w:color w:val="000000"/>
                <w:sz w:val="18"/>
              </w:rPr>
            </w:pPr>
            <w:r w:rsidRPr="008D3AE6">
              <w:rPr>
                <w:rFonts w:ascii="Aptos" w:hAnsi="Aptos"/>
                <w:b/>
                <w:color w:val="000000"/>
                <w:sz w:val="18"/>
              </w:rPr>
              <w:t>Requirement and technical review</w:t>
            </w:r>
          </w:p>
        </w:tc>
        <w:tc>
          <w:tcPr>
            <w:tcW w:w="6192" w:type="dxa"/>
            <w:shd w:val="clear" w:color="auto" w:fill="E7EFF7"/>
            <w:vAlign w:val="center"/>
          </w:tcPr>
          <w:p w14:paraId="0315D5F7" w14:textId="4B64B67C" w:rsidR="008D3AE6" w:rsidRPr="008D3AE6" w:rsidRDefault="008D3AE6" w:rsidP="008D3AE6">
            <w:pPr>
              <w:spacing w:before="140" w:after="0"/>
              <w:rPr>
                <w:rFonts w:ascii="Aptos" w:hAnsi="Aptos"/>
                <w:color w:val="000000"/>
                <w:sz w:val="18"/>
              </w:rPr>
            </w:pPr>
            <w:r w:rsidRPr="008D3AE6">
              <w:rPr>
                <w:rFonts w:ascii="Aptos" w:hAnsi="Aptos"/>
                <w:color w:val="000000"/>
                <w:sz w:val="18"/>
              </w:rPr>
              <w:t>Confirm report flow, journal selection behavior, ACH No. source field, grouping boundary, and expected output.</w:t>
            </w:r>
          </w:p>
        </w:tc>
        <w:tc>
          <w:tcPr>
            <w:tcW w:w="936" w:type="dxa"/>
            <w:shd w:val="clear" w:color="auto" w:fill="E7EFF7"/>
            <w:vAlign w:val="center"/>
          </w:tcPr>
          <w:p w14:paraId="77BE1F19" w14:textId="71B98863" w:rsidR="008D3AE6" w:rsidRPr="008D3AE6" w:rsidRDefault="008D3AE6" w:rsidP="008D3AE6">
            <w:pPr>
              <w:spacing w:before="140" w:after="0"/>
              <w:jc w:val="center"/>
              <w:rPr>
                <w:rFonts w:ascii="Aptos" w:hAnsi="Aptos"/>
                <w:b/>
                <w:color w:val="000000"/>
                <w:sz w:val="18"/>
              </w:rPr>
            </w:pPr>
            <w:r w:rsidRPr="008D3AE6">
              <w:rPr>
                <w:rFonts w:ascii="Aptos" w:hAnsi="Aptos"/>
                <w:b/>
                <w:color w:val="000000"/>
                <w:sz w:val="18"/>
              </w:rPr>
              <w:t>0.75</w:t>
            </w:r>
          </w:p>
        </w:tc>
      </w:tr>
      <w:tr w:rsidR="008D3AE6" w14:paraId="558FA148" w14:textId="77777777" w:rsidTr="008D3AE6">
        <w:tc>
          <w:tcPr>
            <w:tcW w:w="504" w:type="dxa"/>
            <w:tcBorders>
              <w:bottom w:val="single" w:sz="4" w:space="0" w:color="D9D9D9"/>
            </w:tcBorders>
            <w:vAlign w:val="center"/>
          </w:tcPr>
          <w:p w14:paraId="6BCDD481" w14:textId="75B239E5" w:rsidR="008D3AE6" w:rsidRPr="008D3AE6" w:rsidRDefault="008D3AE6" w:rsidP="008D3AE6">
            <w:pPr>
              <w:spacing w:before="140" w:after="0"/>
              <w:jc w:val="center"/>
              <w:rPr>
                <w:rFonts w:ascii="Aptos" w:hAnsi="Aptos"/>
                <w:color w:val="000000"/>
                <w:sz w:val="18"/>
              </w:rPr>
            </w:pPr>
            <w:r w:rsidRPr="008D3AE6">
              <w:rPr>
                <w:rFonts w:ascii="Aptos" w:hAnsi="Aptos"/>
                <w:color w:val="000000"/>
                <w:sz w:val="18"/>
              </w:rPr>
              <w:t>2</w:t>
            </w:r>
          </w:p>
        </w:tc>
        <w:tc>
          <w:tcPr>
            <w:tcW w:w="2376" w:type="dxa"/>
            <w:tcBorders>
              <w:bottom w:val="single" w:sz="4" w:space="0" w:color="D9D9D9"/>
            </w:tcBorders>
            <w:vAlign w:val="center"/>
          </w:tcPr>
          <w:p w14:paraId="525E4775" w14:textId="5163F0D0" w:rsidR="008D3AE6" w:rsidRPr="008D3AE6" w:rsidRDefault="008D3AE6" w:rsidP="008D3AE6">
            <w:pPr>
              <w:spacing w:before="140" w:after="0"/>
              <w:rPr>
                <w:rFonts w:ascii="Aptos" w:hAnsi="Aptos"/>
                <w:b/>
                <w:color w:val="000000"/>
                <w:sz w:val="18"/>
              </w:rPr>
            </w:pPr>
            <w:r w:rsidRPr="008D3AE6">
              <w:rPr>
                <w:rFonts w:ascii="Aptos" w:hAnsi="Aptos"/>
                <w:b/>
                <w:color w:val="000000"/>
                <w:sz w:val="18"/>
              </w:rPr>
              <w:t>Dataset and Request Number output</w:t>
            </w:r>
          </w:p>
        </w:tc>
        <w:tc>
          <w:tcPr>
            <w:tcW w:w="6192" w:type="dxa"/>
            <w:tcBorders>
              <w:bottom w:val="single" w:sz="4" w:space="0" w:color="D9D9D9"/>
            </w:tcBorders>
            <w:vAlign w:val="center"/>
          </w:tcPr>
          <w:p w14:paraId="05E8313E" w14:textId="021A47B0" w:rsidR="008D3AE6" w:rsidRPr="008D3AE6" w:rsidRDefault="008D3AE6" w:rsidP="008D3AE6">
            <w:pPr>
              <w:spacing w:before="140" w:after="0"/>
              <w:rPr>
                <w:rFonts w:ascii="Aptos" w:hAnsi="Aptos"/>
                <w:color w:val="000000"/>
                <w:sz w:val="18"/>
              </w:rPr>
            </w:pPr>
            <w:r w:rsidRPr="008D3AE6">
              <w:rPr>
                <w:rFonts w:ascii="Aptos" w:hAnsi="Aptos"/>
                <w:color w:val="000000"/>
                <w:sz w:val="18"/>
              </w:rPr>
              <w:t>Expose Request Number in the PageLoop dataset and bind the ACH No. value without introducing a new field.</w:t>
            </w:r>
          </w:p>
        </w:tc>
        <w:tc>
          <w:tcPr>
            <w:tcW w:w="936" w:type="dxa"/>
            <w:tcBorders>
              <w:bottom w:val="single" w:sz="4" w:space="0" w:color="D9D9D9"/>
            </w:tcBorders>
            <w:vAlign w:val="center"/>
          </w:tcPr>
          <w:p w14:paraId="37B5D3EB" w14:textId="453CE289" w:rsidR="008D3AE6" w:rsidRPr="008D3AE6" w:rsidRDefault="008D3AE6" w:rsidP="008D3AE6">
            <w:pPr>
              <w:spacing w:before="140" w:after="0"/>
              <w:jc w:val="center"/>
              <w:rPr>
                <w:rFonts w:ascii="Aptos" w:hAnsi="Aptos"/>
                <w:b/>
                <w:color w:val="000000"/>
                <w:sz w:val="18"/>
              </w:rPr>
            </w:pPr>
            <w:r w:rsidRPr="008D3AE6">
              <w:rPr>
                <w:rFonts w:ascii="Aptos" w:hAnsi="Aptos"/>
                <w:b/>
                <w:color w:val="000000"/>
                <w:sz w:val="18"/>
              </w:rPr>
              <w:t>1.00</w:t>
            </w:r>
          </w:p>
        </w:tc>
      </w:tr>
      <w:tr w:rsidR="008D3AE6" w14:paraId="029BA5ED" w14:textId="77777777" w:rsidTr="008D3AE6">
        <w:tc>
          <w:tcPr>
            <w:tcW w:w="504" w:type="dxa"/>
            <w:shd w:val="clear" w:color="auto" w:fill="E7EFF7"/>
            <w:vAlign w:val="center"/>
          </w:tcPr>
          <w:p w14:paraId="022B28DE" w14:textId="4BCB7312" w:rsidR="008D3AE6" w:rsidRPr="008D3AE6" w:rsidRDefault="008D3AE6" w:rsidP="008D3AE6">
            <w:pPr>
              <w:spacing w:before="140" w:after="0"/>
              <w:jc w:val="center"/>
              <w:rPr>
                <w:rFonts w:ascii="Aptos" w:hAnsi="Aptos"/>
                <w:color w:val="000000"/>
                <w:sz w:val="18"/>
              </w:rPr>
            </w:pPr>
            <w:r w:rsidRPr="008D3AE6">
              <w:rPr>
                <w:rFonts w:ascii="Aptos" w:hAnsi="Aptos"/>
                <w:color w:val="000000"/>
                <w:sz w:val="18"/>
              </w:rPr>
              <w:t>3</w:t>
            </w:r>
          </w:p>
        </w:tc>
        <w:tc>
          <w:tcPr>
            <w:tcW w:w="2376" w:type="dxa"/>
            <w:shd w:val="clear" w:color="auto" w:fill="E7EFF7"/>
            <w:vAlign w:val="center"/>
          </w:tcPr>
          <w:p w14:paraId="4CCB7ABB" w14:textId="570A4717" w:rsidR="008D3AE6" w:rsidRPr="008D3AE6" w:rsidRDefault="008D3AE6" w:rsidP="008D3AE6">
            <w:pPr>
              <w:spacing w:before="140" w:after="0"/>
              <w:rPr>
                <w:rFonts w:ascii="Aptos" w:hAnsi="Aptos"/>
                <w:b/>
                <w:color w:val="000000"/>
                <w:sz w:val="18"/>
              </w:rPr>
            </w:pPr>
            <w:r w:rsidRPr="008D3AE6">
              <w:rPr>
                <w:rFonts w:ascii="Aptos" w:hAnsi="Aptos"/>
                <w:b/>
                <w:color w:val="000000"/>
                <w:sz w:val="18"/>
              </w:rPr>
              <w:t>Vendor and request grouping logic</w:t>
            </w:r>
          </w:p>
        </w:tc>
        <w:tc>
          <w:tcPr>
            <w:tcW w:w="6192" w:type="dxa"/>
            <w:shd w:val="clear" w:color="auto" w:fill="E7EFF7"/>
            <w:vAlign w:val="center"/>
          </w:tcPr>
          <w:p w14:paraId="3530269D" w14:textId="4056171F" w:rsidR="008D3AE6" w:rsidRPr="008D3AE6" w:rsidRDefault="008D3AE6" w:rsidP="008D3AE6">
            <w:pPr>
              <w:spacing w:before="140" w:after="0"/>
              <w:rPr>
                <w:rFonts w:ascii="Aptos" w:hAnsi="Aptos"/>
                <w:color w:val="000000"/>
                <w:sz w:val="18"/>
              </w:rPr>
            </w:pPr>
            <w:r w:rsidRPr="008D3AE6">
              <w:rPr>
                <w:rFonts w:ascii="Aptos" w:hAnsi="Aptos"/>
                <w:color w:val="000000"/>
                <w:sz w:val="18"/>
              </w:rPr>
              <w:t>Group eligible journal lines by vendor and ACH No., prevent duplicate remittance advice output, and retain report filters.</w:t>
            </w:r>
          </w:p>
        </w:tc>
        <w:tc>
          <w:tcPr>
            <w:tcW w:w="936" w:type="dxa"/>
            <w:shd w:val="clear" w:color="auto" w:fill="E7EFF7"/>
            <w:vAlign w:val="center"/>
          </w:tcPr>
          <w:p w14:paraId="134614E1" w14:textId="41C1CAF7" w:rsidR="008D3AE6" w:rsidRPr="008D3AE6" w:rsidRDefault="008D3AE6" w:rsidP="008D3AE6">
            <w:pPr>
              <w:spacing w:before="140" w:after="0"/>
              <w:jc w:val="center"/>
              <w:rPr>
                <w:rFonts w:ascii="Aptos" w:hAnsi="Aptos"/>
                <w:b/>
                <w:color w:val="000000"/>
                <w:sz w:val="18"/>
              </w:rPr>
            </w:pPr>
            <w:r w:rsidRPr="008D3AE6">
              <w:rPr>
                <w:rFonts w:ascii="Aptos" w:hAnsi="Aptos"/>
                <w:b/>
                <w:color w:val="000000"/>
                <w:sz w:val="18"/>
              </w:rPr>
              <w:t>2.50</w:t>
            </w:r>
          </w:p>
        </w:tc>
      </w:tr>
      <w:tr w:rsidR="008D3AE6" w14:paraId="577422F5" w14:textId="77777777" w:rsidTr="008D3AE6">
        <w:tc>
          <w:tcPr>
            <w:tcW w:w="504" w:type="dxa"/>
            <w:tcBorders>
              <w:bottom w:val="single" w:sz="4" w:space="0" w:color="D9D9D9"/>
            </w:tcBorders>
            <w:vAlign w:val="center"/>
          </w:tcPr>
          <w:p w14:paraId="283932B1" w14:textId="4294433E" w:rsidR="008D3AE6" w:rsidRPr="008D3AE6" w:rsidRDefault="008D3AE6" w:rsidP="008D3AE6">
            <w:pPr>
              <w:spacing w:before="140" w:after="0"/>
              <w:jc w:val="center"/>
              <w:rPr>
                <w:rFonts w:ascii="Aptos" w:hAnsi="Aptos"/>
                <w:color w:val="000000"/>
                <w:sz w:val="18"/>
              </w:rPr>
            </w:pPr>
            <w:r w:rsidRPr="008D3AE6">
              <w:rPr>
                <w:rFonts w:ascii="Aptos" w:hAnsi="Aptos"/>
                <w:color w:val="000000"/>
                <w:sz w:val="18"/>
              </w:rPr>
              <w:t>4</w:t>
            </w:r>
          </w:p>
        </w:tc>
        <w:tc>
          <w:tcPr>
            <w:tcW w:w="2376" w:type="dxa"/>
            <w:tcBorders>
              <w:bottom w:val="single" w:sz="4" w:space="0" w:color="D9D9D9"/>
            </w:tcBorders>
            <w:vAlign w:val="center"/>
          </w:tcPr>
          <w:p w14:paraId="355A6F9E" w14:textId="4CE46F60" w:rsidR="008D3AE6" w:rsidRPr="008D3AE6" w:rsidRDefault="008D3AE6" w:rsidP="008D3AE6">
            <w:pPr>
              <w:spacing w:before="140" w:after="0"/>
              <w:rPr>
                <w:rFonts w:ascii="Aptos" w:hAnsi="Aptos"/>
                <w:b/>
                <w:color w:val="000000"/>
                <w:sz w:val="18"/>
              </w:rPr>
            </w:pPr>
            <w:r w:rsidRPr="008D3AE6">
              <w:rPr>
                <w:rFonts w:ascii="Aptos" w:hAnsi="Aptos"/>
                <w:b/>
                <w:color w:val="000000"/>
                <w:sz w:val="18"/>
              </w:rPr>
              <w:t>Detail line and total calculation</w:t>
            </w:r>
          </w:p>
        </w:tc>
        <w:tc>
          <w:tcPr>
            <w:tcW w:w="6192" w:type="dxa"/>
            <w:tcBorders>
              <w:bottom w:val="single" w:sz="4" w:space="0" w:color="D9D9D9"/>
            </w:tcBorders>
            <w:vAlign w:val="center"/>
          </w:tcPr>
          <w:p w14:paraId="6978DD88" w14:textId="72918525" w:rsidR="008D3AE6" w:rsidRPr="008D3AE6" w:rsidRDefault="008D3AE6" w:rsidP="008D3AE6">
            <w:pPr>
              <w:spacing w:before="140" w:after="0"/>
              <w:rPr>
                <w:rFonts w:ascii="Aptos" w:hAnsi="Aptos"/>
                <w:color w:val="000000"/>
                <w:sz w:val="18"/>
              </w:rPr>
            </w:pPr>
            <w:r w:rsidRPr="008D3AE6">
              <w:rPr>
                <w:rFonts w:ascii="Aptos" w:hAnsi="Aptos"/>
                <w:color w:val="000000"/>
                <w:sz w:val="18"/>
              </w:rPr>
              <w:t>Collect every qualifying entry, print each document line, and calculate amount paid, discount, and deposit total consistently.</w:t>
            </w:r>
          </w:p>
        </w:tc>
        <w:tc>
          <w:tcPr>
            <w:tcW w:w="936" w:type="dxa"/>
            <w:tcBorders>
              <w:bottom w:val="single" w:sz="4" w:space="0" w:color="D9D9D9"/>
            </w:tcBorders>
            <w:vAlign w:val="center"/>
          </w:tcPr>
          <w:p w14:paraId="5CD7A224" w14:textId="53ADE363" w:rsidR="008D3AE6" w:rsidRPr="008D3AE6" w:rsidRDefault="008D3AE6" w:rsidP="008D3AE6">
            <w:pPr>
              <w:spacing w:before="140" w:after="0"/>
              <w:jc w:val="center"/>
              <w:rPr>
                <w:rFonts w:ascii="Aptos" w:hAnsi="Aptos"/>
                <w:b/>
                <w:color w:val="000000"/>
                <w:sz w:val="18"/>
              </w:rPr>
            </w:pPr>
            <w:r w:rsidRPr="008D3AE6">
              <w:rPr>
                <w:rFonts w:ascii="Aptos" w:hAnsi="Aptos"/>
                <w:b/>
                <w:color w:val="000000"/>
                <w:sz w:val="18"/>
              </w:rPr>
              <w:t>2.00</w:t>
            </w:r>
          </w:p>
        </w:tc>
      </w:tr>
      <w:tr w:rsidR="008D3AE6" w14:paraId="1664A007" w14:textId="77777777" w:rsidTr="008D3AE6">
        <w:tc>
          <w:tcPr>
            <w:tcW w:w="504" w:type="dxa"/>
            <w:shd w:val="clear" w:color="auto" w:fill="E7EFF7"/>
            <w:vAlign w:val="center"/>
          </w:tcPr>
          <w:p w14:paraId="1D6DEFB7" w14:textId="50F92C0C" w:rsidR="008D3AE6" w:rsidRPr="008D3AE6" w:rsidRDefault="008D3AE6" w:rsidP="008D3AE6">
            <w:pPr>
              <w:spacing w:before="140" w:after="0"/>
              <w:jc w:val="center"/>
              <w:rPr>
                <w:rFonts w:ascii="Aptos" w:hAnsi="Aptos"/>
                <w:color w:val="000000"/>
                <w:sz w:val="18"/>
              </w:rPr>
            </w:pPr>
            <w:r w:rsidRPr="008D3AE6">
              <w:rPr>
                <w:rFonts w:ascii="Aptos" w:hAnsi="Aptos"/>
                <w:color w:val="000000"/>
                <w:sz w:val="18"/>
              </w:rPr>
              <w:t>5</w:t>
            </w:r>
          </w:p>
        </w:tc>
        <w:tc>
          <w:tcPr>
            <w:tcW w:w="2376" w:type="dxa"/>
            <w:shd w:val="clear" w:color="auto" w:fill="E7EFF7"/>
            <w:vAlign w:val="center"/>
          </w:tcPr>
          <w:p w14:paraId="1D9209BD" w14:textId="021BB576" w:rsidR="008D3AE6" w:rsidRPr="008D3AE6" w:rsidRDefault="008D3AE6" w:rsidP="008D3AE6">
            <w:pPr>
              <w:spacing w:before="140" w:after="0"/>
              <w:rPr>
                <w:rFonts w:ascii="Aptos" w:hAnsi="Aptos"/>
                <w:b/>
                <w:color w:val="000000"/>
                <w:sz w:val="18"/>
              </w:rPr>
            </w:pPr>
            <w:r w:rsidRPr="008D3AE6">
              <w:rPr>
                <w:rFonts w:ascii="Aptos" w:hAnsi="Aptos"/>
                <w:b/>
                <w:color w:val="000000"/>
                <w:sz w:val="18"/>
              </w:rPr>
              <w:t>Word layout update</w:t>
            </w:r>
          </w:p>
        </w:tc>
        <w:tc>
          <w:tcPr>
            <w:tcW w:w="6192" w:type="dxa"/>
            <w:shd w:val="clear" w:color="auto" w:fill="E7EFF7"/>
            <w:vAlign w:val="center"/>
          </w:tcPr>
          <w:p w14:paraId="068C4B5D" w14:textId="7C0D0EF6" w:rsidR="008D3AE6" w:rsidRPr="008D3AE6" w:rsidRDefault="008D3AE6" w:rsidP="008D3AE6">
            <w:pPr>
              <w:spacing w:before="140" w:after="0"/>
              <w:rPr>
                <w:rFonts w:ascii="Aptos" w:hAnsi="Aptos"/>
                <w:color w:val="000000"/>
                <w:sz w:val="18"/>
              </w:rPr>
            </w:pPr>
            <w:r w:rsidRPr="008D3AE6">
              <w:rPr>
                <w:rFonts w:ascii="Aptos" w:hAnsi="Aptos"/>
                <w:color w:val="000000"/>
                <w:sz w:val="18"/>
              </w:rPr>
              <w:t>Add Request Number beneath Remittance Advice Number in both original and copy sections while preserving the current design.</w:t>
            </w:r>
          </w:p>
        </w:tc>
        <w:tc>
          <w:tcPr>
            <w:tcW w:w="936" w:type="dxa"/>
            <w:shd w:val="clear" w:color="auto" w:fill="E7EFF7"/>
            <w:vAlign w:val="center"/>
          </w:tcPr>
          <w:p w14:paraId="4F33EF00" w14:textId="1C03DBD2" w:rsidR="008D3AE6" w:rsidRPr="008D3AE6" w:rsidRDefault="008D3AE6" w:rsidP="008D3AE6">
            <w:pPr>
              <w:spacing w:before="140" w:after="0"/>
              <w:jc w:val="center"/>
              <w:rPr>
                <w:rFonts w:ascii="Aptos" w:hAnsi="Aptos"/>
                <w:b/>
                <w:color w:val="000000"/>
                <w:sz w:val="18"/>
              </w:rPr>
            </w:pPr>
            <w:r w:rsidRPr="008D3AE6">
              <w:rPr>
                <w:rFonts w:ascii="Aptos" w:hAnsi="Aptos"/>
                <w:b/>
                <w:color w:val="000000"/>
                <w:sz w:val="18"/>
              </w:rPr>
              <w:t>1.25</w:t>
            </w:r>
          </w:p>
        </w:tc>
      </w:tr>
      <w:tr w:rsidR="008D3AE6" w14:paraId="3C512B0C" w14:textId="77777777" w:rsidTr="008D3AE6">
        <w:tc>
          <w:tcPr>
            <w:tcW w:w="504" w:type="dxa"/>
            <w:tcBorders>
              <w:bottom w:val="single" w:sz="4" w:space="0" w:color="D9D9D9"/>
            </w:tcBorders>
            <w:vAlign w:val="center"/>
          </w:tcPr>
          <w:p w14:paraId="2D5BFBE5" w14:textId="5B14D9C9" w:rsidR="008D3AE6" w:rsidRPr="008D3AE6" w:rsidRDefault="008D3AE6" w:rsidP="008D3AE6">
            <w:pPr>
              <w:spacing w:before="140" w:after="0"/>
              <w:jc w:val="center"/>
              <w:rPr>
                <w:rFonts w:ascii="Aptos" w:hAnsi="Aptos"/>
                <w:color w:val="000000"/>
                <w:sz w:val="18"/>
              </w:rPr>
            </w:pPr>
            <w:r w:rsidRPr="008D3AE6">
              <w:rPr>
                <w:rFonts w:ascii="Aptos" w:hAnsi="Aptos"/>
                <w:color w:val="000000"/>
                <w:sz w:val="18"/>
              </w:rPr>
              <w:t>6</w:t>
            </w:r>
          </w:p>
        </w:tc>
        <w:tc>
          <w:tcPr>
            <w:tcW w:w="2376" w:type="dxa"/>
            <w:tcBorders>
              <w:bottom w:val="single" w:sz="4" w:space="0" w:color="D9D9D9"/>
            </w:tcBorders>
            <w:vAlign w:val="center"/>
          </w:tcPr>
          <w:p w14:paraId="3CDB4161" w14:textId="49F3CD55" w:rsidR="008D3AE6" w:rsidRPr="008D3AE6" w:rsidRDefault="008D3AE6" w:rsidP="008D3AE6">
            <w:pPr>
              <w:spacing w:before="140" w:after="0"/>
              <w:rPr>
                <w:rFonts w:ascii="Aptos" w:hAnsi="Aptos"/>
                <w:b/>
                <w:color w:val="000000"/>
                <w:sz w:val="18"/>
              </w:rPr>
            </w:pPr>
            <w:r w:rsidRPr="008D3AE6">
              <w:rPr>
                <w:rFonts w:ascii="Aptos" w:hAnsi="Aptos"/>
                <w:b/>
                <w:color w:val="000000"/>
                <w:sz w:val="18"/>
              </w:rPr>
              <w:t>Developer testing and corrections</w:t>
            </w:r>
          </w:p>
        </w:tc>
        <w:tc>
          <w:tcPr>
            <w:tcW w:w="6192" w:type="dxa"/>
            <w:tcBorders>
              <w:bottom w:val="single" w:sz="4" w:space="0" w:color="D9D9D9"/>
            </w:tcBorders>
            <w:vAlign w:val="center"/>
          </w:tcPr>
          <w:p w14:paraId="42680120" w14:textId="29192380" w:rsidR="008D3AE6" w:rsidRPr="008D3AE6" w:rsidRDefault="008D3AE6" w:rsidP="008D3AE6">
            <w:pPr>
              <w:spacing w:before="140" w:after="0"/>
              <w:rPr>
                <w:rFonts w:ascii="Aptos" w:hAnsi="Aptos"/>
                <w:color w:val="000000"/>
                <w:sz w:val="18"/>
              </w:rPr>
            </w:pPr>
            <w:r w:rsidRPr="008D3AE6">
              <w:rPr>
                <w:rFonts w:ascii="Aptos" w:hAnsi="Aptos"/>
                <w:color w:val="000000"/>
                <w:sz w:val="18"/>
              </w:rPr>
              <w:t>Validate single entry, multiple entries, different requests, different vendors, discounts, totals, and remittance copy output.</w:t>
            </w:r>
          </w:p>
        </w:tc>
        <w:tc>
          <w:tcPr>
            <w:tcW w:w="936" w:type="dxa"/>
            <w:tcBorders>
              <w:bottom w:val="single" w:sz="4" w:space="0" w:color="D9D9D9"/>
            </w:tcBorders>
            <w:vAlign w:val="center"/>
          </w:tcPr>
          <w:p w14:paraId="2B000F21" w14:textId="4473B560" w:rsidR="008D3AE6" w:rsidRPr="008D3AE6" w:rsidRDefault="008D3AE6" w:rsidP="008D3AE6">
            <w:pPr>
              <w:spacing w:before="140" w:after="0"/>
              <w:jc w:val="center"/>
              <w:rPr>
                <w:rFonts w:ascii="Aptos" w:hAnsi="Aptos"/>
                <w:b/>
                <w:color w:val="000000"/>
                <w:sz w:val="18"/>
              </w:rPr>
            </w:pPr>
            <w:r w:rsidRPr="008D3AE6">
              <w:rPr>
                <w:rFonts w:ascii="Aptos" w:hAnsi="Aptos"/>
                <w:b/>
                <w:color w:val="000000"/>
                <w:sz w:val="18"/>
              </w:rPr>
              <w:t>2.00</w:t>
            </w:r>
          </w:p>
        </w:tc>
      </w:tr>
      <w:tr w:rsidR="008D3AE6" w14:paraId="3D59CFF8" w14:textId="77777777" w:rsidTr="008D3AE6">
        <w:tc>
          <w:tcPr>
            <w:tcW w:w="504" w:type="dxa"/>
            <w:tcBorders>
              <w:bottom w:val="single" w:sz="4" w:space="0" w:color="D9D9D9"/>
            </w:tcBorders>
            <w:shd w:val="clear" w:color="auto" w:fill="E7EFF7"/>
            <w:vAlign w:val="center"/>
          </w:tcPr>
          <w:p w14:paraId="10ED3ED5" w14:textId="2601EF7B" w:rsidR="008D3AE6" w:rsidRPr="008D3AE6" w:rsidRDefault="008D3AE6" w:rsidP="008D3AE6">
            <w:pPr>
              <w:spacing w:before="140" w:after="0"/>
              <w:jc w:val="center"/>
              <w:rPr>
                <w:rFonts w:ascii="Aptos" w:hAnsi="Aptos"/>
                <w:color w:val="000000"/>
                <w:sz w:val="18"/>
              </w:rPr>
            </w:pPr>
            <w:r w:rsidRPr="008D3AE6">
              <w:rPr>
                <w:rFonts w:ascii="Aptos" w:hAnsi="Aptos"/>
                <w:color w:val="000000"/>
                <w:sz w:val="18"/>
              </w:rPr>
              <w:t>7</w:t>
            </w:r>
          </w:p>
        </w:tc>
        <w:tc>
          <w:tcPr>
            <w:tcW w:w="2376" w:type="dxa"/>
            <w:tcBorders>
              <w:bottom w:val="single" w:sz="4" w:space="0" w:color="D9D9D9"/>
            </w:tcBorders>
            <w:shd w:val="clear" w:color="auto" w:fill="E7EFF7"/>
            <w:vAlign w:val="center"/>
          </w:tcPr>
          <w:p w14:paraId="78903230" w14:textId="334CFFBA" w:rsidR="008D3AE6" w:rsidRPr="008D3AE6" w:rsidRDefault="008D3AE6" w:rsidP="008D3AE6">
            <w:pPr>
              <w:spacing w:before="140" w:after="0"/>
              <w:rPr>
                <w:rFonts w:ascii="Aptos" w:hAnsi="Aptos"/>
                <w:b/>
                <w:color w:val="000000"/>
                <w:sz w:val="18"/>
              </w:rPr>
            </w:pPr>
            <w:r w:rsidRPr="008D3AE6">
              <w:rPr>
                <w:rFonts w:ascii="Aptos" w:hAnsi="Aptos"/>
                <w:b/>
                <w:color w:val="000000"/>
                <w:sz w:val="18"/>
              </w:rPr>
              <w:t>Build review and handover</w:t>
            </w:r>
          </w:p>
        </w:tc>
        <w:tc>
          <w:tcPr>
            <w:tcW w:w="6192" w:type="dxa"/>
            <w:tcBorders>
              <w:bottom w:val="single" w:sz="4" w:space="0" w:color="D9D9D9"/>
            </w:tcBorders>
            <w:shd w:val="clear" w:color="auto" w:fill="E7EFF7"/>
            <w:vAlign w:val="center"/>
          </w:tcPr>
          <w:p w14:paraId="4EE26036" w14:textId="2BFB4555" w:rsidR="008D3AE6" w:rsidRPr="008D3AE6" w:rsidRDefault="008D3AE6" w:rsidP="008D3AE6">
            <w:pPr>
              <w:spacing w:before="140" w:after="0"/>
              <w:rPr>
                <w:rFonts w:ascii="Aptos" w:hAnsi="Aptos"/>
                <w:color w:val="000000"/>
                <w:sz w:val="18"/>
              </w:rPr>
            </w:pPr>
            <w:r w:rsidRPr="008D3AE6">
              <w:rPr>
                <w:rFonts w:ascii="Aptos" w:hAnsi="Aptos"/>
                <w:color w:val="000000"/>
                <w:sz w:val="18"/>
              </w:rPr>
              <w:t>Compile verification, final source review, and concise deployment and validation notes.</w:t>
            </w:r>
          </w:p>
        </w:tc>
        <w:tc>
          <w:tcPr>
            <w:tcW w:w="936" w:type="dxa"/>
            <w:tcBorders>
              <w:bottom w:val="single" w:sz="4" w:space="0" w:color="D9D9D9"/>
            </w:tcBorders>
            <w:shd w:val="clear" w:color="auto" w:fill="E7EFF7"/>
            <w:vAlign w:val="center"/>
          </w:tcPr>
          <w:p w14:paraId="5D91CC5C" w14:textId="619FA1A6" w:rsidR="008D3AE6" w:rsidRPr="008D3AE6" w:rsidRDefault="008D3AE6" w:rsidP="008D3AE6">
            <w:pPr>
              <w:spacing w:before="140" w:after="0"/>
              <w:jc w:val="center"/>
              <w:rPr>
                <w:rFonts w:ascii="Aptos" w:hAnsi="Aptos"/>
                <w:b/>
                <w:color w:val="000000"/>
                <w:sz w:val="18"/>
              </w:rPr>
            </w:pPr>
            <w:r w:rsidRPr="008D3AE6">
              <w:rPr>
                <w:rFonts w:ascii="Aptos" w:hAnsi="Aptos"/>
                <w:b/>
                <w:color w:val="000000"/>
                <w:sz w:val="18"/>
              </w:rPr>
              <w:t>0.50</w:t>
            </w:r>
          </w:p>
        </w:tc>
      </w:tr>
      <w:tr w:rsidR="008D3AE6" w14:paraId="2585822C" w14:textId="77777777" w:rsidTr="008D3AE6">
        <w:tc>
          <w:tcPr>
            <w:tcW w:w="9072" w:type="dxa"/>
            <w:gridSpan w:val="3"/>
            <w:shd w:val="clear" w:color="auto" w:fill="EDEDED"/>
            <w:vAlign w:val="center"/>
          </w:tcPr>
          <w:p w14:paraId="4E0D2D20" w14:textId="271E047D" w:rsidR="008D3AE6" w:rsidRPr="008D3AE6" w:rsidRDefault="008D3AE6" w:rsidP="008D3AE6">
            <w:pPr>
              <w:spacing w:before="140" w:after="0"/>
              <w:jc w:val="right"/>
              <w:rPr>
                <w:rFonts w:ascii="Aptos" w:hAnsi="Aptos"/>
                <w:b/>
                <w:color w:val="000000"/>
                <w:sz w:val="20"/>
              </w:rPr>
            </w:pPr>
            <w:r w:rsidRPr="008D3AE6">
              <w:rPr>
                <w:rFonts w:ascii="Aptos" w:hAnsi="Aptos"/>
                <w:b/>
                <w:color w:val="000000"/>
                <w:sz w:val="20"/>
              </w:rPr>
              <w:t>Total planned effort</w:t>
            </w:r>
          </w:p>
        </w:tc>
        <w:tc>
          <w:tcPr>
            <w:tcW w:w="936" w:type="dxa"/>
            <w:shd w:val="clear" w:color="auto" w:fill="EDEDED"/>
            <w:vAlign w:val="center"/>
          </w:tcPr>
          <w:p w14:paraId="6A8904AE" w14:textId="459EF5FE" w:rsidR="008D3AE6" w:rsidRPr="008D3AE6" w:rsidRDefault="008D3AE6" w:rsidP="008D3AE6">
            <w:pPr>
              <w:spacing w:before="140" w:after="0"/>
              <w:jc w:val="center"/>
              <w:rPr>
                <w:rFonts w:ascii="Aptos" w:hAnsi="Aptos"/>
                <w:b/>
                <w:color w:val="000000"/>
                <w:sz w:val="20"/>
              </w:rPr>
            </w:pPr>
            <w:r w:rsidRPr="008D3AE6">
              <w:rPr>
                <w:rFonts w:ascii="Aptos" w:hAnsi="Aptos"/>
                <w:b/>
                <w:color w:val="000000"/>
                <w:sz w:val="20"/>
              </w:rPr>
              <w:t>10.00</w:t>
            </w:r>
          </w:p>
        </w:tc>
      </w:tr>
    </w:tbl>
    <w:p w14:paraId="3AA7F2D7" w14:textId="77777777" w:rsidR="008D3AE6" w:rsidRDefault="008D3AE6" w:rsidP="008D3AE6">
      <w:pPr>
        <w:spacing w:before="140" w:after="80"/>
        <w:rPr>
          <w:rFonts w:ascii="Aptos" w:hAnsi="Aptos"/>
          <w:b/>
          <w:color w:val="000000"/>
          <w:sz w:val="26"/>
        </w:rPr>
      </w:pPr>
    </w:p>
    <w:p w14:paraId="5B96C239" w14:textId="41A5E5BD" w:rsidR="008D3AE6" w:rsidRDefault="008D3AE6" w:rsidP="008D3AE6">
      <w:pPr>
        <w:spacing w:before="140" w:after="60"/>
        <w:rPr>
          <w:rFonts w:ascii="Aptos" w:hAnsi="Aptos"/>
          <w:b/>
          <w:color w:val="000000"/>
          <w:sz w:val="26"/>
        </w:rPr>
      </w:pPr>
      <w:r>
        <w:rPr>
          <w:rFonts w:ascii="Aptos" w:hAnsi="Aptos"/>
          <w:b/>
          <w:color w:val="000000"/>
          <w:sz w:val="26"/>
        </w:rPr>
        <w:t>Assumptions</w:t>
      </w:r>
    </w:p>
    <w:p w14:paraId="77395A4C" w14:textId="6E4A07CC" w:rsidR="008D3AE6" w:rsidRDefault="008D3AE6" w:rsidP="008D3AE6">
      <w:pPr>
        <w:spacing w:after="20"/>
        <w:rPr>
          <w:rFonts w:ascii="Aptos" w:hAnsi="Aptos"/>
          <w:color w:val="000000"/>
          <w:sz w:val="18"/>
        </w:rPr>
      </w:pPr>
      <w:r>
        <w:rPr>
          <w:rFonts w:ascii="Aptos" w:hAnsi="Aptos"/>
          <w:color w:val="000000"/>
          <w:sz w:val="18"/>
        </w:rPr>
        <w:t>- The ACH No. field already exists on Gen. Journal Line and contains the Request Number.</w:t>
      </w:r>
    </w:p>
    <w:p w14:paraId="68DAE3B5" w14:textId="305E729E" w:rsidR="008D3AE6" w:rsidRDefault="008D3AE6" w:rsidP="008D3AE6">
      <w:pPr>
        <w:spacing w:after="20"/>
        <w:rPr>
          <w:rFonts w:ascii="Aptos" w:hAnsi="Aptos"/>
          <w:color w:val="000000"/>
          <w:sz w:val="18"/>
        </w:rPr>
      </w:pPr>
      <w:r>
        <w:rPr>
          <w:rFonts w:ascii="Aptos" w:hAnsi="Aptos"/>
          <w:color w:val="000000"/>
          <w:sz w:val="18"/>
        </w:rPr>
        <w:t>- Entries are grouped only when both vendor and Request Number match; unrelated requests remain separate.</w:t>
      </w:r>
    </w:p>
    <w:p w14:paraId="23F05744" w14:textId="5650A40B" w:rsidR="008D3AE6" w:rsidRDefault="008D3AE6" w:rsidP="008D3AE6">
      <w:pPr>
        <w:spacing w:after="20"/>
        <w:rPr>
          <w:rFonts w:ascii="Aptos" w:hAnsi="Aptos"/>
          <w:color w:val="000000"/>
          <w:sz w:val="18"/>
        </w:rPr>
      </w:pPr>
      <w:r>
        <w:rPr>
          <w:rFonts w:ascii="Aptos" w:hAnsi="Aptos"/>
          <w:color w:val="000000"/>
          <w:sz w:val="18"/>
        </w:rPr>
        <w:t>- The existing layout is retained except for the Request Number line and repeated detail rows.</w:t>
      </w:r>
    </w:p>
    <w:p w14:paraId="4192E033" w14:textId="3AAFCB56" w:rsidR="008D3AE6" w:rsidRDefault="008D3AE6" w:rsidP="008D3AE6">
      <w:pPr>
        <w:spacing w:after="20"/>
        <w:rPr>
          <w:rFonts w:ascii="Aptos" w:hAnsi="Aptos"/>
          <w:color w:val="000000"/>
          <w:sz w:val="18"/>
        </w:rPr>
      </w:pPr>
      <w:r>
        <w:rPr>
          <w:rFonts w:ascii="Aptos" w:hAnsi="Aptos"/>
          <w:color w:val="000000"/>
          <w:sz w:val="18"/>
        </w:rPr>
        <w:t>- No app.json, launch.json, dependency, unrelated report extension, or table-field change is included.</w:t>
      </w:r>
    </w:p>
    <w:p w14:paraId="155A7A74" w14:textId="4B186FEF" w:rsidR="008D3AE6" w:rsidRDefault="008D3AE6" w:rsidP="008D3AE6">
      <w:pPr>
        <w:spacing w:after="20"/>
        <w:rPr>
          <w:rFonts w:ascii="Aptos" w:hAnsi="Aptos"/>
          <w:color w:val="000000"/>
          <w:sz w:val="18"/>
        </w:rPr>
      </w:pPr>
      <w:r>
        <w:rPr>
          <w:rFonts w:ascii="Aptos" w:hAnsi="Aptos"/>
          <w:color w:val="000000"/>
          <w:sz w:val="18"/>
        </w:rPr>
        <w:t>- Development and developer testing are included; environment delays and extended client UAT are excluded.</w:t>
      </w:r>
    </w:p>
    <w:p w14:paraId="05E777CC" w14:textId="1BEB7832" w:rsidR="008D3AE6" w:rsidRDefault="008D3AE6" w:rsidP="00CB2E60">
      <w:pPr>
        <w:keepNext/>
        <w:pageBreakBefore/>
        <w:spacing w:before="120" w:after="60"/>
        <w:rPr>
          <w:rFonts w:ascii="Aptos" w:hAnsi="Aptos"/>
          <w:b/>
          <w:color w:val="000000"/>
          <w:sz w:val="26"/>
        </w:rPr>
      </w:pPr>
      <w:r>
        <w:rPr>
          <w:rFonts w:ascii="Aptos" w:hAnsi="Aptos"/>
          <w:b/>
          <w:color w:val="000000"/>
          <w:sz w:val="26"/>
        </w:rPr>
        <w:t>Validation scenarios</w:t>
      </w:r>
    </w:p>
    <w:p w14:paraId="3EC6ECE5" w14:textId="707AD7D1" w:rsidR="008D3AE6" w:rsidRDefault="008D3AE6" w:rsidP="008D3AE6">
      <w:pPr>
        <w:spacing w:after="20"/>
        <w:rPr>
          <w:rFonts w:ascii="Aptos" w:hAnsi="Aptos"/>
          <w:color w:val="000000"/>
          <w:sz w:val="18"/>
        </w:rPr>
      </w:pPr>
      <w:r>
        <w:rPr>
          <w:rFonts w:ascii="Aptos" w:hAnsi="Aptos"/>
          <w:color w:val="000000"/>
          <w:sz w:val="18"/>
        </w:rPr>
        <w:lastRenderedPageBreak/>
        <w:t>- Single vendor with one payment entry.</w:t>
      </w:r>
    </w:p>
    <w:p w14:paraId="7806E26C" w14:textId="3B294577" w:rsidR="008D3AE6" w:rsidRDefault="008D3AE6" w:rsidP="008D3AE6">
      <w:pPr>
        <w:spacing w:after="20"/>
        <w:rPr>
          <w:rFonts w:ascii="Aptos" w:hAnsi="Aptos"/>
          <w:color w:val="000000"/>
          <w:sz w:val="18"/>
        </w:rPr>
      </w:pPr>
      <w:r>
        <w:rPr>
          <w:rFonts w:ascii="Aptos" w:hAnsi="Aptos"/>
          <w:color w:val="000000"/>
          <w:sz w:val="18"/>
        </w:rPr>
        <w:t>- Single vendor with multiple entries sharing the same Request Number.</w:t>
      </w:r>
    </w:p>
    <w:p w14:paraId="6A78B958" w14:textId="346B63D3" w:rsidR="008D3AE6" w:rsidRDefault="008D3AE6" w:rsidP="008D3AE6">
      <w:pPr>
        <w:spacing w:after="20"/>
        <w:rPr>
          <w:rFonts w:ascii="Aptos" w:hAnsi="Aptos"/>
          <w:color w:val="000000"/>
          <w:sz w:val="18"/>
        </w:rPr>
      </w:pPr>
      <w:r>
        <w:rPr>
          <w:rFonts w:ascii="Aptos" w:hAnsi="Aptos"/>
          <w:color w:val="000000"/>
          <w:sz w:val="18"/>
        </w:rPr>
        <w:t>- Same vendor with different Request Numbers, producing separate outputs.</w:t>
      </w:r>
    </w:p>
    <w:p w14:paraId="5EB90663" w14:textId="7B36F1CE" w:rsidR="008D3AE6" w:rsidRDefault="008D3AE6" w:rsidP="008D3AE6">
      <w:pPr>
        <w:spacing w:after="20"/>
        <w:rPr>
          <w:rFonts w:ascii="Aptos" w:hAnsi="Aptos"/>
          <w:color w:val="000000"/>
          <w:sz w:val="18"/>
        </w:rPr>
      </w:pPr>
      <w:r>
        <w:rPr>
          <w:rFonts w:ascii="Aptos" w:hAnsi="Aptos"/>
          <w:color w:val="000000"/>
          <w:sz w:val="18"/>
        </w:rPr>
        <w:t>- Different vendors and requests, with no cross-vendor grouping.</w:t>
      </w:r>
    </w:p>
    <w:p w14:paraId="1BCC3A80" w14:textId="04ED06A3" w:rsidR="008D3AE6" w:rsidRDefault="008D3AE6" w:rsidP="008D3AE6">
      <w:pPr>
        <w:spacing w:after="20"/>
        <w:rPr>
          <w:rFonts w:ascii="Aptos" w:hAnsi="Aptos"/>
          <w:color w:val="000000"/>
          <w:sz w:val="18"/>
        </w:rPr>
      </w:pPr>
      <w:r>
        <w:rPr>
          <w:rFonts w:ascii="Aptos" w:hAnsi="Aptos"/>
          <w:color w:val="000000"/>
          <w:sz w:val="18"/>
        </w:rPr>
        <w:t>- Correct line amounts, discounts, deposit total, and original plus copy output.</w:t>
      </w:r>
    </w:p>
    <w:p w14:paraId="5002ACF0" w14:textId="11B151FA" w:rsidR="008D3AE6" w:rsidRDefault="008D3AE6" w:rsidP="008D3AE6">
      <w:pPr>
        <w:spacing w:before="120" w:after="60"/>
        <w:rPr>
          <w:rFonts w:ascii="Aptos" w:hAnsi="Aptos"/>
          <w:b/>
          <w:color w:val="000000"/>
          <w:sz w:val="26"/>
        </w:rPr>
      </w:pPr>
      <w:r>
        <w:rPr>
          <w:rFonts w:ascii="Aptos" w:hAnsi="Aptos"/>
          <w:b/>
          <w:color w:val="000000"/>
          <w:sz w:val="26"/>
        </w:rPr>
        <w:t>Estimate conclusion</w:t>
      </w:r>
    </w:p>
    <w:p w14:paraId="29487F28" w14:textId="5D42E21E" w:rsidR="008D3AE6" w:rsidRDefault="008D3AE6" w:rsidP="008D3AE6">
      <w:pPr>
        <w:spacing w:after="0"/>
        <w:rPr>
          <w:rFonts w:ascii="Aptos" w:hAnsi="Aptos"/>
          <w:color w:val="000000"/>
          <w:sz w:val="20"/>
        </w:rPr>
      </w:pPr>
      <w:r>
        <w:rPr>
          <w:rFonts w:ascii="Aptos" w:hAnsi="Aptos"/>
          <w:color w:val="000000"/>
          <w:sz w:val="20"/>
        </w:rPr>
        <w:t>The recommended commitment is 10 hours. This focused estimate includes enough validation to protect grouping and financial totals without overstating the work.</w:t>
      </w:r>
    </w:p>
    <w:p w14:paraId="3F30A850" w14:textId="77777777" w:rsidR="008D3AE6" w:rsidRPr="008D3AE6" w:rsidRDefault="008D3AE6" w:rsidP="008D3AE6">
      <w:pPr>
        <w:spacing w:after="0"/>
        <w:rPr>
          <w:rFonts w:ascii="Aptos" w:hAnsi="Aptos"/>
          <w:color w:val="000000"/>
          <w:sz w:val="20"/>
        </w:rPr>
      </w:pPr>
    </w:p>
    <w:sectPr w:rsidR="008D3AE6" w:rsidRPr="008D3AE6" w:rsidSect="008D3AE6">
      <w:headerReference w:type="even" r:id="rId6"/>
      <w:headerReference w:type="default" r:id="rId7"/>
      <w:footerReference w:type="even" r:id="rId8"/>
      <w:footerReference w:type="default" r:id="rId9"/>
      <w:headerReference w:type="first" r:id="rId10"/>
      <w:footerReference w:type="first" r:id="rId11"/>
      <w:pgSz w:w="12240" w:h="15840"/>
      <w:pgMar w:top="936" w:right="1008" w:bottom="936" w:left="100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8397" w14:textId="77777777" w:rsidR="001072A7" w:rsidRDefault="001072A7" w:rsidP="008D3AE6">
      <w:pPr>
        <w:spacing w:after="0" w:line="240" w:lineRule="auto"/>
      </w:pPr>
      <w:r>
        <w:separator/>
      </w:r>
    </w:p>
  </w:endnote>
  <w:endnote w:type="continuationSeparator" w:id="0">
    <w:p w14:paraId="1E88C748" w14:textId="77777777" w:rsidR="001072A7" w:rsidRDefault="001072A7" w:rsidP="008D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E56B" w14:textId="77777777" w:rsidR="008D3AE6" w:rsidRDefault="008D3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92E9" w14:textId="324056D9" w:rsidR="008D3AE6" w:rsidRPr="008D3AE6" w:rsidRDefault="008D3AE6" w:rsidP="008D3AE6">
    <w:pPr>
      <w:pStyle w:val="Footer"/>
      <w:jc w:val="center"/>
      <w:rPr>
        <w:rFonts w:ascii="Aptos" w:hAnsi="Aptos"/>
        <w:color w:val="808080"/>
        <w:sz w:val="16"/>
      </w:rPr>
    </w:pPr>
    <w:r w:rsidRPr="008D3AE6">
      <w:rPr>
        <w:rFonts w:ascii="Aptos" w:hAnsi="Aptos"/>
        <w:color w:val="808080"/>
        <w:sz w:val="16"/>
      </w:rPr>
      <w:t>BBN-11383  Remittance Advice Enhancement  Time Estimate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8934" w14:textId="77777777" w:rsidR="008D3AE6" w:rsidRDefault="008D3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0EED7" w14:textId="77777777" w:rsidR="001072A7" w:rsidRDefault="001072A7" w:rsidP="008D3AE6">
      <w:pPr>
        <w:spacing w:after="0" w:line="240" w:lineRule="auto"/>
      </w:pPr>
      <w:r>
        <w:separator/>
      </w:r>
    </w:p>
  </w:footnote>
  <w:footnote w:type="continuationSeparator" w:id="0">
    <w:p w14:paraId="207341CF" w14:textId="77777777" w:rsidR="001072A7" w:rsidRDefault="001072A7" w:rsidP="008D3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F94D" w14:textId="77777777" w:rsidR="008D3AE6" w:rsidRDefault="008D3A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0238" w14:textId="77777777" w:rsidR="008D3AE6" w:rsidRDefault="008D3A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8C71" w14:textId="77777777" w:rsidR="008D3AE6" w:rsidRDefault="008D3A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E6"/>
    <w:rsid w:val="000F7316"/>
    <w:rsid w:val="000F7F74"/>
    <w:rsid w:val="001072A7"/>
    <w:rsid w:val="00447AE6"/>
    <w:rsid w:val="00452FE9"/>
    <w:rsid w:val="00497D15"/>
    <w:rsid w:val="00816C53"/>
    <w:rsid w:val="008C01CA"/>
    <w:rsid w:val="008D3AE6"/>
    <w:rsid w:val="00A60162"/>
    <w:rsid w:val="00BD7B1D"/>
    <w:rsid w:val="00CB2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C609"/>
  <w15:chartTrackingRefBased/>
  <w15:docId w15:val="{16E9F301-5395-4C4B-8162-FE0D3BA5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AE6"/>
    <w:rPr>
      <w:rFonts w:eastAsiaTheme="majorEastAsia" w:cstheme="majorBidi"/>
      <w:color w:val="272727" w:themeColor="text1" w:themeTint="D8"/>
    </w:rPr>
  </w:style>
  <w:style w:type="paragraph" w:styleId="Title">
    <w:name w:val="Title"/>
    <w:basedOn w:val="Normal"/>
    <w:next w:val="Normal"/>
    <w:link w:val="TitleChar"/>
    <w:uiPriority w:val="10"/>
    <w:qFormat/>
    <w:rsid w:val="008D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AE6"/>
    <w:pPr>
      <w:spacing w:before="160"/>
      <w:jc w:val="center"/>
    </w:pPr>
    <w:rPr>
      <w:i/>
      <w:iCs/>
      <w:color w:val="404040" w:themeColor="text1" w:themeTint="BF"/>
    </w:rPr>
  </w:style>
  <w:style w:type="character" w:customStyle="1" w:styleId="QuoteChar">
    <w:name w:val="Quote Char"/>
    <w:basedOn w:val="DefaultParagraphFont"/>
    <w:link w:val="Quote"/>
    <w:uiPriority w:val="29"/>
    <w:rsid w:val="008D3AE6"/>
    <w:rPr>
      <w:i/>
      <w:iCs/>
      <w:color w:val="404040" w:themeColor="text1" w:themeTint="BF"/>
    </w:rPr>
  </w:style>
  <w:style w:type="paragraph" w:styleId="ListParagraph">
    <w:name w:val="List Paragraph"/>
    <w:basedOn w:val="Normal"/>
    <w:uiPriority w:val="34"/>
    <w:qFormat/>
    <w:rsid w:val="008D3AE6"/>
    <w:pPr>
      <w:ind w:left="720"/>
      <w:contextualSpacing/>
    </w:pPr>
  </w:style>
  <w:style w:type="character" w:styleId="IntenseEmphasis">
    <w:name w:val="Intense Emphasis"/>
    <w:basedOn w:val="DefaultParagraphFont"/>
    <w:uiPriority w:val="21"/>
    <w:qFormat/>
    <w:rsid w:val="008D3AE6"/>
    <w:rPr>
      <w:i/>
      <w:iCs/>
      <w:color w:val="0F4761" w:themeColor="accent1" w:themeShade="BF"/>
    </w:rPr>
  </w:style>
  <w:style w:type="paragraph" w:styleId="IntenseQuote">
    <w:name w:val="Intense Quote"/>
    <w:basedOn w:val="Normal"/>
    <w:next w:val="Normal"/>
    <w:link w:val="IntenseQuoteChar"/>
    <w:uiPriority w:val="30"/>
    <w:qFormat/>
    <w:rsid w:val="008D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AE6"/>
    <w:rPr>
      <w:i/>
      <w:iCs/>
      <w:color w:val="0F4761" w:themeColor="accent1" w:themeShade="BF"/>
    </w:rPr>
  </w:style>
  <w:style w:type="character" w:styleId="IntenseReference">
    <w:name w:val="Intense Reference"/>
    <w:basedOn w:val="DefaultParagraphFont"/>
    <w:uiPriority w:val="32"/>
    <w:qFormat/>
    <w:rsid w:val="008D3AE6"/>
    <w:rPr>
      <w:b/>
      <w:bCs/>
      <w:smallCaps/>
      <w:color w:val="0F4761" w:themeColor="accent1" w:themeShade="BF"/>
      <w:spacing w:val="5"/>
    </w:rPr>
  </w:style>
  <w:style w:type="paragraph" w:styleId="Header">
    <w:name w:val="header"/>
    <w:basedOn w:val="Normal"/>
    <w:link w:val="HeaderChar"/>
    <w:uiPriority w:val="99"/>
    <w:unhideWhenUsed/>
    <w:rsid w:val="008D3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3AE6"/>
  </w:style>
  <w:style w:type="paragraph" w:styleId="Footer">
    <w:name w:val="footer"/>
    <w:basedOn w:val="Normal"/>
    <w:link w:val="FooterChar"/>
    <w:uiPriority w:val="99"/>
    <w:unhideWhenUsed/>
    <w:rsid w:val="008D3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3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Harshit Kumar</cp:lastModifiedBy>
  <cp:revision>2</cp:revision>
  <dcterms:created xsi:type="dcterms:W3CDTF">2026-09-18T11:12:00Z</dcterms:created>
  <dcterms:modified xsi:type="dcterms:W3CDTF">2026-09-18T11:13:00Z</dcterms:modified>
</cp:coreProperties>
</file>