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600" w:type="dxa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2728"/>
        <w:gridCol w:w="1396"/>
        <w:gridCol w:w="1861"/>
      </w:tblGrid>
      <w:tr w:rsidR="00731E01" w14:paraId="5FC95DC8" w14:textId="77777777" w:rsidTr="00731E01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82BBA4" w14:textId="77777777" w:rsidR="00731E01" w:rsidRDefault="00731E01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項次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B657299" w14:textId="77777777" w:rsidR="00731E01" w:rsidRDefault="00731E01">
            <w:pPr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內容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EA2043" w14:textId="77777777" w:rsidR="00731E01" w:rsidRDefault="00731E01">
            <w:pPr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負責人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9E48B86" w14:textId="77777777" w:rsidR="00731E01" w:rsidRDefault="00731E01">
            <w:pPr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期  限</w:t>
            </w:r>
          </w:p>
        </w:tc>
      </w:tr>
      <w:tr w:rsidR="00731E01" w14:paraId="48C722C8" w14:textId="77777777" w:rsidTr="00731E01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1FB425" w14:textId="77777777" w:rsidR="00731E01" w:rsidRDefault="00731E01" w:rsidP="00856216">
            <w:pPr>
              <w:numPr>
                <w:ilvl w:val="0"/>
                <w:numId w:val="1"/>
              </w:numPr>
              <w:autoSpaceDN w:val="0"/>
              <w:jc w:val="center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4EDE43" w14:textId="77777777" w:rsidR="00731E01" w:rsidRDefault="00731E01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越南除財/管差異以外，是否還有財/稅差異需求需要另設稅務專用次帳本？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B17C9E" w14:textId="77777777" w:rsidR="00731E01" w:rsidRDefault="00731E01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Roger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068FCA" w14:textId="77777777" w:rsidR="00731E01" w:rsidRDefault="00731E01">
            <w:pPr>
              <w:ind w:left="92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2023/8/20</w:t>
            </w:r>
          </w:p>
        </w:tc>
      </w:tr>
    </w:tbl>
    <w:p w14:paraId="1A8E29CD" w14:textId="77777777" w:rsidR="00731E01" w:rsidRDefault="00731E01" w:rsidP="00731E01">
      <w:pPr>
        <w:rPr>
          <w:rFonts w:ascii="Arial" w:hAnsi="Arial" w:cs="Arial" w:hint="eastAsia"/>
          <w:color w:val="1F497D"/>
          <w:sz w:val="28"/>
          <w:szCs w:val="28"/>
          <w:lang w:eastAsia="zh-TW"/>
        </w:rPr>
      </w:pPr>
    </w:p>
    <w:p w14:paraId="5AE65A77" w14:textId="77777777" w:rsidR="00731E01" w:rsidRDefault="00731E01" w:rsidP="00731E01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1F497D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1F497D"/>
          <w:sz w:val="28"/>
          <w:szCs w:val="28"/>
          <w:lang w:eastAsia="zh-TW"/>
        </w:rPr>
        <w:t>越南雖無財稅差異，但</w:t>
      </w:r>
      <w:r>
        <w:rPr>
          <w:rFonts w:ascii="Arial" w:hAnsi="Arial" w:cs="Arial"/>
          <w:color w:val="1F497D"/>
          <w:sz w:val="28"/>
          <w:szCs w:val="28"/>
          <w:lang w:eastAsia="zh-TW"/>
        </w:rPr>
        <w:t>For</w:t>
      </w:r>
      <w:r>
        <w:rPr>
          <w:rFonts w:ascii="微軟正黑體" w:eastAsia="微軟正黑體" w:hAnsi="微軟正黑體" w:hint="eastAsia"/>
          <w:color w:val="1F497D"/>
          <w:sz w:val="28"/>
          <w:szCs w:val="28"/>
          <w:lang w:eastAsia="zh-TW"/>
        </w:rPr>
        <w:t>稅局查核需要轉換成</w:t>
      </w:r>
      <w:r>
        <w:rPr>
          <w:rFonts w:ascii="Arial" w:hAnsi="Arial" w:cs="Arial"/>
          <w:color w:val="1F497D"/>
          <w:sz w:val="28"/>
          <w:szCs w:val="28"/>
          <w:lang w:eastAsia="zh-TW"/>
        </w:rPr>
        <w:t>VAS(</w:t>
      </w:r>
      <w:r>
        <w:rPr>
          <w:rFonts w:ascii="微軟正黑體" w:eastAsia="微軟正黑體" w:hAnsi="微軟正黑體" w:hint="eastAsia"/>
          <w:color w:val="1F497D"/>
          <w:sz w:val="28"/>
          <w:szCs w:val="28"/>
          <w:lang w:eastAsia="zh-TW"/>
        </w:rPr>
        <w:t>越南會計準則科目</w:t>
      </w:r>
      <w:r>
        <w:rPr>
          <w:rFonts w:ascii="Arial" w:hAnsi="Arial" w:cs="Arial"/>
          <w:color w:val="1F497D"/>
          <w:sz w:val="28"/>
          <w:szCs w:val="28"/>
          <w:lang w:eastAsia="zh-TW"/>
        </w:rPr>
        <w:t>)</w:t>
      </w:r>
    </w:p>
    <w:p w14:paraId="52295B86" w14:textId="77777777" w:rsidR="00731E01" w:rsidRDefault="00731E01" w:rsidP="00731E01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1F497D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1F497D"/>
          <w:sz w:val="28"/>
          <w:szCs w:val="28"/>
          <w:lang w:eastAsia="zh-TW"/>
        </w:rPr>
        <w:t>所以需要</w:t>
      </w:r>
      <w:proofErr w:type="gramStart"/>
      <w:r>
        <w:rPr>
          <w:rFonts w:ascii="微軟正黑體" w:eastAsia="微軟正黑體" w:hAnsi="微軟正黑體" w:hint="eastAsia"/>
          <w:color w:val="1F497D"/>
          <w:sz w:val="28"/>
          <w:szCs w:val="28"/>
          <w:lang w:eastAsia="zh-TW"/>
        </w:rPr>
        <w:t>做完財帳</w:t>
      </w:r>
      <w:proofErr w:type="gramEnd"/>
      <w:r>
        <w:rPr>
          <w:rFonts w:ascii="Wingdings" w:hAnsi="Wingdings"/>
          <w:lang w:eastAsia="zh-TW"/>
        </w:rPr>
        <w:t>è</w:t>
      </w:r>
      <w:r>
        <w:rPr>
          <w:rFonts w:ascii="微軟正黑體" w:eastAsia="微軟正黑體" w:hAnsi="微軟正黑體" w:hint="eastAsia"/>
          <w:color w:val="1F497D"/>
          <w:sz w:val="28"/>
          <w:szCs w:val="28"/>
          <w:lang w:eastAsia="zh-TW"/>
        </w:rPr>
        <w:t>轉換</w:t>
      </w:r>
      <w:proofErr w:type="gramStart"/>
      <w:r>
        <w:rPr>
          <w:rFonts w:ascii="微軟正黑體" w:eastAsia="微軟正黑體" w:hAnsi="微軟正黑體" w:hint="eastAsia"/>
          <w:color w:val="1F497D"/>
          <w:sz w:val="28"/>
          <w:szCs w:val="28"/>
          <w:lang w:eastAsia="zh-TW"/>
        </w:rPr>
        <w:t>成稅帳</w:t>
      </w:r>
      <w:proofErr w:type="gramEnd"/>
      <w:r>
        <w:rPr>
          <w:rFonts w:ascii="Arial" w:hAnsi="Arial" w:cs="Arial"/>
          <w:color w:val="1F497D"/>
          <w:sz w:val="28"/>
          <w:szCs w:val="28"/>
          <w:lang w:eastAsia="zh-TW"/>
        </w:rPr>
        <w:t>(VAS</w:t>
      </w:r>
      <w:r>
        <w:rPr>
          <w:rFonts w:ascii="微軟正黑體" w:eastAsia="微軟正黑體" w:hAnsi="微軟正黑體" w:hint="eastAsia"/>
          <w:color w:val="1F497D"/>
          <w:sz w:val="28"/>
          <w:szCs w:val="28"/>
          <w:lang w:eastAsia="zh-TW"/>
        </w:rPr>
        <w:t>科目</w:t>
      </w:r>
      <w:r>
        <w:rPr>
          <w:rFonts w:ascii="Arial" w:hAnsi="Arial" w:cs="Arial"/>
          <w:color w:val="1F497D"/>
          <w:sz w:val="28"/>
          <w:szCs w:val="28"/>
          <w:lang w:eastAsia="zh-TW"/>
        </w:rPr>
        <w:t>)</w:t>
      </w:r>
      <w:r>
        <w:rPr>
          <w:rFonts w:ascii="Wingdings" w:hAnsi="Wingdings"/>
          <w:color w:val="1F497D"/>
          <w:sz w:val="28"/>
          <w:szCs w:val="28"/>
          <w:lang w:eastAsia="zh-TW"/>
        </w:rPr>
        <w:t>è</w:t>
      </w:r>
      <w:r>
        <w:rPr>
          <w:rFonts w:ascii="Arial" w:hAnsi="Arial" w:cs="Arial"/>
          <w:color w:val="1F497D"/>
          <w:sz w:val="28"/>
          <w:szCs w:val="28"/>
          <w:lang w:eastAsia="zh-TW"/>
        </w:rPr>
        <w:t xml:space="preserve">Oracle </w:t>
      </w:r>
      <w:r>
        <w:rPr>
          <w:rFonts w:ascii="微軟正黑體" w:eastAsia="微軟正黑體" w:hAnsi="微軟正黑體" w:hint="eastAsia"/>
          <w:color w:val="1F497D"/>
          <w:sz w:val="28"/>
          <w:szCs w:val="28"/>
          <w:lang w:eastAsia="zh-TW"/>
        </w:rPr>
        <w:t>稅務</w:t>
      </w:r>
      <w:proofErr w:type="gramStart"/>
      <w:r>
        <w:rPr>
          <w:rFonts w:ascii="微軟正黑體" w:eastAsia="微軟正黑體" w:hAnsi="微軟正黑體" w:hint="eastAsia"/>
          <w:color w:val="1F497D"/>
          <w:sz w:val="28"/>
          <w:szCs w:val="28"/>
          <w:lang w:eastAsia="zh-TW"/>
        </w:rPr>
        <w:t>專用次帳是否</w:t>
      </w:r>
      <w:proofErr w:type="gramEnd"/>
      <w:r>
        <w:rPr>
          <w:rFonts w:ascii="微軟正黑體" w:eastAsia="微軟正黑體" w:hAnsi="微軟正黑體" w:hint="eastAsia"/>
          <w:color w:val="1F497D"/>
          <w:sz w:val="28"/>
          <w:szCs w:val="28"/>
          <w:lang w:eastAsia="zh-TW"/>
        </w:rPr>
        <w:t>可以處理</w:t>
      </w:r>
      <w:r>
        <w:rPr>
          <w:rFonts w:ascii="Arial" w:hAnsi="Arial" w:cs="Arial"/>
          <w:color w:val="1F497D"/>
          <w:sz w:val="28"/>
          <w:szCs w:val="28"/>
          <w:lang w:eastAsia="zh-TW"/>
        </w:rPr>
        <w:t>?</w:t>
      </w:r>
    </w:p>
    <w:p w14:paraId="17A90AC9" w14:textId="26F60BE9" w:rsidR="00731E01" w:rsidRDefault="00731E01" w:rsidP="00731E01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1F497D"/>
          <w:sz w:val="28"/>
          <w:szCs w:val="28"/>
          <w:lang w:eastAsia="zh-TW"/>
        </w:rPr>
      </w:pPr>
      <w:r>
        <w:rPr>
          <w:noProof/>
          <w:lang w:eastAsia="zh-TW"/>
        </w:rPr>
        <w:drawing>
          <wp:inline distT="0" distB="0" distL="0" distR="0" wp14:anchorId="791C4B54" wp14:editId="0A3ED174">
            <wp:extent cx="5274310" cy="1939925"/>
            <wp:effectExtent l="0" t="0" r="2540" b="3175"/>
            <wp:docPr id="1161606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7219" w14:textId="77777777" w:rsidR="00731E01" w:rsidRDefault="00731E01" w:rsidP="00731E01">
      <w:pPr>
        <w:rPr>
          <w:rFonts w:ascii="Arial" w:hAnsi="Arial" w:cs="Arial"/>
          <w:color w:val="1F497D"/>
          <w:sz w:val="28"/>
          <w:szCs w:val="28"/>
          <w:lang w:eastAsia="zh-TW"/>
        </w:rPr>
      </w:pPr>
    </w:p>
    <w:p w14:paraId="54317ED9" w14:textId="77777777" w:rsidR="007817B8" w:rsidRDefault="007817B8"/>
    <w:sectPr w:rsidR="007817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BAF"/>
    <w:multiLevelType w:val="hybridMultilevel"/>
    <w:tmpl w:val="BAD4EA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F027F0B"/>
    <w:multiLevelType w:val="hybridMultilevel"/>
    <w:tmpl w:val="1D0843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99174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69218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01"/>
    <w:rsid w:val="00731E01"/>
    <w:rsid w:val="007817B8"/>
    <w:rsid w:val="00B15956"/>
    <w:rsid w:val="00B4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BED6"/>
  <w15:chartTrackingRefBased/>
  <w15:docId w15:val="{E0A2E29B-CE36-46D4-A25B-737F5E60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E01"/>
    <w:rPr>
      <w:rFonts w:ascii="Calibri" w:eastAsia="SimSun" w:hAnsi="Calibri" w:cs="Calibri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E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9D202.5E2FD1A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Web-Pro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AlanHsieh-謝嘉恩</dc:creator>
  <cp:keywords/>
  <dc:description/>
  <cp:lastModifiedBy>AlanHsieh-謝嘉恩</cp:lastModifiedBy>
  <cp:revision>1</cp:revision>
  <dcterms:created xsi:type="dcterms:W3CDTF">2023-08-29T01:05:00Z</dcterms:created>
  <dcterms:modified xsi:type="dcterms:W3CDTF">2023-08-29T01:06:00Z</dcterms:modified>
</cp:coreProperties>
</file>