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jc w:val="center"/>
      </w:pPr>
      <w:r>
        <w:rPr>
          <w:rFonts w:ascii="Calibri" w:cs="Calibri" w:eastAsia="Microsoft YaHei" w:hAnsi="Calibri"/>
          <w:b/>
          <w:bCs/>
          <w:color w:val="1D4F91"/>
          <w:sz w:val="44"/>
          <w:szCs w:val="44"/>
        </w:rPr>
        <w:t xml:space="preserve">沪深300 估值策略 V1.6–V1.9</w:t>
      </w:r>
    </w:p>
    <w:p>
      <w:pPr>
        <w:spacing w:before="200"/>
        <w:jc w:val="center"/>
      </w:pPr>
      <w:r>
        <w:rPr>
          <w:rFonts w:ascii="Calibri" w:cs="Calibri" w:eastAsia="Microsoft YaHei" w:hAnsi="Calibri"/>
          <w:b/>
          <w:bCs/>
          <w:sz w:val="36"/>
          <w:szCs w:val="36"/>
        </w:rPr>
        <w:t xml:space="preserve">全场景压力测试与估值中枢漂移研究</w:t>
      </w:r>
    </w:p>
    <w:p>
      <w:pPr>
        <w:spacing w:before="400"/>
        <w:jc w:val="center"/>
      </w:pPr>
      <w:r>
        <w:rPr>
          <w:rFonts w:ascii="Calibri" w:cs="Calibri" w:eastAsia="Microsoft YaHei" w:hAnsi="Calibri"/>
          <w:color w:val="5A6170"/>
          <w:sz w:val="28"/>
          <w:szCs w:val="28"/>
        </w:rPr>
        <w:t xml:space="preserve">学习笔记 · 对话知识整理</w:t>
      </w:r>
    </w:p>
    <w:p>
      <w:pPr>
        <w:spacing w:before="1600"/>
        <w:jc w:val="center"/>
      </w:pPr>
      <w:r>
        <w:rPr>
          <w:rFonts w:ascii="Calibri" w:cs="Calibri" w:eastAsia="Microsoft YaHei" w:hAnsi="Calibri"/>
          <w:color w:val="5A6170"/>
          <w:sz w:val="22"/>
          <w:szCs w:val="22"/>
        </w:rPr>
        <w:t xml:space="preserve">整理日期：2026-10-14</w:t>
      </w:r>
    </w:p>
    <w:p>
      <w:pPr>
        <w:jc w:val="center"/>
      </w:pPr>
      <w:r>
        <w:rPr>
          <w:rFonts w:ascii="Calibri" w:cs="Calibri" w:eastAsia="Microsoft YaHei" w:hAnsi="Calibri"/>
          <w:color w:val="B8322A"/>
          <w:sz w:val="20"/>
          <w:szCs w:val="20"/>
        </w:rPr>
        <w:t xml:space="preserve">全部数值来自合成（模拟）数据回测，用于理解方向与相对大小，不是对真实市场的预测</w:t>
      </w:r>
    </w:p>
    <w:p>
      <w:r>
        <w:br w:type="page"/>
      </w:r>
    </w:p>
    <w:p>
      <w:pPr>
        <w:spacing w:after="200"/>
      </w:pPr>
      <w:r>
        <w:rPr>
          <w:rFonts w:ascii="Calibri" w:cs="Calibri" w:eastAsia="Microsoft YaHei" w:hAnsi="Calibri"/>
          <w:b/>
          <w:bCs/>
          <w:color w:val="1D4F91"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rPr>
          <w:rFonts w:ascii="Calibri" w:cs="Calibri" w:eastAsia="Microsoft YaHei" w:hAnsi="Calibri"/>
          <w:color w:val="5A6170"/>
          <w:sz w:val="18"/>
          <w:szCs w:val="18"/>
        </w:rPr>
        <w:t xml:space="preserve">（若目录为空：在 Word 中右键目录 →“更新域”，或打开时选择“是”更新。）</w:t>
      </w:r>
    </w:p>
    <w:p>
      <w:pPr>
        <w:pStyle w:val="Heading1"/>
        <w:pageBreakBefore/>
      </w:pPr>
      <w:r>
        <w:rPr>
          <w:rFonts w:ascii="Calibri" w:cs="Calibri" w:eastAsia="Microsoft YaHei" w:hAnsi="Calibri"/>
        </w:rPr>
        <w:t xml:space="preserve">一、如何使用这份笔记</w:t>
      </w:r>
    </w:p>
    <w:p>
      <w:pPr>
        <w:spacing w:after="120" w:line="320"/>
      </w:pPr>
      <w:r>
        <w:rPr>
          <w:rFonts w:ascii="Calibri" w:cs="Calibri" w:eastAsia="Microsoft YaHei" w:hAnsi="Calibri"/>
        </w:rPr>
        <w:t xml:space="preserve">这份笔记把一次完整的研究对话整理成可回看的知识体系，按“概念 → 方法 → 结论 → 优化 → 落地”的顺序组织，每个知识点只出现一次。阅读建议：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先读第二章（基础概念），弄清估值分 V、估值中枢、中枢漂移这三个核心词。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第三章说明“考场”（合成行情）和“评分规则”（回测口径），是理解后面所有数字的前提。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第四章是四版策略的全场景压力测试结论；第五至七章是围绕“中枢漂移”的逐层深入研究。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第八章汇总可落地的建议、被否定的想法和研究局限；附录是代码文件索引与参考文献。</w:t>
      </w:r>
    </w:p>
    <w:p>
      <w:pPr>
        <w:pBdr>
          <w:left w:val="single" w:color="1D4F91" w:sz="18" w:space="6"/>
        </w:pBdr>
        <w:shd w:fill="EEF3FA" w:color="auto" w:val="clear"/>
        <w:spacing w:after="160" w:before="120" w:line="320"/>
        <w:ind w:left="120" w:right="120"/>
      </w:pPr>
      <w:r>
        <w:rPr>
          <w:rFonts w:ascii="Calibri" w:cs="Calibri" w:eastAsia="Microsoft YaHei" w:hAnsi="Calibri"/>
          <w:b/>
          <w:bCs/>
          <w:color w:val="B8322A"/>
        </w:rPr>
        <w:t xml:space="preserve">提醒　</w:t>
      </w:r>
      <w:r>
        <w:rPr>
          <w:rFonts w:ascii="Calibri" w:cs="Calibri" w:eastAsia="Microsoft YaHei" w:hAnsi="Calibri"/>
        </w:rPr>
        <w:t xml:space="preserve">所有结论都来自合成数据。合成数据能做大量受控实验（成百上千条路径、已知真实中枢），但模型假设决定了结论的适用范围。启用任何调整前，应先在 2014–2026 年真实历史数据上逐笔复核关键时点。</w:t>
      </w:r>
    </w:p>
    <w:p>
      <w:pPr>
        <w:pStyle w:val="Heading1"/>
        <w:pageBreakBefore/>
      </w:pPr>
      <w:r>
        <w:rPr>
          <w:rFonts w:ascii="Calibri" w:cs="Calibri" w:eastAsia="Microsoft YaHei" w:hAnsi="Calibri"/>
        </w:rPr>
        <w:t xml:space="preserve">二、基础概念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2.1 四版策略的共同框架</w:t>
      </w:r>
    </w:p>
    <w:p>
      <w:pPr>
        <w:spacing w:after="120" w:line="320"/>
      </w:pPr>
      <w:r>
        <w:rPr>
          <w:rFonts w:ascii="Calibri" w:cs="Calibri" w:eastAsia="Microsoft YaHei" w:hAnsi="Calibri"/>
        </w:rPr>
        <w:t xml:space="preserve">标的是沪深300 场外指数基金。账户由两部分组成：基金市值 H 和资金池现金 C（止盈卖出所得，不计收益），持仓占比 p = H / (H + C)。每天用前一交易日收盘数据计算指标，当日按净值成交。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88"/>
        <w:gridCol w:w="7650"/>
      </w:tblGrid>
      <w:tr>
        <w:trPr>
          <w:tblHeader/>
        </w:trPr>
        <w:tc>
          <w:tcPr>
            <w:tcW w:type="dxa" w:w="1988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tcW w:type="dxa" w:w="7650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规则要点</w:t>
            </w:r>
          </w:p>
        </w:tc>
      </w:tr>
      <w:tr>
        <w:tc>
          <w:tcPr>
            <w:tcW w:type="dxa" w:w="19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估值分 V</w:t>
            </w:r>
          </w:p>
        </w:tc>
        <w:tc>
          <w:tcPr>
            <w:tcW w:type="dxa" w:w="7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0~100，越高越贵。由 4 项指标的历史分位平均而成：盈利收益率（ROE 5 年均值 / PB）、1/PB、股息率、股债利差（盈利收益率 − 10 年国债），每项取 5 年与 10 年窗口分位的平均</w:t>
            </w:r>
          </w:p>
        </w:tc>
      </w:tr>
      <w:tr>
        <w:tc>
          <w:tcPr>
            <w:tcW w:type="dxa" w:w="19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止盈</w:t>
            </w:r>
          </w:p>
        </w:tc>
        <w:tc>
          <w:tcPr>
            <w:tcW w:type="dxa" w:w="7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V 进入高估区（V&gt;70 或本轮最高 V&gt;70）时，把持仓降到目标仓位；底仓 20% 永不卖出；只卖持有 ≥30 天的份额（先进先出）</w:t>
            </w:r>
          </w:p>
        </w:tc>
      </w:tr>
      <w:tr>
        <w:tc>
          <w:tcPr>
            <w:tcW w:type="dxa" w:w="19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回投</w:t>
            </w:r>
          </w:p>
        </w:tc>
        <w:tc>
          <w:tcPr>
            <w:tcW w:type="dxa" w:w="7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V&lt;50 时用资金池买回，目标仓位随 V 降低而提高（V=30 时 100%）</w:t>
            </w:r>
          </w:p>
        </w:tc>
      </w:tr>
      <w:tr>
        <w:tc>
          <w:tcPr>
            <w:tcW w:type="dxa" w:w="19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定投</w:t>
            </w:r>
          </w:p>
        </w:tc>
        <w:tc>
          <w:tcPr>
            <w:tcW w:type="dxa" w:w="7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每日外部入金 = 300 × x^2.5（x = (70 − V)/70），V&lt;15 时加大额度，每轮加大额累计不超过 5 万元</w:t>
            </w:r>
          </w:p>
        </w:tc>
      </w:tr>
      <w:tr>
        <w:tc>
          <w:tcPr>
            <w:tcW w:type="dxa" w:w="19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交易阈值</w:t>
            </w:r>
          </w:p>
        </w:tc>
        <w:tc>
          <w:tcPr>
            <w:tcW w:type="dxa" w:w="7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持仓偏离目标超过 5 个百分点才交易</w:t>
            </w:r>
          </w:p>
        </w:tc>
      </w:tr>
      <w:tr>
        <w:tc>
          <w:tcPr>
            <w:tcW w:type="dxa" w:w="19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第十节复核（V1.7 起）</w:t>
            </w:r>
          </w:p>
        </w:tc>
        <w:tc>
          <w:tcPr>
            <w:tcW w:type="dxa" w:w="7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止盈后满 3 年 V 未回 50（条件 A），或全收益指数 ≥ 1.3 × 卖出均价且站上 160 日线（条件 B）时触发人工复核；判断中枢上移则用资金池 50% 回补并停止本轮止盈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Microsoft YaHei" w:hAnsi="Calibri"/>
        </w:rPr>
        <w:t xml:space="preserve">2.2 四个版本的差异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68"/>
        <w:gridCol w:w="4672"/>
        <w:gridCol w:w="3798"/>
      </w:tblGrid>
      <w:tr>
        <w:trPr>
          <w:tblHeader/>
        </w:trPr>
        <w:tc>
          <w:tcPr>
            <w:tcW w:type="dxa" w:w="1168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版本</w:t>
            </w:r>
          </w:p>
        </w:tc>
        <w:tc>
          <w:tcPr>
            <w:tcW w:type="dxa" w:w="4672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止盈（何时卖）</w:t>
            </w:r>
          </w:p>
        </w:tc>
        <w:tc>
          <w:tcPr>
            <w:tcW w:type="dxa" w:w="3798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回投（何时买）</w:t>
            </w:r>
          </w:p>
        </w:tc>
      </w:tr>
      <w:tr>
        <w:tc>
          <w:tcPr>
            <w:tcW w:type="dxa" w:w="116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V1.6</w:t>
            </w:r>
          </w:p>
        </w:tc>
        <w:tc>
          <w:tcPr>
            <w:tcW w:type="dxa" w:w="46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趋势分 U（价格是否站上 40/80/160 日线）决定目标：趋势向上时随 V 逐步卖，趋势向下时按本轮最高 V 卖</w:t>
            </w:r>
          </w:p>
        </w:tc>
        <w:tc>
          <w:tcPr>
            <w:tcW w:type="dxa" w:w="379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U 决定目标线：趋势向上用企稳线，趋势向下用更保守的下跌线</w:t>
            </w:r>
          </w:p>
        </w:tc>
      </w:tr>
      <w:tr>
        <w:tc>
          <w:tcPr>
            <w:tcW w:type="dxa" w:w="116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V1.7</w:t>
            </w:r>
          </w:p>
        </w:tc>
        <w:tc>
          <w:tcPr>
            <w:tcW w:type="dxa" w:w="46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周线冲高回落信号 S：周线过热结束后的 4 周内，按当日 V 卖</w:t>
            </w:r>
          </w:p>
        </w:tc>
        <w:tc>
          <w:tcPr>
            <w:tcW w:type="dxa" w:w="379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日线超卖信号 B（RSI≤30 或跌破 KC 下轨）当日才回投，统一用企稳线</w:t>
            </w:r>
          </w:p>
        </w:tc>
      </w:tr>
      <w:tr>
        <w:tc>
          <w:tcPr>
            <w:tcW w:type="dxa" w:w="116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V1.8</w:t>
            </w:r>
          </w:p>
        </w:tc>
        <w:tc>
          <w:tcPr>
            <w:tcW w:type="dxa" w:w="46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两段式：前段按 V1.6 管一半、后段按 V1.7 管一半，总目标 G = (a + b) / 2</w:t>
            </w:r>
          </w:p>
        </w:tc>
        <w:tc>
          <w:tcPr>
            <w:tcW w:type="dxa" w:w="379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同 V1.6</w:t>
            </w:r>
          </w:p>
        </w:tc>
      </w:tr>
      <w:tr>
        <w:tc>
          <w:tcPr>
            <w:tcW w:type="dxa" w:w="116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V1.9</w:t>
            </w:r>
          </w:p>
        </w:tc>
        <w:tc>
          <w:tcPr>
            <w:tcW w:type="dxa" w:w="46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同 V1.8</w:t>
            </w:r>
          </w:p>
        </w:tc>
        <w:tc>
          <w:tcPr>
            <w:tcW w:type="dxa" w:w="379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同 V1.7（日线超卖 + 企稳线）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Microsoft YaHei" w:hAnsi="Calibri"/>
        </w:rPr>
        <w:t xml:space="preserve">2.3 核心术语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8"/>
        <w:gridCol w:w="7530"/>
      </w:tblGrid>
      <w:tr>
        <w:trPr>
          <w:tblHeader/>
        </w:trPr>
        <w:tc>
          <w:tcPr>
            <w:tcW w:type="dxa" w:w="2108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术语</w:t>
            </w:r>
          </w:p>
        </w:tc>
        <w:tc>
          <w:tcPr>
            <w:tcW w:type="dxa" w:w="7530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含义</w:t>
            </w:r>
          </w:p>
        </w:tc>
      </w:tr>
      <w:tr>
        <w:tc>
          <w:tcPr>
            <w:tcW w:type="dxa" w:w="21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估值中枢</w:t>
            </w:r>
          </w:p>
        </w:tc>
        <w:tc>
          <w:tcPr>
            <w:tcW w:type="dxa" w:w="75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市场长期认可的“合理估值水平”。本研究中特指 PE 长期围绕波动的中心值。比喻：PE 是被拴着的狗，中枢是木桩</w:t>
            </w:r>
          </w:p>
        </w:tc>
      </w:tr>
      <w:tr>
        <w:tc>
          <w:tcPr>
            <w:tcW w:type="dxa" w:w="21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中枢漂移</w:t>
            </w:r>
          </w:p>
        </w:tc>
        <w:tc>
          <w:tcPr>
            <w:tcW w:type="dxa" w:w="75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木桩本身移动。分三类：缓慢漂移（每年挪 3%–8%）、快速跳变（1–3 个月挪 15%–30%）、成分漂移（行业权重变化导致指数估值中心移动）</w:t>
            </w:r>
          </w:p>
        </w:tc>
      </w:tr>
      <w:tr>
        <w:tc>
          <w:tcPr>
            <w:tcW w:type="dxa" w:w="21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V 的“中心”</w:t>
            </w:r>
          </w:p>
        </w:tc>
        <w:tc>
          <w:tcPr>
            <w:tcW w:type="dxa" w:w="75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V 是排名，天然以 50 为中点；V=50 对应的是“过去 5~10 年的平均估值”，即策略“以为的中枢”。真实中枢与它错开，就是中枢漂移让策略失灵的根源</w:t>
            </w:r>
          </w:p>
        </w:tc>
      </w:tr>
      <w:tr>
        <w:tc>
          <w:tcPr>
            <w:tcW w:type="dxa" w:w="21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假回归陷阱</w:t>
            </w:r>
          </w:p>
        </w:tc>
        <w:tc>
          <w:tcPr>
            <w:tcW w:type="dxa" w:w="75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估值从极端偏离（≥1.5σ）回到中枢 ±0.2σ 内、停留 ≤10 天，随后沿原方向再偏离 ≥1σ。分“上升趋势假回落”和“下降趋势假反弹”</w:t>
            </w:r>
          </w:p>
        </w:tc>
      </w:tr>
      <w:tr>
        <w:tc>
          <w:tcPr>
            <w:tcW w:type="dxa" w:w="21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XIRR</w:t>
            </w:r>
          </w:p>
        </w:tc>
        <w:tc>
          <w:tcPr>
            <w:tcW w:type="dxa" w:w="75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考虑每笔入金时间的年化收益率</w:t>
            </w:r>
          </w:p>
        </w:tc>
      </w:tr>
      <w:tr>
        <w:tc>
          <w:tcPr>
            <w:tcW w:type="dxa" w:w="21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最大回撤</w:t>
            </w:r>
          </w:p>
        </w:tc>
        <w:tc>
          <w:tcPr>
            <w:tcW w:type="dxa" w:w="75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按时间加权净值计算，从高点到低点的最大跌幅</w:t>
            </w:r>
          </w:p>
        </w:tc>
      </w:tr>
      <w:tr>
        <w:tc>
          <w:tcPr>
            <w:tcW w:type="dxa" w:w="21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冲击成本</w:t>
            </w:r>
          </w:p>
        </w:tc>
        <w:tc>
          <w:tcPr>
            <w:tcW w:type="dxa" w:w="75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大额成交推动价格造成的隐性损失，按 成交额 × 0.5 × ATR(10) / 收盘价 计提，波动越大越贵</w:t>
            </w:r>
          </w:p>
        </w:tc>
      </w:tr>
      <w:tr>
        <w:tc>
          <w:tcPr>
            <w:tcW w:type="dxa" w:w="21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股债利差</w:t>
            </w:r>
          </w:p>
        </w:tc>
        <w:tc>
          <w:tcPr>
            <w:tcW w:type="dxa" w:w="75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盈利收益率 − 10 年国债收益率（即“美联储模型”/超额收益率思路）</w:t>
            </w:r>
          </w:p>
        </w:tc>
      </w:tr>
      <w:tr>
        <w:tc>
          <w:tcPr>
            <w:tcW w:type="dxa" w:w="21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隐含风险溢价</w:t>
            </w:r>
          </w:p>
        </w:tc>
        <w:tc>
          <w:tcPr>
            <w:tcW w:type="dxa" w:w="75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股利折现模型反推：股息率 × (1 + g) + g − 10 年国债，g 为盈利增速</w:t>
            </w:r>
          </w:p>
        </w:tc>
      </w:tr>
      <w:tr>
        <w:tc>
          <w:tcPr>
            <w:tcW w:type="dxa" w:w="21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理想 V（oracle）</w:t>
            </w:r>
          </w:p>
        </w:tc>
        <w:tc>
          <w:tcPr>
            <w:tcW w:type="dxa" w:w="75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只在模拟中可得：用真实偏离（log PE − log 真实中枢）计算的分位数，代表“完全知道中枢在哪”时的估值分，用作所有方法的评分标尺与收益上限</w:t>
            </w:r>
          </w:p>
        </w:tc>
      </w:tr>
      <w:tr>
        <w:tc>
          <w:tcPr>
            <w:tcW w:type="dxa" w:w="21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配对比较</w:t>
            </w:r>
          </w:p>
        </w:tc>
        <w:tc>
          <w:tcPr>
            <w:tcW w:type="dxa" w:w="75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不同方案在同一条随机行情（同一随机种子）上比较，差异只来自方案本身，统计效率高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Microsoft YaHei" w:hAnsi="Calibri"/>
        </w:rPr>
        <w:t xml:space="preserve">2.4 估值中枢指的是 PE 还是 V</w:t>
      </w:r>
    </w:p>
    <w:p>
      <w:pPr>
        <w:spacing w:after="120" w:line="320"/>
      </w:pPr>
      <w:r>
        <w:rPr>
          <w:rFonts w:ascii="Calibri" w:cs="Calibri" w:eastAsia="Microsoft YaHei" w:hAnsi="Calibri"/>
          <w:b/>
          <w:bCs/>
        </w:rPr>
        <w:t xml:space="preserve">中枢指估值本身（以 PE 为代表）的长期重心，不是 V。</w:t>
      </w:r>
      <w:r>
        <w:rPr>
          <w:rFonts w:ascii="Calibri" w:cs="Calibri" w:eastAsia="Microsoft YaHei" w:hAnsi="Calibri"/>
        </w:rPr>
        <w:t xml:space="preserve"> 在模拟中，PE 中枢通过恒等式带动 V 的四个原料：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6"/>
        <w:gridCol w:w="2487"/>
        <w:gridCol w:w="4975"/>
      </w:tblGrid>
      <w:tr>
        <w:trPr>
          <w:tblHeader/>
        </w:trPr>
        <w:tc>
          <w:tcPr>
            <w:tcW w:type="dxa" w:w="2176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V 的原料</w:t>
            </w:r>
          </w:p>
        </w:tc>
        <w:tc>
          <w:tcPr>
            <w:tcW w:type="dxa" w:w="2487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与 PE 的关系</w:t>
            </w:r>
          </w:p>
        </w:tc>
        <w:tc>
          <w:tcPr>
            <w:tcW w:type="dxa" w:w="4975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PE 中枢上移 20%（13 → 15.6 倍）时</w:t>
            </w:r>
          </w:p>
        </w:tc>
      </w:tr>
      <w:tr>
        <w:tc>
          <w:tcPr>
            <w:tcW w:type="dxa" w:w="21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盈利收益率 EY</w:t>
            </w:r>
          </w:p>
        </w:tc>
        <w:tc>
          <w:tcPr>
            <w:tcW w:type="dxa" w:w="24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≈ 1 / PE</w:t>
            </w:r>
          </w:p>
        </w:tc>
        <w:tc>
          <w:tcPr>
            <w:tcW w:type="dxa" w:w="497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约 7.7% → 6.4%，下降</w:t>
            </w:r>
          </w:p>
        </w:tc>
      </w:tr>
      <w:tr>
        <w:tc>
          <w:tcPr>
            <w:tcW w:type="dxa" w:w="21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1/PB</w:t>
            </w:r>
          </w:p>
        </w:tc>
        <w:tc>
          <w:tcPr>
            <w:tcW w:type="dxa" w:w="24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PB = PE × ROE</w:t>
            </w:r>
          </w:p>
        </w:tc>
        <w:tc>
          <w:tcPr>
            <w:tcW w:type="dxa" w:w="497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下降（若 ROE 同时抬升，降得更多）</w:t>
            </w:r>
          </w:p>
        </w:tc>
      </w:tr>
      <w:tr>
        <w:tc>
          <w:tcPr>
            <w:tcW w:type="dxa" w:w="21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股息率</w:t>
            </w:r>
          </w:p>
        </w:tc>
        <w:tc>
          <w:tcPr>
            <w:tcW w:type="dxa" w:w="24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= 分红率 / PE</w:t>
            </w:r>
          </w:p>
        </w:tc>
        <w:tc>
          <w:tcPr>
            <w:tcW w:type="dxa" w:w="497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下降</w:t>
            </w:r>
          </w:p>
        </w:tc>
      </w:tr>
      <w:tr>
        <w:tc>
          <w:tcPr>
            <w:tcW w:type="dxa" w:w="21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股债利差</w:t>
            </w:r>
          </w:p>
        </w:tc>
        <w:tc>
          <w:tcPr>
            <w:tcW w:type="dxa" w:w="24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= EY − 国债</w:t>
            </w:r>
          </w:p>
        </w:tc>
        <w:tc>
          <w:tcPr>
            <w:tcW w:type="dxa" w:w="497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下降约 0.6 个百分点（若国债同步下降约 0.7 个百分点会抵消一部分）</w:t>
            </w:r>
          </w:p>
        </w:tc>
      </w:tr>
    </w:tbl>
    <w:p>
      <w:pPr>
        <w:spacing w:after="100"/>
      </w:pPr>
    </w:p>
    <w:p>
      <w:pPr>
        <w:pBdr>
          <w:left w:val="single" w:color="1D4F91" w:sz="18" w:space="6"/>
        </w:pBdr>
        <w:shd w:fill="EEF3FA" w:color="auto" w:val="clear"/>
        <w:spacing w:after="160" w:before="120" w:line="320"/>
        <w:ind w:left="120" w:right="120"/>
      </w:pPr>
      <w:r>
        <w:rPr>
          <w:rFonts w:ascii="Calibri" w:cs="Calibri" w:eastAsia="Microsoft YaHei" w:hAnsi="Calibri"/>
          <w:b/>
          <w:bCs/>
          <w:color w:val="B8322A"/>
        </w:rPr>
        <w:t xml:space="preserve">要点　</w:t>
      </w:r>
      <w:r>
        <w:rPr>
          <w:rFonts w:ascii="Calibri" w:cs="Calibri" w:eastAsia="Microsoft YaHei" w:hAnsi="Calibri"/>
        </w:rPr>
        <w:t xml:space="preserve">中枢漂移是 PE 的真实中心移动了；它在 V 上表现为 V 长期偏向一侧。V 不会告诉你中枢动了，只会让你误以为“一直很贵”或“一直很便宜”。</w:t>
      </w:r>
    </w:p>
    <w:p>
      <w:pPr>
        <w:pStyle w:val="Heading1"/>
        <w:pageBreakBefore/>
      </w:pPr>
      <w:r>
        <w:rPr>
          <w:rFonts w:ascii="Calibri" w:cs="Calibri" w:eastAsia="Microsoft YaHei" w:hAnsi="Calibri"/>
        </w:rPr>
        <w:t xml:space="preserve">三、研究方法：考场与评分规则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3.1 合成行情模型</w:t>
      </w:r>
    </w:p>
    <w:p>
      <w:pPr>
        <w:shd w:fill="F3F4F6" w:color="auto" w:val="clear"/>
        <w:spacing w:after="0" w:before="80" w:line="300"/>
        <w:ind w:left="240" w:right="240"/>
      </w:pPr>
      <w:r>
        <w:rPr>
          <w:rFonts w:ascii="Consolas" w:cs="Consolas" w:eastAsia="Microsoft YaHei" w:hAnsi="Consolas"/>
          <w:sz w:val="20"/>
          <w:szCs w:val="20"/>
        </w:rPr>
        <w:t xml:space="preserve">log PE_t = 中枢 c_t + 偏离 d_t</w:t>
      </w:r>
    </w:p>
    <w:p>
      <w:pPr>
        <w:shd w:fill="F3F4F6" w:color="auto" w:val="clear"/>
        <w:spacing w:after="0" w:before="0" w:line="300"/>
        <w:ind w:left="240" w:right="240"/>
      </w:pPr>
      <w:r>
        <w:rPr>
          <w:rFonts w:ascii="Consolas" w:cs="Consolas" w:eastAsia="Microsoft YaHei" w:hAnsi="Consolas"/>
          <w:sz w:val="20"/>
          <w:szCs w:val="20"/>
        </w:rPr>
        <w:t xml:space="preserve">偏离：均值回归过程，事件脚本（危机、回调、泡沫、假回归、强周期）控制目标与回归速度</w:t>
      </w:r>
    </w:p>
    <w:p>
      <w:pPr>
        <w:shd w:fill="F3F4F6" w:color="auto" w:val="clear"/>
        <w:spacing w:after="0" w:before="0" w:line="300"/>
        <w:ind w:left="240" w:right="240"/>
      </w:pPr>
      <w:r>
        <w:rPr>
          <w:rFonts w:ascii="Consolas" w:cs="Consolas" w:eastAsia="Microsoft YaHei" w:hAnsi="Consolas"/>
          <w:sz w:val="20"/>
          <w:szCs w:val="20"/>
        </w:rPr>
        <w:t xml:space="preserve">价格 = PE × 每股收益；PB = PE × ROE；股息率 = 分红率 / PE</w:t>
      </w:r>
    </w:p>
    <w:p>
      <w:pPr>
        <w:shd w:fill="F3F4F6" w:color="auto" w:val="clear"/>
        <w:spacing w:after="140" w:before="0" w:line="300"/>
        <w:ind w:left="240" w:right="240"/>
      </w:pPr>
      <w:r>
        <w:rPr>
          <w:rFonts w:ascii="Consolas" w:cs="Consolas" w:eastAsia="Microsoft YaHei" w:hAnsi="Consolas"/>
          <w:sz w:val="20"/>
          <w:szCs w:val="20"/>
        </w:rPr>
        <w:t xml:space="preserve">全收益指数 = 价格 + 每日按 股息率/252 再投资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YaHei" w:hAnsi="Calibri"/>
          <w:b/>
          <w:bCs/>
        </w:rPr>
        <w:t xml:space="preserve">时间</w:t>
      </w:r>
      <w:r>
        <w:rPr>
          <w:rFonts w:ascii="Calibri" w:cs="Calibri" w:eastAsia="Microsoft YaHei" w:hAnsi="Calibri"/>
        </w:rPr>
        <w:t xml:space="preserve">：每条路径 30 年、7,560 个交易日；前 8 年预热（V 需要 5 年 ROE 均值 + 3 年分位样本），有效回测 22 年。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YaHei" w:hAnsi="Calibri"/>
          <w:b/>
          <w:bCs/>
        </w:rPr>
        <w:t xml:space="preserve">大型危机</w:t>
      </w:r>
      <w:r>
        <w:rPr>
          <w:rFonts w:ascii="Calibri" w:cs="Calibri" w:eastAsia="Microsoft YaHei" w:hAnsi="Calibri"/>
        </w:rPr>
        <w:t xml:space="preserve">：每 7–10 年一次，估值从高点跌 35%–55%（叠加盈利下修后价格平均最大跌幅约 54%），前置一年过热，危机前后波动率放大 2–3 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YaHei" w:hAnsi="Calibri"/>
          <w:b/>
          <w:bCs/>
        </w:rPr>
        <w:t xml:space="preserve">中型回调</w:t>
      </w:r>
      <w:r>
        <w:rPr>
          <w:rFonts w:ascii="Calibri" w:cs="Calibri" w:eastAsia="Microsoft YaHei" w:hAnsi="Calibri"/>
        </w:rPr>
        <w:t xml:space="preserve">：每 3–4 年一次，跌 15%–25%。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YaHei" w:hAnsi="Calibri"/>
          <w:b/>
          <w:bCs/>
        </w:rPr>
        <w:t xml:space="preserve">政策联动</w:t>
      </w:r>
      <w:r>
        <w:rPr>
          <w:rFonts w:ascii="Calibri" w:cs="Calibri" w:eastAsia="Microsoft YaHei" w:hAnsi="Calibri"/>
        </w:rPr>
        <w:t xml:space="preserve">：危机后国债收益率下行（宽松），过热时上行（收紧）；中枢上移时国债同步下行、ROE 永久抬升（这是一个关键假设，见第六章的修正）。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YaHei" w:hAnsi="Calibri"/>
          <w:b/>
          <w:bCs/>
        </w:rPr>
        <w:t xml:space="preserve">假回归</w:t>
      </w:r>
      <w:r>
        <w:rPr>
          <w:rFonts w:ascii="Calibri" w:cs="Calibri" w:eastAsia="Microsoft YaHei" w:hAnsi="Calibri"/>
        </w:rPr>
        <w:t xml:space="preserve">：每段危机前过热嵌入一次假回落、每段崩盘嵌入一次假反弹；所有陷阱在生成后按定义重新识别打标签，不满足的种子丢弃重生成。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YaHei" w:hAnsi="Calibri"/>
          <w:b/>
          <w:bCs/>
        </w:rPr>
        <w:t xml:space="preserve">数据验证失败</w:t>
      </w:r>
      <w:r>
        <w:rPr>
          <w:rFonts w:ascii="Calibri" w:cs="Calibri" w:eastAsia="Microsoft YaHei" w:hAnsi="Calibri"/>
        </w:rPr>
        <w:t xml:space="preserve">：随机 0.3% 交易日设为数据不可用，按文档规则暂停当日止盈和回投。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3.2 数据集划分（备考比喻）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52"/>
        <w:gridCol w:w="1652"/>
        <w:gridCol w:w="3579"/>
        <w:gridCol w:w="2755"/>
      </w:tblGrid>
      <w:tr>
        <w:trPr>
          <w:tblHeader/>
        </w:trPr>
        <w:tc>
          <w:tcPr>
            <w:tcW w:type="dxa" w:w="1652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分组</w:t>
            </w:r>
          </w:p>
        </w:tc>
        <w:tc>
          <w:tcPr>
            <w:tcW w:type="dxa" w:w="1652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比喻</w:t>
            </w:r>
          </w:p>
        </w:tc>
        <w:tc>
          <w:tcPr>
            <w:tcW w:type="dxa" w:w="3579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  <w:tc>
          <w:tcPr>
            <w:tcW w:type="dxa" w:w="2755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165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训练集 4 条</w:t>
            </w:r>
          </w:p>
        </w:tc>
        <w:tc>
          <w:tcPr>
            <w:tcW w:type="dxa" w:w="165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练习题</w:t>
            </w:r>
          </w:p>
        </w:tc>
        <w:tc>
          <w:tcPr>
            <w:tcW w:type="dxa" w:w="357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 基准震荡、2 缓慢上移、4 快速跳升、6 强周期</w:t>
            </w:r>
          </w:p>
        </w:tc>
        <w:tc>
          <w:tcPr>
            <w:tcW w:type="dxa" w:w="27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复现原始参数表现、参数寻优</w:t>
            </w:r>
          </w:p>
        </w:tc>
      </w:tr>
      <w:tr>
        <w:tc>
          <w:tcPr>
            <w:tcW w:type="dxa" w:w="165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测试集 3 条</w:t>
            </w:r>
          </w:p>
        </w:tc>
        <w:tc>
          <w:tcPr>
            <w:tcW w:type="dxa" w:w="165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模拟考</w:t>
            </w:r>
          </w:p>
        </w:tc>
        <w:tc>
          <w:tcPr>
            <w:tcW w:type="dxa" w:w="357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3 缓慢下移、5 快速跳降、7 泡沫崩盘（V≥90 后 3 个月跌超 50%，样本外极端）</w:t>
            </w:r>
          </w:p>
        </w:tc>
        <w:tc>
          <w:tcPr>
            <w:tcW w:type="dxa" w:w="27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检验泛化能力</w:t>
            </w:r>
          </w:p>
        </w:tc>
      </w:tr>
      <w:tr>
        <w:tc>
          <w:tcPr>
            <w:tcW w:type="dxa" w:w="165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复核集 3 条</w:t>
            </w:r>
          </w:p>
        </w:tc>
        <w:tc>
          <w:tcPr>
            <w:tcW w:type="dxa" w:w="165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另一位老师出的卷子</w:t>
            </w:r>
          </w:p>
        </w:tc>
        <w:tc>
          <w:tcPr>
            <w:tcW w:type="dxa" w:w="357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8 长停滞、9 高频假回归、10 混合极端，独立随机种子</w:t>
            </w:r>
          </w:p>
        </w:tc>
        <w:tc>
          <w:tcPr>
            <w:tcW w:type="dxa" w:w="27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检查结论是否碰巧</w:t>
            </w:r>
          </w:p>
        </w:tc>
      </w:tr>
      <w:tr>
        <w:tc>
          <w:tcPr>
            <w:tcW w:type="dxa" w:w="165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蒙特卡洛 300 条</w:t>
            </w:r>
          </w:p>
        </w:tc>
        <w:tc>
          <w:tcPr>
            <w:tcW w:type="dxa" w:w="165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题库</w:t>
            </w:r>
          </w:p>
        </w:tc>
        <w:tc>
          <w:tcPr>
            <w:tcW w:type="dxa" w:w="357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10 类 × 30 套，漂移速度 3%–8%、跳变幅度 15%–30% 随机</w:t>
            </w:r>
          </w:p>
        </w:tc>
        <w:tc>
          <w:tcPr>
            <w:tcW w:type="dxa" w:w="27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胜率、标准误、显著性</w:t>
            </w:r>
          </w:p>
        </w:tc>
      </w:tr>
      <w:tr>
        <w:tc>
          <w:tcPr>
            <w:tcW w:type="dxa" w:w="165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留出验证 100 条</w:t>
            </w:r>
          </w:p>
        </w:tc>
        <w:tc>
          <w:tcPr>
            <w:tcW w:type="dxa" w:w="165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封存的最终考卷</w:t>
            </w:r>
          </w:p>
        </w:tc>
        <w:tc>
          <w:tcPr>
            <w:tcW w:type="dxa" w:w="357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方案定型后才生成</w:t>
            </w:r>
          </w:p>
        </w:tc>
        <w:tc>
          <w:tcPr>
            <w:tcW w:type="dxa" w:w="27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只用于检验预警应对方案，防止“迎合看过的数据”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Calibri" w:cs="Calibri" w:eastAsia="Microsoft YaHei" w:hAnsi="Calibri"/>
        </w:rPr>
        <w:t xml:space="preserve">10 条主路径中：无漂移 4 条（1、6、7、9），缓慢漂移 3 条（2、3、8），快速跳变 2 条（4、5），复合 1 条（10）。回测期内共 22 次大型危机、1 次泡沫崩盘、56 个假回归陷阱（上升 25、下降 31）；310 条路径合计 1,678 个陷阱、640 次危机。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3.3 回测口径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YaHei" w:hAnsi="Calibri"/>
          <w:b/>
          <w:bCs/>
        </w:rPr>
        <w:t xml:space="preserve">成本</w:t>
      </w:r>
      <w:r>
        <w:rPr>
          <w:rFonts w:ascii="Calibri" w:cs="Calibri" w:eastAsia="Microsoft YaHei" w:hAnsi="Calibri"/>
        </w:rPr>
        <w:t xml:space="preserve">：申购 0.1%；赎回按持有期 1.5% / 0.5% / 0.25% / 0；佣金 + 滑点单边 0.1%；冲击成本 0.5 × ATR/收盘价，所有交易（含定投）双向收取。</w:t>
      </w:r>
      <w:r>
        <w:rPr>
          <w:rFonts w:ascii="Calibri" w:cs="Calibri" w:eastAsia="Microsoft YaHei" w:hAnsi="Calibri"/>
          <w:b/>
          <w:bCs/>
        </w:rPr>
        <w:t xml:space="preserve">毛</w:t>
      </w:r>
      <w:r>
        <w:rPr>
          <w:rFonts w:ascii="Calibri" w:cs="Calibri" w:eastAsia="Microsoft YaHei" w:hAnsi="Calibri"/>
        </w:rPr>
        <w:t xml:space="preserve"> = 不计任何成本，</w:t>
      </w:r>
      <w:r>
        <w:rPr>
          <w:rFonts w:ascii="Calibri" w:cs="Calibri" w:eastAsia="Microsoft YaHei" w:hAnsi="Calibri"/>
          <w:b/>
          <w:bCs/>
        </w:rPr>
        <w:t xml:space="preserve">净</w:t>
      </w:r>
      <w:r>
        <w:rPr>
          <w:rFonts w:ascii="Calibri" w:cs="Calibri" w:eastAsia="Microsoft YaHei" w:hAnsi="Calibri"/>
        </w:rPr>
        <w:t xml:space="preserve"> = 三项全计。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YaHei" w:hAnsi="Calibri"/>
          <w:b/>
          <w:bCs/>
        </w:rPr>
        <w:t xml:space="preserve">初始条件</w:t>
      </w:r>
      <w:r>
        <w:rPr>
          <w:rFonts w:ascii="Calibri" w:cs="Calibri" w:eastAsia="Microsoft YaHei" w:hAnsi="Calibri"/>
        </w:rPr>
        <w:t xml:space="preserve">：10 万元满仓、资金池 0；赎回款 T+3 到账；资金池现金收益为 0。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YaHei" w:hAnsi="Calibri"/>
          <w:b/>
          <w:bCs/>
        </w:rPr>
        <w:t xml:space="preserve">基准</w:t>
      </w:r>
      <w:r>
        <w:rPr>
          <w:rFonts w:ascii="Calibri" w:cs="Calibri" w:eastAsia="Microsoft YaHei" w:hAnsi="Calibri"/>
        </w:rPr>
        <w:t xml:space="preserve">：买入持有（初始 10 万 + 与策略相同的入金当日全额买入）；定额定投（总入金相同、每日等额）。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YaHei" w:hAnsi="Calibri"/>
          <w:b/>
          <w:bCs/>
        </w:rPr>
        <w:t xml:space="preserve">第十节复核的自动化</w:t>
      </w:r>
      <w:r>
        <w:rPr>
          <w:rFonts w:ascii="Calibri" w:cs="Calibri" w:eastAsia="Microsoft YaHei" w:hAnsi="Calibri"/>
        </w:rPr>
        <w:t xml:space="preserve">：触发后暂停止盈 20 个交易日，第 20 日若“国债较 t0 下降 ≥50bp 且持续 1 年以上”或“ROE 5 年均值较 t0 上升 ≥5%”则判定中枢上移。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3.4 预警评估口径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8"/>
        <w:gridCol w:w="7530"/>
      </w:tblGrid>
      <w:tr>
        <w:trPr>
          <w:tblHeader/>
        </w:trPr>
        <w:tc>
          <w:tcPr>
            <w:tcW w:type="dxa" w:w="2108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指标</w:t>
            </w:r>
          </w:p>
        </w:tc>
        <w:tc>
          <w:tcPr>
            <w:tcW w:type="dxa" w:w="7530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定义</w:t>
            </w:r>
          </w:p>
        </w:tc>
      </w:tr>
      <w:tr>
        <w:tc>
          <w:tcPr>
            <w:tcW w:type="dxa" w:w="21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真实漂移</w:t>
            </w:r>
          </w:p>
        </w:tc>
        <w:tc>
          <w:tcPr>
            <w:tcW w:type="dxa" w:w="75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过去 3 年中枢累计变动 ≥12%（上移或下移）</w:t>
            </w:r>
          </w:p>
        </w:tc>
      </w:tr>
      <w:tr>
        <w:tc>
          <w:tcPr>
            <w:tcW w:type="dxa" w:w="21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预警准确率</w:t>
            </w:r>
          </w:p>
        </w:tc>
        <w:tc>
          <w:tcPr>
            <w:tcW w:type="dxa" w:w="75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预警激活日中，前 126 日至后 504 日内确有同向漂移的比例</w:t>
            </w:r>
          </w:p>
        </w:tc>
      </w:tr>
      <w:tr>
        <w:tc>
          <w:tcPr>
            <w:tcW w:type="dxa" w:w="21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假阳性率</w:t>
            </w:r>
          </w:p>
        </w:tc>
        <w:tc>
          <w:tcPr>
            <w:tcW w:type="dxa" w:w="75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无漂移期内预警处于激活状态的天数占比</w:t>
            </w:r>
          </w:p>
        </w:tc>
      </w:tr>
      <w:tr>
        <w:tc>
          <w:tcPr>
            <w:tcW w:type="dxa" w:w="21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漏警率</w:t>
            </w:r>
          </w:p>
        </w:tc>
        <w:tc>
          <w:tcPr>
            <w:tcW w:type="dxa" w:w="75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漂移起点前 2 年到起点后 1 年内从未预警的漂移事件占比</w:t>
            </w:r>
          </w:p>
        </w:tc>
      </w:tr>
      <w:tr>
        <w:tc>
          <w:tcPr>
            <w:tcW w:type="dxa" w:w="21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提前天数</w:t>
            </w:r>
          </w:p>
        </w:tc>
        <w:tc>
          <w:tcPr>
            <w:tcW w:type="dxa" w:w="75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漂移起点 − 首次预警日（负数 = 事后才报）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Calibri" w:cs="Calibri" w:eastAsia="Microsoft YaHei" w:hAnsi="Calibri"/>
        </w:rPr>
        <w:t xml:space="preserve">四、主压力测试结论（四版策略）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4.1 全周期绩效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97"/>
        <w:gridCol w:w="1268"/>
        <w:gridCol w:w="1268"/>
        <w:gridCol w:w="1268"/>
        <w:gridCol w:w="1268"/>
        <w:gridCol w:w="1269"/>
      </w:tblGrid>
      <w:tr>
        <w:trPr>
          <w:tblHeader/>
        </w:trPr>
        <w:tc>
          <w:tcPr>
            <w:tcW w:type="dxa" w:w="3297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指标</w:t>
            </w:r>
          </w:p>
        </w:tc>
        <w:tc>
          <w:tcPr>
            <w:tcW w:type="dxa" w:w="1268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V1.6</w:t>
            </w:r>
          </w:p>
        </w:tc>
        <w:tc>
          <w:tcPr>
            <w:tcW w:type="dxa" w:w="1268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V1.7</w:t>
            </w:r>
          </w:p>
        </w:tc>
        <w:tc>
          <w:tcPr>
            <w:tcW w:type="dxa" w:w="1268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V1.8</w:t>
            </w:r>
          </w:p>
        </w:tc>
        <w:tc>
          <w:tcPr>
            <w:tcW w:type="dxa" w:w="1268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V1.9</w:t>
            </w:r>
          </w:p>
        </w:tc>
        <w:tc>
          <w:tcPr>
            <w:tcW w:type="dxa" w:w="1269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买入持有</w:t>
            </w:r>
          </w:p>
        </w:tc>
      </w:tr>
      <w:tr>
        <w:tc>
          <w:tcPr>
            <w:tcW w:type="dxa" w:w="329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净年化 XIRR（10 条主路径）</w:t>
            </w:r>
          </w:p>
        </w:tc>
        <w:tc>
          <w:tcPr>
            <w:tcW w:type="dxa" w:w="126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10.93%</w:t>
            </w:r>
          </w:p>
        </w:tc>
        <w:tc>
          <w:tcPr>
            <w:tcW w:type="dxa" w:w="126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12.06%</w:t>
            </w:r>
          </w:p>
        </w:tc>
        <w:tc>
          <w:tcPr>
            <w:tcW w:type="dxa" w:w="126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11.54%</w:t>
            </w:r>
          </w:p>
        </w:tc>
        <w:tc>
          <w:tcPr>
            <w:tcW w:type="dxa" w:w="126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11.62%</w:t>
            </w:r>
          </w:p>
        </w:tc>
        <w:tc>
          <w:tcPr>
            <w:tcW w:type="dxa" w:w="12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11.57%</w:t>
            </w:r>
          </w:p>
        </w:tc>
      </w:tr>
      <w:tr>
        <w:tc>
          <w:tcPr>
            <w:tcW w:type="dxa" w:w="329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净年化 XIRR（300 条 MC）</w:t>
            </w:r>
          </w:p>
        </w:tc>
        <w:tc>
          <w:tcPr>
            <w:tcW w:type="dxa" w:w="126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9.89%</w:t>
            </w:r>
          </w:p>
        </w:tc>
        <w:tc>
          <w:tcPr>
            <w:tcW w:type="dxa" w:w="126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10.24%</w:t>
            </w:r>
          </w:p>
        </w:tc>
        <w:tc>
          <w:tcPr>
            <w:tcW w:type="dxa" w:w="126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10.01%</w:t>
            </w:r>
          </w:p>
        </w:tc>
        <w:tc>
          <w:tcPr>
            <w:tcW w:type="dxa" w:w="126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10.06%</w:t>
            </w:r>
          </w:p>
        </w:tc>
        <w:tc>
          <w:tcPr>
            <w:tcW w:type="dxa" w:w="12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10.09%</w:t>
            </w:r>
          </w:p>
        </w:tc>
      </w:tr>
      <w:tr>
        <w:tc>
          <w:tcPr>
            <w:tcW w:type="dxa" w:w="329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超额 vs 买入持有：毛 / 净（pp）</w:t>
            </w:r>
          </w:p>
        </w:tc>
        <w:tc>
          <w:tcPr>
            <w:tcW w:type="dxa" w:w="126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+0.04 / −0.64</w:t>
            </w:r>
          </w:p>
        </w:tc>
        <w:tc>
          <w:tcPr>
            <w:tcW w:type="dxa" w:w="126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+1.14 / +0.49</w:t>
            </w:r>
          </w:p>
        </w:tc>
        <w:tc>
          <w:tcPr>
            <w:tcW w:type="dxa" w:w="126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+0.58 / −0.03</w:t>
            </w:r>
          </w:p>
        </w:tc>
        <w:tc>
          <w:tcPr>
            <w:tcW w:type="dxa" w:w="126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+0.73 / +0.05</w:t>
            </w:r>
          </w:p>
        </w:tc>
        <w:tc>
          <w:tcPr>
            <w:tcW w:type="dxa" w:w="12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29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最大回撤（主路径）</w:t>
            </w:r>
          </w:p>
        </w:tc>
        <w:tc>
          <w:tcPr>
            <w:tcW w:type="dxa" w:w="126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43.7%</w:t>
            </w:r>
          </w:p>
        </w:tc>
        <w:tc>
          <w:tcPr>
            <w:tcW w:type="dxa" w:w="126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49.1%</w:t>
            </w:r>
          </w:p>
        </w:tc>
        <w:tc>
          <w:tcPr>
            <w:tcW w:type="dxa" w:w="126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46.2%</w:t>
            </w:r>
          </w:p>
        </w:tc>
        <w:tc>
          <w:tcPr>
            <w:tcW w:type="dxa" w:w="126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47.7%</w:t>
            </w:r>
          </w:p>
        </w:tc>
        <w:tc>
          <w:tcPr>
            <w:tcW w:type="dxa" w:w="12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59.8%</w:t>
            </w:r>
          </w:p>
        </w:tc>
      </w:tr>
      <w:tr>
        <w:tc>
          <w:tcPr>
            <w:tcW w:type="dxa" w:w="329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最大回撤（MC）</w:t>
            </w:r>
          </w:p>
        </w:tc>
        <w:tc>
          <w:tcPr>
            <w:tcW w:type="dxa" w:w="126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41.9%</w:t>
            </w:r>
          </w:p>
        </w:tc>
        <w:tc>
          <w:tcPr>
            <w:tcW w:type="dxa" w:w="126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47.6%</w:t>
            </w:r>
          </w:p>
        </w:tc>
        <w:tc>
          <w:tcPr>
            <w:tcW w:type="dxa" w:w="126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44.6%</w:t>
            </w:r>
          </w:p>
        </w:tc>
        <w:tc>
          <w:tcPr>
            <w:tcW w:type="dxa" w:w="126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46.1%</w:t>
            </w:r>
          </w:p>
        </w:tc>
        <w:tc>
          <w:tcPr>
            <w:tcW w:type="dxa" w:w="12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60.6%</w:t>
            </w:r>
          </w:p>
        </w:tc>
      </w:tr>
    </w:tbl>
    <w:p>
      <w:pPr>
        <w:spacing w:after="160" w:before="60" w:line="280"/>
      </w:pPr>
      <w:r>
        <w:rPr>
          <w:rFonts w:ascii="Calibri" w:cs="Calibri" w:eastAsia="Microsoft YaHei" w:hAnsi="Calibri"/>
          <w:color w:val="5A6170"/>
          <w:sz w:val="18"/>
          <w:szCs w:val="18"/>
        </w:rPr>
        <w:t xml:space="preserve">定额定投净 XIRR：主路径 10.66%、MC 9.10%。</w:t>
      </w:r>
    </w:p>
    <w:p>
      <w:pPr>
        <w:pBdr>
          <w:left w:val="single" w:color="1D4F91" w:sz="18" w:space="6"/>
        </w:pBdr>
        <w:shd w:fill="EEF3FA" w:color="auto" w:val="clear"/>
        <w:spacing w:after="160" w:before="120" w:line="320"/>
        <w:ind w:left="120" w:right="120"/>
      </w:pPr>
      <w:r>
        <w:rPr>
          <w:rFonts w:ascii="Calibri" w:cs="Calibri" w:eastAsia="Microsoft YaHei" w:hAnsi="Calibri"/>
          <w:b/>
          <w:bCs/>
          <w:color w:val="B8322A"/>
        </w:rPr>
        <w:t xml:space="preserve">要点　</w:t>
      </w:r>
      <w:r>
        <w:rPr>
          <w:rFonts w:ascii="Calibri" w:cs="Calibri" w:eastAsia="Microsoft YaHei" w:hAnsi="Calibri"/>
        </w:rPr>
        <w:t xml:space="preserve">收益排序 V1.7 &gt; V1.9 ≈ V1.8 &gt; V1.6，但差距不大；四版的真正价值在“少亏”而不在“多赚”——扣全口径成本后超额只有 −0.64 ~ +0.49 个百分点，最大回撤却比买入持有低 11 ~ 16 个百分点。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4.2 交易成本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YaHei" w:hAnsi="Calibri"/>
        </w:rPr>
        <w:t xml:space="preserve">成本让净 XIRR 比毛 XIRR 低 </w:t>
      </w:r>
      <w:r>
        <w:rPr>
          <w:rFonts w:ascii="Calibri" w:cs="Calibri" w:eastAsia="Microsoft YaHei" w:hAnsi="Calibri"/>
          <w:b/>
          <w:bCs/>
        </w:rPr>
        <w:t xml:space="preserve">0.67–0.74 个百分点/年</w:t>
      </w:r>
      <w:r>
        <w:rPr>
          <w:rFonts w:ascii="Calibri" w:cs="Calibri" w:eastAsia="Microsoft YaHei" w:hAnsi="Calibri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YaHei" w:hAnsi="Calibri"/>
        </w:rPr>
        <w:t xml:space="preserve">成本结构：</w:t>
      </w:r>
      <w:r>
        <w:rPr>
          <w:rFonts w:ascii="Calibri" w:cs="Calibri" w:eastAsia="Microsoft YaHei" w:hAnsi="Calibri"/>
          <w:b/>
          <w:bCs/>
        </w:rPr>
        <w:t xml:space="preserve">冲击成本约 88%–90%</w:t>
      </w:r>
      <w:r>
        <w:rPr>
          <w:rFonts w:ascii="Calibri" w:cs="Calibri" w:eastAsia="Microsoft YaHei" w:hAnsi="Calibri"/>
        </w:rPr>
        <w:t xml:space="preserve">，佣金滑点约 7%，法定申赎费约 4%–5%（规则已避开 30 天内赎回）。按交易类型：止盈卖出约 42%–45%、回投约 51%–53%、定投约 4%。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YaHei" w:hAnsi="Calibri"/>
        </w:rPr>
        <w:t xml:space="preserve">单笔冲击成本率平时约 0.8%，高波动日约 1.7%；一半以上冲击成本发生在波动最高的 20% 交易日。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YaHei" w:hAnsi="Calibri"/>
        </w:rPr>
        <w:t xml:space="preserve">换手率与成本占比的相关系数 0.68。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4.3 版本两两比较（300 条 MC 配对）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6"/>
        <w:gridCol w:w="3480"/>
        <w:gridCol w:w="2141"/>
        <w:gridCol w:w="1338"/>
        <w:gridCol w:w="1073"/>
      </w:tblGrid>
      <w:tr>
        <w:trPr>
          <w:tblHeader/>
        </w:trPr>
        <w:tc>
          <w:tcPr>
            <w:tcW w:type="dxa" w:w="1606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迭代</w:t>
            </w:r>
          </w:p>
        </w:tc>
        <w:tc>
          <w:tcPr>
            <w:tcW w:type="dxa" w:w="3480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改了什么</w:t>
            </w:r>
          </w:p>
        </w:tc>
        <w:tc>
          <w:tcPr>
            <w:tcW w:type="dxa" w:w="2141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Δ净 XIRR（± 标准误）</w:t>
            </w:r>
          </w:p>
        </w:tc>
        <w:tc>
          <w:tcPr>
            <w:tcW w:type="dxa" w:w="1338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Δ最大回撤</w:t>
            </w:r>
          </w:p>
        </w:tc>
        <w:tc>
          <w:tcPr>
            <w:tcW w:type="dxa" w:w="1073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胜率</w:t>
            </w:r>
          </w:p>
        </w:tc>
      </w:tr>
      <w:tr>
        <w:tc>
          <w:tcPr>
            <w:tcW w:type="dxa" w:w="16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V1.6 → V1.7</w:t>
            </w:r>
          </w:p>
        </w:tc>
        <w:tc>
          <w:tcPr>
            <w:tcW w:type="dxa" w:w="34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趋势分 U 换成周线 S（卖）+ 日线 B（买）</w:t>
            </w:r>
          </w:p>
        </w:tc>
        <w:tc>
          <w:tcPr>
            <w:tcW w:type="dxa" w:w="214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+0.35 ± 0.07（显著）</w:t>
            </w:r>
          </w:p>
        </w:tc>
        <w:tc>
          <w:tcPr>
            <w:tcW w:type="dxa" w:w="1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+5.7 pp</w:t>
            </w:r>
          </w:p>
        </w:tc>
        <w:tc>
          <w:tcPr>
            <w:tcW w:type="dxa" w:w="107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59%</w:t>
            </w:r>
          </w:p>
        </w:tc>
      </w:tr>
      <w:tr>
        <w:tc>
          <w:tcPr>
            <w:tcW w:type="dxa" w:w="16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V1.7 → V1.8</w:t>
            </w:r>
          </w:p>
        </w:tc>
        <w:tc>
          <w:tcPr>
            <w:tcW w:type="dxa" w:w="34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两段式止盈，回投恢复 V1.6</w:t>
            </w:r>
          </w:p>
        </w:tc>
        <w:tc>
          <w:tcPr>
            <w:tcW w:type="dxa" w:w="214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−0.23 ± 0.04</w:t>
            </w:r>
          </w:p>
        </w:tc>
        <w:tc>
          <w:tcPr>
            <w:tcW w:type="dxa" w:w="1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−3.1 pp</w:t>
            </w:r>
          </w:p>
        </w:tc>
        <w:tc>
          <w:tcPr>
            <w:tcW w:type="dxa" w:w="107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40%</w:t>
            </w:r>
          </w:p>
        </w:tc>
      </w:tr>
      <w:tr>
        <w:tc>
          <w:tcPr>
            <w:tcW w:type="dxa" w:w="16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V1.8 → V1.9</w:t>
            </w:r>
          </w:p>
        </w:tc>
        <w:tc>
          <w:tcPr>
            <w:tcW w:type="dxa" w:w="34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回投换回日线超卖</w:t>
            </w:r>
          </w:p>
        </w:tc>
        <w:tc>
          <w:tcPr>
            <w:tcW w:type="dxa" w:w="214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+0.05 ± 0.03（不显著）</w:t>
            </w:r>
          </w:p>
        </w:tc>
        <w:tc>
          <w:tcPr>
            <w:tcW w:type="dxa" w:w="1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+1.5 pp</w:t>
            </w:r>
          </w:p>
        </w:tc>
        <w:tc>
          <w:tcPr>
            <w:tcW w:type="dxa" w:w="107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52%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Calibri" w:cs="Calibri" w:eastAsia="Microsoft YaHei" w:hAnsi="Calibri"/>
          <w:b/>
          <w:bCs/>
        </w:rPr>
        <w:t xml:space="preserve">第十节复核的增益很小</w:t>
      </w:r>
      <w:r>
        <w:rPr>
          <w:rFonts w:ascii="Calibri" w:cs="Calibri" w:eastAsia="Microsoft YaHei" w:hAnsi="Calibri"/>
        </w:rPr>
        <w:t xml:space="preserve">：主路径 +0.12 ~ +0.18 个百分点，MC −0.06 ~ −0.09；只在缓慢上移场景略有正贡献（+0.02 ~ +0.12）。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4.4 中枢漂移速度：慢比快更致命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1606"/>
        <w:gridCol w:w="1606"/>
        <w:gridCol w:w="1606"/>
        <w:gridCol w:w="1608"/>
      </w:tblGrid>
      <w:tr>
        <w:trPr>
          <w:tblHeader/>
        </w:trPr>
        <w:tc>
          <w:tcPr>
            <w:tcW w:type="dxa" w:w="3212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场景（每组 31 条）</w:t>
            </w:r>
          </w:p>
        </w:tc>
        <w:tc>
          <w:tcPr>
            <w:tcW w:type="dxa" w:w="1606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V1.6</w:t>
            </w:r>
          </w:p>
        </w:tc>
        <w:tc>
          <w:tcPr>
            <w:tcW w:type="dxa" w:w="1606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V1.7</w:t>
            </w:r>
          </w:p>
        </w:tc>
        <w:tc>
          <w:tcPr>
            <w:tcW w:type="dxa" w:w="1606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V1.8</w:t>
            </w:r>
          </w:p>
        </w:tc>
        <w:tc>
          <w:tcPr>
            <w:tcW w:type="dxa" w:w="1608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V1.9</w:t>
            </w:r>
          </w:p>
        </w:tc>
      </w:tr>
      <w:tr>
        <w:tc>
          <w:tcPr>
            <w:tcW w:type="dxa" w:w="32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基准震荡</w:t>
            </w:r>
          </w:p>
        </w:tc>
        <w:tc>
          <w:tcPr>
            <w:tcW w:type="dxa" w:w="16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+0.14</w:t>
            </w:r>
          </w:p>
        </w:tc>
        <w:tc>
          <w:tcPr>
            <w:tcW w:type="dxa" w:w="16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+1.09</w:t>
            </w:r>
          </w:p>
        </w:tc>
        <w:tc>
          <w:tcPr>
            <w:tcW w:type="dxa" w:w="16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+0.60</w:t>
            </w:r>
          </w:p>
        </w:tc>
        <w:tc>
          <w:tcPr>
            <w:tcW w:type="dxa" w:w="16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+0.68</w:t>
            </w:r>
          </w:p>
        </w:tc>
      </w:tr>
      <w:tr>
        <w:tc>
          <w:tcPr>
            <w:tcW w:type="dxa" w:w="32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缓慢上移</w:t>
            </w:r>
          </w:p>
        </w:tc>
        <w:tc>
          <w:tcPr>
            <w:tcW w:type="dxa" w:w="16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−6.81</w:t>
            </w:r>
          </w:p>
        </w:tc>
        <w:tc>
          <w:tcPr>
            <w:tcW w:type="dxa" w:w="16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−5.74</w:t>
            </w:r>
          </w:p>
        </w:tc>
        <w:tc>
          <w:tcPr>
            <w:tcW w:type="dxa" w:w="16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−6.52</w:t>
            </w:r>
          </w:p>
        </w:tc>
        <w:tc>
          <w:tcPr>
            <w:tcW w:type="dxa" w:w="16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−6.00</w:t>
            </w:r>
          </w:p>
        </w:tc>
      </w:tr>
      <w:tr>
        <w:tc>
          <w:tcPr>
            <w:tcW w:type="dxa" w:w="32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快速跳升</w:t>
            </w:r>
          </w:p>
        </w:tc>
        <w:tc>
          <w:tcPr>
            <w:tcW w:type="dxa" w:w="16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−1.13</w:t>
            </w:r>
          </w:p>
        </w:tc>
        <w:tc>
          <w:tcPr>
            <w:tcW w:type="dxa" w:w="16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−0.30</w:t>
            </w:r>
          </w:p>
        </w:tc>
        <w:tc>
          <w:tcPr>
            <w:tcW w:type="dxa" w:w="16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−0.85</w:t>
            </w:r>
          </w:p>
        </w:tc>
        <w:tc>
          <w:tcPr>
            <w:tcW w:type="dxa" w:w="16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−0.79</w:t>
            </w:r>
          </w:p>
        </w:tc>
      </w:tr>
      <w:tr>
        <w:tc>
          <w:tcPr>
            <w:tcW w:type="dxa" w:w="32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缓慢下移</w:t>
            </w:r>
          </w:p>
        </w:tc>
        <w:tc>
          <w:tcPr>
            <w:tcW w:type="dxa" w:w="16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+2.04</w:t>
            </w:r>
          </w:p>
        </w:tc>
        <w:tc>
          <w:tcPr>
            <w:tcW w:type="dxa" w:w="16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+1.63</w:t>
            </w:r>
          </w:p>
        </w:tc>
        <w:tc>
          <w:tcPr>
            <w:tcW w:type="dxa" w:w="16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+1.80</w:t>
            </w:r>
          </w:p>
        </w:tc>
        <w:tc>
          <w:tcPr>
            <w:tcW w:type="dxa" w:w="16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+1.90</w:t>
            </w:r>
          </w:p>
        </w:tc>
      </w:tr>
      <w:tr>
        <w:tc>
          <w:tcPr>
            <w:tcW w:type="dxa" w:w="32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快速跳降</w:t>
            </w:r>
          </w:p>
        </w:tc>
        <w:tc>
          <w:tcPr>
            <w:tcW w:type="dxa" w:w="16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+1.36</w:t>
            </w:r>
          </w:p>
        </w:tc>
        <w:tc>
          <w:tcPr>
            <w:tcW w:type="dxa" w:w="16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+1.44</w:t>
            </w:r>
          </w:p>
        </w:tc>
        <w:tc>
          <w:tcPr>
            <w:tcW w:type="dxa" w:w="16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+1.38</w:t>
            </w:r>
          </w:p>
        </w:tc>
        <w:tc>
          <w:tcPr>
            <w:tcW w:type="dxa" w:w="16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+1.42</w:t>
            </w:r>
          </w:p>
        </w:tc>
      </w:tr>
    </w:tbl>
    <w:p>
      <w:pPr>
        <w:spacing w:after="160" w:before="60" w:line="280"/>
      </w:pPr>
      <w:r>
        <w:rPr>
          <w:rFonts w:ascii="Calibri" w:cs="Calibri" w:eastAsia="Microsoft YaHei" w:hAnsi="Calibri"/>
          <w:color w:val="5A6170"/>
          <w:sz w:val="18"/>
          <w:szCs w:val="18"/>
        </w:rPr>
        <w:t xml:space="preserve">数值为相对买入持有的年化超额（净，百分点）。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YaHei" w:hAnsi="Calibri"/>
          <w:b/>
          <w:bCs/>
        </w:rPr>
        <w:t xml:space="preserve">缓慢上移</w:t>
      </w:r>
      <w:r>
        <w:rPr>
          <w:rFonts w:ascii="Calibri" w:cs="Calibri" w:eastAsia="Microsoft YaHei" w:hAnsi="Calibri"/>
        </w:rPr>
        <w:t xml:space="preserve">：V 约 21 天就离开正常带，但要约 450 天才回来，且中枢还在继续漂；资金池“卡死”（≥1 年无法回投）比例 100%；相对买入持有每年衰减约 5.2%–5.9%。第十节复核中位约 791–818 天才触发（靠条件 A）。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YaHei" w:hAnsi="Calibri"/>
          <w:b/>
          <w:bCs/>
        </w:rPr>
        <w:t xml:space="preserve">快速跳升</w:t>
      </w:r>
      <w:r>
        <w:rPr>
          <w:rFonts w:ascii="Calibri" w:cs="Calibri" w:eastAsia="Microsoft YaHei" w:hAnsi="Calibri"/>
        </w:rPr>
        <w:t xml:space="preserve">：跳完后估值窗口约 490 个交易日（约 2 年）消化新中枢；复核中位 195–302 天触发（靠条件 B）。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YaHei" w:hAnsi="Calibri"/>
          <w:b/>
          <w:bCs/>
        </w:rPr>
        <w:t xml:space="preserve">参数失灵顺序（跳升）</w:t>
      </w:r>
      <w:r>
        <w:rPr>
          <w:rFonts w:ascii="Calibri" w:cs="Calibri" w:eastAsia="Microsoft YaHei" w:hAnsi="Calibri"/>
        </w:rPr>
        <w:t xml:space="preserve">：回投估值线先卡死（约 1–6 个月）→ 止盈估值线在高位继续卖（47–125 天）→ 估值窗口回归正常（约 490 天）。跳降：回投 2–3 个月内触发、资金池 5–8 个月内用完。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YaHei" w:hAnsi="Calibri"/>
          <w:b/>
          <w:bCs/>
        </w:rPr>
        <w:t xml:space="preserve">适配性</w:t>
      </w:r>
      <w:r>
        <w:rPr>
          <w:rFonts w:ascii="Calibri" w:cs="Calibri" w:eastAsia="Microsoft YaHei" w:hAnsi="Calibri"/>
        </w:rPr>
        <w:t xml:space="preserve">：中枢上移时卖得越晚越好（V1.7 最好）；缓慢下移时 V1.6 的下跌线回投更慢、表现最好。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4.5 假回归陷阱：整体不伤人，伤人的是“卖出”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1"/>
        <w:gridCol w:w="3029"/>
        <w:gridCol w:w="1652"/>
        <w:gridCol w:w="1652"/>
        <w:gridCol w:w="2204"/>
      </w:tblGrid>
      <w:tr>
        <w:trPr>
          <w:tblHeader/>
        </w:trPr>
        <w:tc>
          <w:tcPr>
            <w:tcW w:type="dxa" w:w="1101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版本</w:t>
            </w:r>
          </w:p>
        </w:tc>
        <w:tc>
          <w:tcPr>
            <w:tcW w:type="dxa" w:w="3029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触发概率（全部 / 上升 / 下降）</w:t>
            </w:r>
          </w:p>
        </w:tc>
        <w:tc>
          <w:tcPr>
            <w:tcW w:type="dxa" w:w="1652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亏损陷阱占比</w:t>
            </w:r>
          </w:p>
        </w:tc>
        <w:tc>
          <w:tcPr>
            <w:tcW w:type="dxa" w:w="1652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单次最大亏损</w:t>
            </w:r>
          </w:p>
        </w:tc>
        <w:tc>
          <w:tcPr>
            <w:tcW w:type="dxa" w:w="2204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陷阱期交易对总收益贡献</w:t>
            </w:r>
          </w:p>
        </w:tc>
      </w:tr>
      <w:tr>
        <w:tc>
          <w:tcPr>
            <w:tcW w:type="dxa" w:w="11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V1.6</w:t>
            </w:r>
          </w:p>
        </w:tc>
        <w:tc>
          <w:tcPr>
            <w:tcW w:type="dxa" w:w="302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22.5% / 25.7% / 19.5%</w:t>
            </w:r>
          </w:p>
        </w:tc>
        <w:tc>
          <w:tcPr>
            <w:tcW w:type="dxa" w:w="165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4.5%</w:t>
            </w:r>
          </w:p>
        </w:tc>
        <w:tc>
          <w:tcPr>
            <w:tcW w:type="dxa" w:w="165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1.1%</w:t>
            </w:r>
          </w:p>
        </w:tc>
        <w:tc>
          <w:tcPr>
            <w:tcW w:type="dxa" w:w="2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+7.7%</w:t>
            </w:r>
          </w:p>
        </w:tc>
      </w:tr>
      <w:tr>
        <w:tc>
          <w:tcPr>
            <w:tcW w:type="dxa" w:w="11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V1.7</w:t>
            </w:r>
          </w:p>
        </w:tc>
        <w:tc>
          <w:tcPr>
            <w:tcW w:type="dxa" w:w="302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31.1% / 57.7% / 5.7%</w:t>
            </w:r>
          </w:p>
        </w:tc>
        <w:tc>
          <w:tcPr>
            <w:tcW w:type="dxa" w:w="165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20.5%</w:t>
            </w:r>
          </w:p>
        </w:tc>
        <w:tc>
          <w:tcPr>
            <w:tcW w:type="dxa" w:w="165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8.8%</w:t>
            </w:r>
          </w:p>
        </w:tc>
        <w:tc>
          <w:tcPr>
            <w:tcW w:type="dxa" w:w="2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+8.5%</w:t>
            </w:r>
          </w:p>
        </w:tc>
      </w:tr>
      <w:tr>
        <w:tc>
          <w:tcPr>
            <w:tcW w:type="dxa" w:w="11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V1.8</w:t>
            </w:r>
          </w:p>
        </w:tc>
        <w:tc>
          <w:tcPr>
            <w:tcW w:type="dxa" w:w="302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29.6% / 43.5% / 16.4%</w:t>
            </w:r>
          </w:p>
        </w:tc>
        <w:tc>
          <w:tcPr>
            <w:tcW w:type="dxa" w:w="165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18.9%</w:t>
            </w:r>
          </w:p>
        </w:tc>
        <w:tc>
          <w:tcPr>
            <w:tcW w:type="dxa" w:w="165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5.6%</w:t>
            </w:r>
          </w:p>
        </w:tc>
        <w:tc>
          <w:tcPr>
            <w:tcW w:type="dxa" w:w="2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+5.4%</w:t>
            </w:r>
          </w:p>
        </w:tc>
      </w:tr>
      <w:tr>
        <w:tc>
          <w:tcPr>
            <w:tcW w:type="dxa" w:w="11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V1.9</w:t>
            </w:r>
          </w:p>
        </w:tc>
        <w:tc>
          <w:tcPr>
            <w:tcW w:type="dxa" w:w="302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33.5% / 51.0% / 16.9%</w:t>
            </w:r>
          </w:p>
        </w:tc>
        <w:tc>
          <w:tcPr>
            <w:tcW w:type="dxa" w:w="165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13.0%</w:t>
            </w:r>
          </w:p>
        </w:tc>
        <w:tc>
          <w:tcPr>
            <w:tcW w:type="dxa" w:w="165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9.0%</w:t>
            </w:r>
          </w:p>
        </w:tc>
        <w:tc>
          <w:tcPr>
            <w:tcW w:type="dxa" w:w="2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+8.7%</w:t>
            </w:r>
          </w:p>
        </w:tc>
      </w:tr>
    </w:tbl>
    <w:p>
      <w:pPr>
        <w:spacing w:after="160" w:before="60" w:line="280"/>
      </w:pPr>
      <w:r>
        <w:rPr>
          <w:rFonts w:ascii="Calibri" w:cs="Calibri" w:eastAsia="Microsoft YaHei" w:hAnsi="Calibri"/>
          <w:color w:val="5A6170"/>
          <w:sz w:val="18"/>
          <w:szCs w:val="18"/>
        </w:rPr>
        <w:t xml:space="preserve">最后一列为反事实对照：屏蔽陷阱窗口内全部止盈与回投后重跑，正数表示陷阱期交易整体赚钱。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YaHei" w:hAnsi="Calibri"/>
        </w:rPr>
        <w:t xml:space="preserve">估值回到中枢附近时，</w:t>
      </w:r>
      <w:r>
        <w:rPr>
          <w:rFonts w:ascii="Calibri" w:cs="Calibri" w:eastAsia="Microsoft YaHei" w:hAnsi="Calibri"/>
          <w:b/>
          <w:bCs/>
        </w:rPr>
        <w:t xml:space="preserve">回投买入在假回落后赚到了后续上涨，止盈卖出在假反弹后躲过了后续下跌</w:t>
      </w:r>
      <w:r>
        <w:rPr>
          <w:rFonts w:ascii="Calibri" w:cs="Calibri" w:eastAsia="Microsoft YaHei" w:hAnsi="Calibri"/>
        </w:rPr>
        <w:t xml:space="preserve">——对均值回归策略而言，按定义的假回归整体是机会。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YaHei" w:hAnsi="Calibri"/>
        </w:rPr>
        <w:t xml:space="preserve">亏损集中在“上升趋势假回落”中触发的</w:t>
      </w:r>
      <w:r>
        <w:rPr>
          <w:rFonts w:ascii="Calibri" w:cs="Calibri" w:eastAsia="Microsoft YaHei" w:hAnsi="Calibri"/>
          <w:b/>
          <w:bCs/>
        </w:rPr>
        <w:t xml:space="preserve">卖出</w:t>
      </w:r>
      <w:r>
        <w:rPr>
          <w:rFonts w:ascii="Calibri" w:cs="Calibri" w:eastAsia="Microsoft YaHei" w:hAnsi="Calibri"/>
        </w:rPr>
        <w:t xml:space="preserve">（卖出亏损率 38%–63%）；下降趋势假反弹中卖出几乎总是对的，亏损来自反弹中的回投。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YaHei" w:hAnsi="Calibri"/>
        </w:rPr>
        <w:t xml:space="preserve">规避能力：V1.6（趋势分）最好；V1.8、V1.9 并列；V1.7 的周线信号对“过热结束”敏感，最容易被假回落骗到。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4.6 极端事件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7"/>
        <w:gridCol w:w="2002"/>
        <w:gridCol w:w="1126"/>
        <w:gridCol w:w="1126"/>
        <w:gridCol w:w="1126"/>
        <w:gridCol w:w="1126"/>
        <w:gridCol w:w="1255"/>
      </w:tblGrid>
      <w:tr>
        <w:trPr>
          <w:tblHeader/>
        </w:trPr>
        <w:tc>
          <w:tcPr>
            <w:tcW w:type="dxa" w:w="1877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事件</w:t>
            </w:r>
          </w:p>
        </w:tc>
        <w:tc>
          <w:tcPr>
            <w:tcW w:type="dxa" w:w="2002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指标</w:t>
            </w:r>
          </w:p>
        </w:tc>
        <w:tc>
          <w:tcPr>
            <w:tcW w:type="dxa" w:w="1126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V1.6</w:t>
            </w:r>
          </w:p>
        </w:tc>
        <w:tc>
          <w:tcPr>
            <w:tcW w:type="dxa" w:w="1126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V1.7</w:t>
            </w:r>
          </w:p>
        </w:tc>
        <w:tc>
          <w:tcPr>
            <w:tcW w:type="dxa" w:w="1126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V1.8</w:t>
            </w:r>
          </w:p>
        </w:tc>
        <w:tc>
          <w:tcPr>
            <w:tcW w:type="dxa" w:w="1126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V1.9</w:t>
            </w:r>
          </w:p>
        </w:tc>
        <w:tc>
          <w:tcPr>
            <w:tcW w:type="dxa" w:w="1255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买入持有</w:t>
            </w:r>
          </w:p>
        </w:tc>
      </w:tr>
      <w:tr>
        <w:tc>
          <w:tcPr>
            <w:tcW w:type="dxa" w:w="18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大型危机（640 次）</w:t>
            </w:r>
          </w:p>
        </w:tc>
        <w:tc>
          <w:tcPr>
            <w:tcW w:type="dxa" w:w="20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逃顶成功率</w:t>
            </w:r>
          </w:p>
        </w:tc>
        <w:tc>
          <w:tcPr>
            <w:tcW w:type="dxa" w:w="11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97%</w:t>
            </w:r>
          </w:p>
        </w:tc>
        <w:tc>
          <w:tcPr>
            <w:tcW w:type="dxa" w:w="11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75%</w:t>
            </w:r>
          </w:p>
        </w:tc>
        <w:tc>
          <w:tcPr>
            <w:tcW w:type="dxa" w:w="11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80%</w:t>
            </w:r>
          </w:p>
        </w:tc>
        <w:tc>
          <w:tcPr>
            <w:tcW w:type="dxa" w:w="11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77%</w:t>
            </w:r>
          </w:p>
        </w:tc>
        <w:tc>
          <w:tcPr>
            <w:tcW w:type="dxa" w:w="12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</w:p>
        </w:tc>
        <w:tc>
          <w:tcPr>
            <w:tcW w:type="dxa" w:w="20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抄底成功率</w:t>
            </w:r>
          </w:p>
        </w:tc>
        <w:tc>
          <w:tcPr>
            <w:tcW w:type="dxa" w:w="11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40%</w:t>
            </w:r>
          </w:p>
        </w:tc>
        <w:tc>
          <w:tcPr>
            <w:tcW w:type="dxa" w:w="11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29%</w:t>
            </w:r>
          </w:p>
        </w:tc>
        <w:tc>
          <w:tcPr>
            <w:tcW w:type="dxa" w:w="11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38%</w:t>
            </w:r>
          </w:p>
        </w:tc>
        <w:tc>
          <w:tcPr>
            <w:tcW w:type="dxa" w:w="11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29%</w:t>
            </w:r>
          </w:p>
        </w:tc>
        <w:tc>
          <w:tcPr>
            <w:tcW w:type="dxa" w:w="12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</w:p>
        </w:tc>
        <w:tc>
          <w:tcPr>
            <w:tcW w:type="dxa" w:w="20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事件回撤</w:t>
            </w:r>
          </w:p>
        </w:tc>
        <w:tc>
          <w:tcPr>
            <w:tcW w:type="dxa" w:w="11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33%</w:t>
            </w:r>
          </w:p>
        </w:tc>
        <w:tc>
          <w:tcPr>
            <w:tcW w:type="dxa" w:w="11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39%</w:t>
            </w:r>
          </w:p>
        </w:tc>
        <w:tc>
          <w:tcPr>
            <w:tcW w:type="dxa" w:w="11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36%</w:t>
            </w:r>
          </w:p>
        </w:tc>
        <w:tc>
          <w:tcPr>
            <w:tcW w:type="dxa" w:w="11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38%</w:t>
            </w:r>
          </w:p>
        </w:tc>
        <w:tc>
          <w:tcPr>
            <w:tcW w:type="dxa" w:w="12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55%</w:t>
            </w:r>
          </w:p>
        </w:tc>
      </w:tr>
      <w:tr>
        <w:tc>
          <w:tcPr>
            <w:tcW w:type="dxa" w:w="18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</w:p>
        </w:tc>
        <w:tc>
          <w:tcPr>
            <w:tcW w:type="dxa" w:w="20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净值修复天数（中位）</w:t>
            </w:r>
          </w:p>
        </w:tc>
        <w:tc>
          <w:tcPr>
            <w:tcW w:type="dxa" w:w="11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210</w:t>
            </w:r>
          </w:p>
        </w:tc>
        <w:tc>
          <w:tcPr>
            <w:tcW w:type="dxa" w:w="11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305</w:t>
            </w:r>
          </w:p>
        </w:tc>
        <w:tc>
          <w:tcPr>
            <w:tcW w:type="dxa" w:w="11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266</w:t>
            </w:r>
          </w:p>
        </w:tc>
        <w:tc>
          <w:tcPr>
            <w:tcW w:type="dxa" w:w="11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306</w:t>
            </w:r>
          </w:p>
        </w:tc>
        <w:tc>
          <w:tcPr>
            <w:tcW w:type="dxa" w:w="12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758</w:t>
            </w:r>
          </w:p>
        </w:tc>
      </w:tr>
      <w:tr>
        <w:tc>
          <w:tcPr>
            <w:tcW w:type="dxa" w:w="18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泡沫崩盘（31 次）</w:t>
            </w:r>
          </w:p>
        </w:tc>
        <w:tc>
          <w:tcPr>
            <w:tcW w:type="dxa" w:w="20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逃顶 / 抄底</w:t>
            </w:r>
          </w:p>
        </w:tc>
        <w:tc>
          <w:tcPr>
            <w:tcW w:type="dxa" w:w="11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100% / 94%</w:t>
            </w:r>
          </w:p>
        </w:tc>
        <w:tc>
          <w:tcPr>
            <w:tcW w:type="dxa" w:w="11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84% / 74%</w:t>
            </w:r>
          </w:p>
        </w:tc>
        <w:tc>
          <w:tcPr>
            <w:tcW w:type="dxa" w:w="11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87% / 94%</w:t>
            </w:r>
          </w:p>
        </w:tc>
        <w:tc>
          <w:tcPr>
            <w:tcW w:type="dxa" w:w="11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84% / 81%</w:t>
            </w:r>
          </w:p>
        </w:tc>
        <w:tc>
          <w:tcPr>
            <w:tcW w:type="dxa" w:w="12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</w:p>
        </w:tc>
        <w:tc>
          <w:tcPr>
            <w:tcW w:type="dxa" w:w="20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净值修复天数（中位）</w:t>
            </w:r>
          </w:p>
        </w:tc>
        <w:tc>
          <w:tcPr>
            <w:tcW w:type="dxa" w:w="11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75</w:t>
            </w:r>
          </w:p>
        </w:tc>
        <w:tc>
          <w:tcPr>
            <w:tcW w:type="dxa" w:w="11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156</w:t>
            </w:r>
          </w:p>
        </w:tc>
        <w:tc>
          <w:tcPr>
            <w:tcW w:type="dxa" w:w="11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126</w:t>
            </w:r>
          </w:p>
        </w:tc>
        <w:tc>
          <w:tcPr>
            <w:tcW w:type="dxa" w:w="11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154</w:t>
            </w:r>
          </w:p>
        </w:tc>
        <w:tc>
          <w:tcPr>
            <w:tcW w:type="dxa" w:w="12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1,363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Calibri" w:cs="Calibri" w:eastAsia="Microsoft YaHei" w:hAnsi="Calibri"/>
        </w:rPr>
        <w:t xml:space="preserve">逃顶 = 危机高点当日持仓 ≤60%；抄底 = 高点后至低点后 126 日内在不高于低点 1.15 倍处回投。高波动路径的成本拖累比低波动路径多 0.12–0.17 个百分点/年，但扣成本后超额仍更高——波动越大估值策略越有用，只是“过路费”更贵。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4.7 参数鲁棒性（81 组全组合 × 110 条路径）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52"/>
        <w:gridCol w:w="1927"/>
        <w:gridCol w:w="1652"/>
        <w:gridCol w:w="4407"/>
      </w:tblGrid>
      <w:tr>
        <w:trPr>
          <w:tblHeader/>
        </w:trPr>
        <w:tc>
          <w:tcPr>
            <w:tcW w:type="dxa" w:w="1652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参数</w:t>
            </w:r>
          </w:p>
        </w:tc>
        <w:tc>
          <w:tcPr>
            <w:tcW w:type="dxa" w:w="1927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三档</w:t>
            </w:r>
          </w:p>
        </w:tc>
        <w:tc>
          <w:tcPr>
            <w:tcW w:type="dxa" w:w="1652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净 XIRR 极差</w:t>
            </w:r>
          </w:p>
        </w:tc>
        <w:tc>
          <w:tcPr>
            <w:tcW w:type="dxa" w:w="4407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结论</w:t>
            </w:r>
          </w:p>
        </w:tc>
      </w:tr>
      <w:tr>
        <w:tc>
          <w:tcPr>
            <w:tcW w:type="dxa" w:w="165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止盈估值线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65 / 70 / 75</w:t>
            </w:r>
          </w:p>
        </w:tc>
        <w:tc>
          <w:tcPr>
            <w:tcW w:type="dxa" w:w="165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0.45–0.71 pp</w:t>
            </w:r>
          </w:p>
        </w:tc>
        <w:tc>
          <w:tcPr>
            <w:tcW w:type="dxa" w:w="44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最敏感；上移到 75 一致提高收益 +0.15 ~ +0.35，回撤只多 0.1–0.4</w:t>
            </w:r>
          </w:p>
        </w:tc>
      </w:tr>
      <w:tr>
        <w:tc>
          <w:tcPr>
            <w:tcW w:type="dxa" w:w="165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底仓比例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10% / 20% / 30%</w:t>
            </w:r>
          </w:p>
        </w:tc>
        <w:tc>
          <w:tcPr>
            <w:tcW w:type="dxa" w:w="165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0.13–0.27 pp</w:t>
            </w:r>
          </w:p>
        </w:tc>
        <w:tc>
          <w:tcPr>
            <w:tcW w:type="dxa" w:w="44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30% 略好、10% 最差</w:t>
            </w:r>
          </w:p>
        </w:tc>
      </w:tr>
      <w:tr>
        <w:tc>
          <w:tcPr>
            <w:tcW w:type="dxa" w:w="165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回投估值线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45 / 50 / 55</w:t>
            </w:r>
          </w:p>
        </w:tc>
        <w:tc>
          <w:tcPr>
            <w:tcW w:type="dxa" w:w="165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0.05–0.10 pp</w:t>
            </w:r>
          </w:p>
        </w:tc>
        <w:tc>
          <w:tcPr>
            <w:tcW w:type="dxa" w:w="44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几乎无影响</w:t>
            </w:r>
          </w:p>
        </w:tc>
      </w:tr>
      <w:tr>
        <w:tc>
          <w:tcPr>
            <w:tcW w:type="dxa" w:w="165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交易阈值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3% / 5% / 7%</w:t>
            </w:r>
          </w:p>
        </w:tc>
        <w:tc>
          <w:tcPr>
            <w:tcW w:type="dxa" w:w="165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≤0.03 pp</w:t>
            </w:r>
          </w:p>
        </w:tc>
        <w:tc>
          <w:tcPr>
            <w:tcW w:type="dxa" w:w="44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几乎无影响（冲击成本按金额计提）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Calibri" w:cs="Calibri" w:eastAsia="Microsoft YaHei" w:hAnsi="Calibri"/>
        </w:rPr>
        <w:t xml:space="preserve">参数高原全部落在止盈线 75 这一档（V1.7 另含止盈 70）。过拟合检验：训练集最优组合在独立 MC 路径上的增益缩小到训练集的 45%–100%，排名掉到第 3–15 名——“止盈线上移”是真规律，但不宜按训练集精调到某个精确值。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4.8 多周期共振预警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11"/>
        <w:gridCol w:w="1505"/>
        <w:gridCol w:w="1505"/>
        <w:gridCol w:w="1505"/>
        <w:gridCol w:w="2112"/>
      </w:tblGrid>
      <w:tr>
        <w:trPr>
          <w:tblHeader/>
        </w:trPr>
        <w:tc>
          <w:tcPr>
            <w:tcW w:type="dxa" w:w="3011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触发方式</w:t>
            </w:r>
          </w:p>
        </w:tc>
        <w:tc>
          <w:tcPr>
            <w:tcW w:type="dxa" w:w="1505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准确率</w:t>
            </w:r>
          </w:p>
        </w:tc>
        <w:tc>
          <w:tcPr>
            <w:tcW w:type="dxa" w:w="1505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假阳性率</w:t>
            </w:r>
          </w:p>
        </w:tc>
        <w:tc>
          <w:tcPr>
            <w:tcW w:type="dxa" w:w="1505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漏警率</w:t>
            </w:r>
          </w:p>
        </w:tc>
        <w:tc>
          <w:tcPr>
            <w:tcW w:type="dxa" w:w="2112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提前天数（中位）</w:t>
            </w:r>
          </w:p>
        </w:tc>
      </w:tr>
      <w:tr>
        <w:tc>
          <w:tcPr>
            <w:tcW w:type="dxa" w:w="301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单周期（任一）</w:t>
            </w:r>
          </w:p>
        </w:tc>
        <w:tc>
          <w:tcPr>
            <w:tcW w:type="dxa" w:w="150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21%</w:t>
            </w:r>
          </w:p>
        </w:tc>
        <w:tc>
          <w:tcPr>
            <w:tcW w:type="dxa" w:w="150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72%</w:t>
            </w:r>
          </w:p>
        </w:tc>
        <w:tc>
          <w:tcPr>
            <w:tcW w:type="dxa" w:w="150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0%</w:t>
            </w:r>
          </w:p>
        </w:tc>
        <w:tc>
          <w:tcPr>
            <w:tcW w:type="dxa" w:w="21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500</w:t>
            </w:r>
          </w:p>
        </w:tc>
      </w:tr>
      <w:tr>
        <w:tc>
          <w:tcPr>
            <w:tcW w:type="dxa" w:w="301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双周期（任两）</w:t>
            </w:r>
          </w:p>
        </w:tc>
        <w:tc>
          <w:tcPr>
            <w:tcW w:type="dxa" w:w="150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39%</w:t>
            </w:r>
          </w:p>
        </w:tc>
        <w:tc>
          <w:tcPr>
            <w:tcW w:type="dxa" w:w="150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18%</w:t>
            </w:r>
          </w:p>
        </w:tc>
        <w:tc>
          <w:tcPr>
            <w:tcW w:type="dxa" w:w="150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26%</w:t>
            </w:r>
          </w:p>
        </w:tc>
        <w:tc>
          <w:tcPr>
            <w:tcW w:type="dxa" w:w="21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177</w:t>
            </w:r>
          </w:p>
        </w:tc>
      </w:tr>
      <w:tr>
        <w:tc>
          <w:tcPr>
            <w:tcW w:type="dxa" w:w="301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三周期共振</w:t>
            </w:r>
          </w:p>
        </w:tc>
        <w:tc>
          <w:tcPr>
            <w:tcW w:type="dxa" w:w="150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66%</w:t>
            </w:r>
          </w:p>
        </w:tc>
        <w:tc>
          <w:tcPr>
            <w:tcW w:type="dxa" w:w="150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1.8%</w:t>
            </w:r>
          </w:p>
        </w:tc>
        <w:tc>
          <w:tcPr>
            <w:tcW w:type="dxa" w:w="150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81%</w:t>
            </w:r>
          </w:p>
        </w:tc>
        <w:tc>
          <w:tcPr>
            <w:tcW w:type="dxa" w:w="21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−83（事后）</w:t>
            </w:r>
          </w:p>
        </w:tc>
      </w:tr>
      <w:tr>
        <w:tc>
          <w:tcPr>
            <w:tcW w:type="dxa" w:w="301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中周期 + 长周期</w:t>
            </w:r>
          </w:p>
        </w:tc>
        <w:tc>
          <w:tcPr>
            <w:tcW w:type="dxa" w:w="150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62%</w:t>
            </w:r>
          </w:p>
        </w:tc>
        <w:tc>
          <w:tcPr>
            <w:tcW w:type="dxa" w:w="150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3.5%</w:t>
            </w:r>
          </w:p>
        </w:tc>
        <w:tc>
          <w:tcPr>
            <w:tcW w:type="dxa" w:w="150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76%</w:t>
            </w:r>
          </w:p>
        </w:tc>
        <w:tc>
          <w:tcPr>
            <w:tcW w:type="dxa" w:w="21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−65</w:t>
            </w:r>
          </w:p>
        </w:tc>
      </w:tr>
    </w:tbl>
    <w:p>
      <w:pPr>
        <w:spacing w:after="160" w:before="60" w:line="280"/>
      </w:pPr>
      <w:r>
        <w:rPr>
          <w:rFonts w:ascii="Calibri" w:cs="Calibri" w:eastAsia="Microsoft YaHei" w:hAnsi="Calibri"/>
          <w:color w:val="5A6170"/>
          <w:sz w:val="18"/>
          <w:szCs w:val="18"/>
        </w:rPr>
        <w:t xml:space="preserve">短周期 60 日（估值偏离、RSI、20 日线斜率）；中周期 252 日（V&gt;70 天数、160 日线斜率、V 年均偏离）；长周期 756 日（ROE 5 年均值、国债趋势、观测中枢速率）。每个周期 3 项中 ≥2 项成立即触发。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YaHei" w:hAnsi="Calibri"/>
          <w:b/>
          <w:bCs/>
        </w:rPr>
        <w:t xml:space="preserve">假设成立一半</w:t>
      </w:r>
      <w:r>
        <w:rPr>
          <w:rFonts w:ascii="Calibri" w:cs="Calibri" w:eastAsia="Microsoft YaHei" w:hAnsi="Calibri"/>
        </w:rPr>
        <w:t xml:space="preserve">：共振越多越准、误报越少，但漏警越多、来得越晚——没有一种触发方式同时做到准、早、不漏。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YaHei" w:hAnsi="Calibri"/>
          <w:b/>
          <w:bCs/>
        </w:rPr>
        <w:t xml:space="preserve">第十节现有条件</w:t>
      </w:r>
      <w:r>
        <w:rPr>
          <w:rFonts w:ascii="Calibri" w:cs="Calibri" w:eastAsia="Microsoft YaHei" w:hAnsi="Calibri"/>
        </w:rPr>
        <w:t xml:space="preserve">：对快速跳升有效（V1.8 漏警 18%、提前约 85 天），对缓慢漂移基本失效（漏警 71%）。条件 A 几乎不误报但几乎总是太晚（漏警 97%–99%）；条件 B 贡献了大部分有效预警和误报（无漂移路径假阳性约 8%）。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YaHei" w:hAnsi="Calibri"/>
          <w:b/>
          <w:bCs/>
        </w:rPr>
        <w:t xml:space="preserve">分级应对（留出验证集）</w:t>
      </w:r>
      <w:r>
        <w:rPr>
          <w:rFonts w:ascii="Calibri" w:cs="Calibri" w:eastAsia="Microsoft YaHei" w:hAnsi="Calibri"/>
        </w:rPr>
        <w:t xml:space="preserve">：一级（止盈线 +5、回投线 −5、回投减半）平均 +0.09 个百分点、回撤 −1.6 ~ −2.2；二级、三级、分级组合分别约 −0.6、−0.55、−0.9，只有缓慢上移场景受益；看过结果后提出的两个优化候选也未超过“只用一级”。</w:t>
      </w:r>
    </w:p>
    <w:p>
      <w:pPr>
        <w:pBdr>
          <w:left w:val="single" w:color="1D4F91" w:sz="18" w:space="6"/>
        </w:pBdr>
        <w:shd w:fill="EEF3FA" w:color="auto" w:val="clear"/>
        <w:spacing w:after="160" w:before="120" w:line="320"/>
        <w:ind w:left="120" w:right="120"/>
      </w:pPr>
      <w:r>
        <w:rPr>
          <w:rFonts w:ascii="Calibri" w:cs="Calibri" w:eastAsia="Microsoft YaHei" w:hAnsi="Calibri"/>
          <w:b/>
          <w:bCs/>
          <w:color w:val="B8322A"/>
        </w:rPr>
        <w:t xml:space="preserve">要点　</w:t>
      </w:r>
      <w:r>
        <w:rPr>
          <w:rFonts w:ascii="Calibri" w:cs="Calibri" w:eastAsia="Microsoft YaHei" w:hAnsi="Calibri"/>
        </w:rPr>
        <w:t xml:space="preserve">最优应对：一级预警自动执行；二、三级只用于触发人工复核，不自动回补。重手应对押注“中枢已上移”，而预警准确率只有四到七成，押错就是高位满仓扛危机。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4.9 版本选择建议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72"/>
        <w:gridCol w:w="1334"/>
        <w:gridCol w:w="5932"/>
      </w:tblGrid>
      <w:tr>
        <w:trPr>
          <w:tblHeader/>
        </w:trPr>
        <w:tc>
          <w:tcPr>
            <w:tcW w:type="dxa" w:w="2372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风险偏好</w:t>
            </w:r>
          </w:p>
        </w:tc>
        <w:tc>
          <w:tcPr>
            <w:tcW w:type="dxa" w:w="1334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版本</w:t>
            </w:r>
          </w:p>
        </w:tc>
        <w:tc>
          <w:tcPr>
            <w:tcW w:type="dxa" w:w="5932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理由</w:t>
            </w:r>
          </w:p>
        </w:tc>
      </w:tr>
      <w:tr>
        <w:tc>
          <w:tcPr>
            <w:tcW w:type="dxa" w:w="23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稳健（最在意回撤）</w:t>
            </w:r>
          </w:p>
        </w:tc>
        <w:tc>
          <w:tcPr>
            <w:tcW w:type="dxa" w:w="133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V1.6</w:t>
            </w:r>
          </w:p>
        </w:tc>
        <w:tc>
          <w:tcPr>
            <w:tcW w:type="dxa" w:w="593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回撤最小、逃顶最彻底、假回归最少踩雷；年化最低</w:t>
            </w:r>
          </w:p>
        </w:tc>
      </w:tr>
      <w:tr>
        <w:tc>
          <w:tcPr>
            <w:tcW w:type="dxa" w:w="23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均衡</w:t>
            </w:r>
          </w:p>
        </w:tc>
        <w:tc>
          <w:tcPr>
            <w:tcW w:type="dxa" w:w="133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V1.8</w:t>
            </w:r>
          </w:p>
        </w:tc>
        <w:tc>
          <w:tcPr>
            <w:tcW w:type="dxa" w:w="593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收益比 V1.6 高约 0.12 pp，回撤只多约 2.7 pp，抄底率接近 V1.6</w:t>
            </w:r>
          </w:p>
        </w:tc>
      </w:tr>
      <w:tr>
        <w:tc>
          <w:tcPr>
            <w:tcW w:type="dxa" w:w="23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进取（能扛更深回撤）</w:t>
            </w:r>
          </w:p>
        </w:tc>
        <w:tc>
          <w:tcPr>
            <w:tcW w:type="dxa" w:w="133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V1.7</w:t>
            </w:r>
          </w:p>
        </w:tc>
        <w:tc>
          <w:tcPr>
            <w:tcW w:type="dxa" w:w="593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收益最高，中枢上移场景受伤最轻；回撤深约 5–6 pp</w:t>
            </w:r>
          </w:p>
        </w:tc>
      </w:tr>
      <w:tr>
        <w:tc>
          <w:tcPr>
            <w:tcW w:type="dxa" w:w="23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V1.9</w:t>
            </w:r>
          </w:p>
        </w:tc>
        <w:tc>
          <w:tcPr>
            <w:tcW w:type="dxa" w:w="133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593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与 V1.8 的差异在统计误差附近，没有足够理由替换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Calibri" w:cs="Calibri" w:eastAsia="Microsoft YaHei" w:hAnsi="Calibri"/>
        </w:rPr>
        <w:t xml:space="preserve">五、中枢漂移专项：各指标中枢各走各的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5.1 沪深300 的真实中枢信息（对话中提供）</w:t>
      </w:r>
    </w:p>
    <w:p>
      <w:pPr>
        <w:spacing w:after="120" w:line="320"/>
      </w:pPr>
      <w:r>
        <w:rPr>
          <w:rFonts w:ascii="Calibri" w:cs="Calibri" w:eastAsia="Microsoft YaHei" w:hAnsi="Calibri"/>
        </w:rPr>
        <w:t xml:space="preserve">用滚动 5 年中位数作动态中枢（2006-01 至 2026-10-13）：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YaHei" w:hAnsi="Calibri"/>
        </w:rPr>
        <w:t xml:space="preserve">PE 中枢：2006–2014 年因泡沫期估值移出窗口，从约 21 倍降到约 11 倍；2015 年后稳定在 11–13.3 倍，目前约 12.4 倍（实际 PE 13.18）。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YaHei" w:hAnsi="Calibri"/>
        </w:rPr>
        <w:t xml:space="preserve">PB 中枢：从 2011 年 2.95 降到 1.38，原因是 ROE 中枢从约 15.3% 降到约 10.8%；用全样本 PB 中位数 1.57 当合理水平会高估。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YaHei" w:hAnsi="Calibri"/>
        </w:rPr>
        <w:t xml:space="preserve">股息率中枢：约 1.5% → 2.76%。10 年国债中枢：约 3.5% → 2.3%（当前 1.67%），PE 中枢却没涨，股债利差中枢升到约 5.7 个百分点。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YaHei" w:hAnsi="Calibri"/>
        </w:rPr>
        <w:t xml:space="preserve">价格中枢（每股收益 × 滚动 5 年 PE 中位数）：2015 年底约 2,990 → 2021 年下半年约 4,950 → 2024 年 9 月约 3,530 → 2026 年 4 月约 4,040，合理区间 3,800–4,520；抬升几乎全部来自盈利（每股收益年化约 3.4%）。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YaHei" w:hAnsi="Calibri"/>
        </w:rPr>
        <w:t xml:space="preserve">偏离：2026-04-23 收盘 4,786（高于中枢约 18%）；10 月 13 日约 +6.5%。历史上 2015 年 +70%、2021 年 +35%、2012 年 −50%（2012 年部分是 2007 年泡沫期仍在窗口内造成的统计假象）。</w:t>
      </w:r>
    </w:p>
    <w:p>
      <w:pPr>
        <w:spacing w:after="120" w:line="320"/>
      </w:pPr>
      <w:r>
        <w:rPr>
          <w:rFonts w:ascii="Calibri" w:cs="Calibri" w:eastAsia="Microsoft YaHei" w:hAnsi="Calibri"/>
        </w:rPr>
        <w:t xml:space="preserve">按 1σ ≈ 20% 对数偏离换算：2015 年约 +2.6σ、2021 年 +1.5σ、2012 年 −3.5σ、2026-04 约 +0.8σ、2026-10 约 +0.3σ。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5.2 经济框架：四个驱动，五个中枢</w:t>
      </w:r>
    </w:p>
    <w:p>
      <w:pPr>
        <w:spacing w:after="120" w:line="320"/>
      </w:pPr>
      <w:r>
        <w:rPr>
          <w:rFonts w:ascii="Calibri" w:cs="Calibri" w:eastAsia="Microsoft YaHei" w:hAnsi="Calibri"/>
        </w:rPr>
        <w:t xml:space="preserve">四个底层驱动：10 年国债收益率 y、投资者要求的风险溢价 rp、ROE、分红率 p。各指标中枢由两类关系联系：</w:t>
      </w:r>
    </w:p>
    <w:p>
      <w:pPr>
        <w:shd w:fill="F3F4F6" w:color="auto" w:val="clear"/>
        <w:spacing w:after="0" w:before="80" w:line="300"/>
        <w:ind w:left="240" w:right="240"/>
      </w:pPr>
      <w:r>
        <w:rPr>
          <w:rFonts w:ascii="Consolas" w:cs="Consolas" w:eastAsia="Microsoft YaHei" w:hAnsi="Consolas"/>
          <w:sz w:val="20"/>
          <w:szCs w:val="20"/>
        </w:rPr>
        <w:t xml:space="preserve">恒等式：PB = PE × ROE；股息率 = p / PE；盈利收益率 ≈ 1 / PE；股债利差 = 盈利收益率 − y</w:t>
      </w:r>
    </w:p>
    <w:p>
      <w:pPr>
        <w:shd w:fill="F3F4F6" w:color="auto" w:val="clear"/>
        <w:spacing w:after="0" w:before="0" w:line="300"/>
        <w:ind w:left="240" w:right="240"/>
      </w:pPr>
      <w:r>
        <w:rPr>
          <w:rFonts w:ascii="Consolas" w:cs="Consolas" w:eastAsia="Microsoft YaHei" w:hAnsi="Consolas"/>
          <w:sz w:val="20"/>
          <w:szCs w:val="20"/>
        </w:rPr>
        <w:t xml:space="preserve">可持续增长：g_pot = ROE × (1 − p)；盈利增速变化 Δg = κ · Δg_pot（κ = 0.5）</w:t>
      </w:r>
    </w:p>
    <w:p>
      <w:pPr>
        <w:shd w:fill="F3F4F6" w:color="auto" w:val="clear"/>
        <w:spacing w:after="0" w:before="0" w:line="300"/>
        <w:ind w:left="240" w:right="240"/>
      </w:pPr>
      <w:r>
        <w:rPr>
          <w:rFonts w:ascii="Consolas" w:cs="Consolas" w:eastAsia="Microsoft YaHei" w:hAnsi="Consolas"/>
          <w:sz w:val="20"/>
          <w:szCs w:val="20"/>
        </w:rPr>
        <w:t xml:space="preserve">估值规律：Δln PE* = D · (−Δy − Δrp + Δg) + λ · ln(p / p0)（D = 12 为股票久期）</w:t>
      </w:r>
    </w:p>
    <w:p>
      <w:pPr>
        <w:shd w:fill="F3F4F6" w:color="auto" w:val="clear"/>
        <w:spacing w:after="140" w:before="0" w:line="300"/>
        <w:ind w:left="240" w:right="240"/>
      </w:pPr>
      <w:r>
        <w:rPr>
          <w:rFonts w:ascii="Consolas" w:cs="Consolas" w:eastAsia="Microsoft YaHei" w:hAnsi="Consolas"/>
          <w:sz w:val="20"/>
          <w:szCs w:val="20"/>
        </w:rPr>
        <w:t xml:space="preserve">λ = D·κ·ROE0·p0 ≈ 0.24，使分红率变化在基准 ROE 下对估值中性（MM 定理）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90"/>
        <w:gridCol w:w="1460"/>
        <w:gridCol w:w="1460"/>
        <w:gridCol w:w="1606"/>
        <w:gridCol w:w="1460"/>
        <w:gridCol w:w="1462"/>
      </w:tblGrid>
      <w:tr>
        <w:trPr>
          <w:tblHeader/>
        </w:trPr>
        <w:tc>
          <w:tcPr>
            <w:tcW w:type="dxa" w:w="2190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驱动 +1 单位</w:t>
            </w:r>
          </w:p>
        </w:tc>
        <w:tc>
          <w:tcPr>
            <w:tcW w:type="dxa" w:w="1460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PE 中枢</w:t>
            </w:r>
          </w:p>
        </w:tc>
        <w:tc>
          <w:tcPr>
            <w:tcW w:type="dxa" w:w="1460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PB 中枢</w:t>
            </w:r>
          </w:p>
        </w:tc>
        <w:tc>
          <w:tcPr>
            <w:tcW w:type="dxa" w:w="1606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股息率中枢</w:t>
            </w:r>
          </w:p>
        </w:tc>
        <w:tc>
          <w:tcPr>
            <w:tcW w:type="dxa" w:w="1460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股债利差</w:t>
            </w:r>
          </w:p>
        </w:tc>
        <w:tc>
          <w:tcPr>
            <w:tcW w:type="dxa" w:w="1462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盈利增速</w:t>
            </w:r>
          </w:p>
        </w:tc>
      </w:tr>
      <w:tr>
        <w:tc>
          <w:tcPr>
            <w:tcW w:type="dxa" w:w="21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国债 +1pp</w:t>
            </w:r>
          </w:p>
        </w:tc>
        <w:tc>
          <w:tcPr>
            <w:tcW w:type="dxa" w:w="14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−11.3%</w:t>
            </w:r>
          </w:p>
        </w:tc>
        <w:tc>
          <w:tcPr>
            <w:tcW w:type="dxa" w:w="14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−11.3%</w:t>
            </w:r>
          </w:p>
        </w:tc>
        <w:tc>
          <w:tcPr>
            <w:tcW w:type="dxa" w:w="16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+12.8%</w:t>
            </w:r>
          </w:p>
        </w:tc>
        <w:tc>
          <w:tcPr>
            <w:tcW w:type="dxa" w:w="14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≈0</w:t>
            </w:r>
          </w:p>
        </w:tc>
        <w:tc>
          <w:tcPr>
            <w:tcW w:type="dxa" w:w="146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1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风险溢价 +1pp</w:t>
            </w:r>
          </w:p>
        </w:tc>
        <w:tc>
          <w:tcPr>
            <w:tcW w:type="dxa" w:w="14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−11.3%</w:t>
            </w:r>
          </w:p>
        </w:tc>
        <w:tc>
          <w:tcPr>
            <w:tcW w:type="dxa" w:w="14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−11.3%</w:t>
            </w:r>
          </w:p>
        </w:tc>
        <w:tc>
          <w:tcPr>
            <w:tcW w:type="dxa" w:w="16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+12.8%</w:t>
            </w:r>
          </w:p>
        </w:tc>
        <w:tc>
          <w:tcPr>
            <w:tcW w:type="dxa" w:w="14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+0.98pp</w:t>
            </w:r>
          </w:p>
        </w:tc>
        <w:tc>
          <w:tcPr>
            <w:tcW w:type="dxa" w:w="146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1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ROE +1pp</w:t>
            </w:r>
          </w:p>
        </w:tc>
        <w:tc>
          <w:tcPr>
            <w:tcW w:type="dxa" w:w="14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+4.1%</w:t>
            </w:r>
          </w:p>
        </w:tc>
        <w:tc>
          <w:tcPr>
            <w:tcW w:type="dxa" w:w="14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+12.8%</w:t>
            </w:r>
          </w:p>
        </w:tc>
        <w:tc>
          <w:tcPr>
            <w:tcW w:type="dxa" w:w="16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−3.9%</w:t>
            </w:r>
          </w:p>
        </w:tc>
        <w:tc>
          <w:tcPr>
            <w:tcW w:type="dxa" w:w="14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−0.30pp</w:t>
            </w:r>
          </w:p>
        </w:tc>
        <w:tc>
          <w:tcPr>
            <w:tcW w:type="dxa" w:w="146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+0.34pp</w:t>
            </w:r>
          </w:p>
        </w:tc>
      </w:tr>
      <w:tr>
        <w:tc>
          <w:tcPr>
            <w:tcW w:type="dxa" w:w="21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分红率 +5pp</w:t>
            </w:r>
          </w:p>
        </w:tc>
        <w:tc>
          <w:tcPr>
            <w:tcW w:type="dxa" w:w="14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−0.25%</w:t>
            </w:r>
          </w:p>
        </w:tc>
        <w:tc>
          <w:tcPr>
            <w:tcW w:type="dxa" w:w="14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−0.25%</w:t>
            </w:r>
          </w:p>
        </w:tc>
        <w:tc>
          <w:tcPr>
            <w:tcW w:type="dxa" w:w="16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+15.4%</w:t>
            </w:r>
          </w:p>
        </w:tc>
        <w:tc>
          <w:tcPr>
            <w:tcW w:type="dxa" w:w="14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≈0</w:t>
            </w:r>
          </w:p>
        </w:tc>
        <w:tc>
          <w:tcPr>
            <w:tcW w:type="dxa" w:w="146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−0.30pp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Calibri" w:cs="Calibri" w:eastAsia="Microsoft YaHei" w:hAnsi="Calibri"/>
        </w:rPr>
        <w:t xml:space="preserve">“各走各的”是常态：利率和风险溢价同等影响 PE，但只有风险溢价改变股债利差；ROE 主要改变 PB；分红率几乎只改变股息率。</w:t>
      </w:r>
    </w:p>
    <w:p>
      <w:pPr>
        <w:spacing w:after="120" w:line="320"/>
      </w:pPr>
      <w:r>
        <w:rPr>
          <w:rFonts w:ascii="Calibri" w:cs="Calibri" w:eastAsia="Microsoft YaHei" w:hAnsi="Calibri"/>
          <w:b/>
          <w:bCs/>
        </w:rPr>
        <w:t xml:space="preserve">沪深300 2015–2026 的复现（情景 C1，降息被盈利下滑对冲）</w:t>
      </w:r>
      <w:r>
        <w:rPr>
          <w:rFonts w:ascii="Calibri" w:cs="Calibri" w:eastAsia="Microsoft YaHei" w:hAnsi="Calibri"/>
        </w:rPr>
        <w:t xml:space="preserve">：国债 −1.2pp、ROE 12% → 8.5%、分红率 33% → 39%，得到 PE 中枢 +1%（不动）、PB −28%、股息率 +17%、股债利差 +1.1pp、盈利增速 −1.4pp——与真实数据方向一致。解释：降息对 PE 的推升被 ROE 下滑带来的增速下降抵消，股债利差因此被动抬升。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5.3 情景与组合检验</w:t>
      </w:r>
    </w:p>
    <w:p>
      <w:pPr>
        <w:spacing w:after="120" w:line="320"/>
      </w:pPr>
      <w:r>
        <w:rPr>
          <w:rFonts w:ascii="Calibri" w:cs="Calibri" w:eastAsia="Microsoft YaHei" w:hAnsi="Calibri"/>
        </w:rPr>
        <w:t xml:space="preserve">18 个具名情景（7 个单因素、6 个经济组合、4 个快速版本 + 基准）× 24 条路径；另做 PE 中枢 / ROE / 分红率 / 国债四因子 × 三档全组合（风险溢价作为差额吸收项，变化超过 ±3pp 的 8 组视为经济上不自洽而剔除，剩 73 组）。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88"/>
        <w:gridCol w:w="2326"/>
        <w:gridCol w:w="3324"/>
      </w:tblGrid>
      <w:tr>
        <w:trPr>
          <w:tblHeader/>
        </w:trPr>
        <w:tc>
          <w:tcPr>
            <w:tcW w:type="dxa" w:w="3988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因子（每上升一档）</w:t>
            </w:r>
          </w:p>
        </w:tc>
        <w:tc>
          <w:tcPr>
            <w:tcW w:type="dxa" w:w="2326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V 偏移（点）</w:t>
            </w:r>
          </w:p>
        </w:tc>
        <w:tc>
          <w:tcPr>
            <w:tcW w:type="dxa" w:w="3324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四版年化超额变化</w:t>
            </w:r>
          </w:p>
        </w:tc>
      </w:tr>
      <w:tr>
        <w:tc>
          <w:tcPr>
            <w:tcW w:type="dxa" w:w="39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PE 中枢 ±18%</w:t>
            </w:r>
          </w:p>
        </w:tc>
        <w:tc>
          <w:tcPr>
            <w:tcW w:type="dxa" w:w="2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+4.25</w:t>
            </w:r>
          </w:p>
        </w:tc>
        <w:tc>
          <w:tcPr>
            <w:tcW w:type="dxa" w:w="33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−0.63 pp</w:t>
            </w:r>
          </w:p>
        </w:tc>
      </w:tr>
      <w:tr>
        <w:tc>
          <w:tcPr>
            <w:tcW w:type="dxa" w:w="39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ROE ±3pp</w:t>
            </w:r>
          </w:p>
        </w:tc>
        <w:tc>
          <w:tcPr>
            <w:tcW w:type="dxa" w:w="2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+1.60</w:t>
            </w:r>
          </w:p>
        </w:tc>
        <w:tc>
          <w:tcPr>
            <w:tcW w:type="dxa" w:w="33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−0.39 pp</w:t>
            </w:r>
          </w:p>
        </w:tc>
      </w:tr>
      <w:tr>
        <w:tc>
          <w:tcPr>
            <w:tcW w:type="dxa" w:w="39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分红率 −8 / +12pp</w:t>
            </w:r>
          </w:p>
        </w:tc>
        <w:tc>
          <w:tcPr>
            <w:tcW w:type="dxa" w:w="2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−1.90</w:t>
            </w:r>
          </w:p>
        </w:tc>
        <w:tc>
          <w:tcPr>
            <w:tcW w:type="dxa" w:w="33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+0.17 pp</w:t>
            </w:r>
          </w:p>
        </w:tc>
      </w:tr>
      <w:tr>
        <w:tc>
          <w:tcPr>
            <w:tcW w:type="dxa" w:w="39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国债 ±1.5pp</w:t>
            </w:r>
          </w:p>
        </w:tc>
        <w:tc>
          <w:tcPr>
            <w:tcW w:type="dxa" w:w="2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+0.95</w:t>
            </w:r>
          </w:p>
        </w:tc>
        <w:tc>
          <w:tcPr>
            <w:tcW w:type="dxa" w:w="33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−0.12 pp</w:t>
            </w:r>
          </w:p>
        </w:tc>
      </w:tr>
    </w:tbl>
    <w:p>
      <w:pPr>
        <w:spacing w:after="160" w:before="60" w:line="280"/>
      </w:pPr>
      <w:r>
        <w:rPr>
          <w:rFonts w:ascii="Calibri" w:cs="Calibri" w:eastAsia="Microsoft YaHei" w:hAnsi="Calibri"/>
          <w:color w:val="5A6170"/>
          <w:sz w:val="18"/>
          <w:szCs w:val="18"/>
        </w:rPr>
        <w:t xml:space="preserve">线性回归 R² 约 0.95，说明各因子影响基本可加、交互作用很小。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YaHei" w:hAnsi="Calibri"/>
          <w:b/>
          <w:bCs/>
        </w:rPr>
        <w:t xml:space="preserve">决定策略成败的是 PE 中枢本身</w:t>
      </w:r>
      <w:r>
        <w:rPr>
          <w:rFonts w:ascii="Calibri" w:cs="Calibri" w:eastAsia="Microsoft YaHei" w:hAnsi="Calibri"/>
        </w:rPr>
        <w:t xml:space="preserve">：PE 中枢上移是唯一的系统性威胁；ROE 即便在 PE 不变时也有影响（PB 分位被拉偏 + 增速变化）。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YaHei" w:hAnsi="Calibri"/>
          <w:b/>
          <w:bCs/>
        </w:rPr>
        <w:t xml:space="preserve">“成分漂移、PE 不动”只改变风险</w:t>
      </w:r>
      <w:r>
        <w:rPr>
          <w:rFonts w:ascii="Calibri" w:cs="Calibri" w:eastAsia="Microsoft YaHei" w:hAnsi="Calibri"/>
        </w:rPr>
        <w:t xml:space="preserve">：沪深300 型情景 V 平均偏低约 3.7 点（漂移结束后回到约 0），策略仓位更重、超额略增 0.4–0.8pp、回撤加深 0.7–2.8pp。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YaHei" w:hAnsi="Calibri"/>
          <w:b/>
          <w:bCs/>
        </w:rPr>
        <w:t xml:space="preserve">V 的识别能力稳健</w:t>
      </w:r>
      <w:r>
        <w:rPr>
          <w:rFonts w:ascii="Calibri" w:cs="Calibri" w:eastAsia="Microsoft YaHei" w:hAnsi="Calibri"/>
        </w:rPr>
        <w:t xml:space="preserve">：V 与真实偏离的相关系数基准 0.91，各种漂移下 0.84–0.90——漂移主要是“水平偏移”，不是“信号失灵”。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YaHei" w:hAnsi="Calibri"/>
          <w:b/>
          <w:bCs/>
        </w:rPr>
        <w:t xml:space="preserve">快与慢</w:t>
      </w:r>
      <w:r>
        <w:rPr>
          <w:rFonts w:ascii="Calibri" w:cs="Calibri" w:eastAsia="Microsoft YaHei" w:hAnsi="Calibri"/>
        </w:rPr>
        <w:t xml:space="preserve">：同样的利率下行，快速版的收益伤害约是缓慢版的一半；风险溢价急升比缓慢上升多出约 1.5–3pp 回撤。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YaHei" w:hAnsi="Calibri"/>
          <w:b/>
          <w:bCs/>
        </w:rPr>
        <w:t xml:space="preserve">去掉 PB 或只用盈利收益率</w:t>
      </w:r>
      <w:r>
        <w:rPr>
          <w:rFonts w:ascii="Calibri" w:cs="Calibri" w:eastAsia="Microsoft YaHei" w:hAnsi="Calibri"/>
        </w:rPr>
        <w:t xml:space="preserve">能减少偏移，但相关系数下降、收益在多数情景略低——不宜为单一指标漂移改公式。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5.4 一个被否定的想法：修订第十节复核规则</w:t>
      </w:r>
    </w:p>
    <w:p>
      <w:pPr>
        <w:spacing w:after="120" w:line="320"/>
      </w:pPr>
      <w:r>
        <w:rPr>
          <w:rFonts w:ascii="Calibri" w:cs="Calibri" w:eastAsia="Microsoft YaHei" w:hAnsi="Calibri"/>
        </w:rPr>
        <w:t xml:space="preserve">曾提议把复核证据改为“以 PE 滚动 5 年中位数上升 ≥10% 为主、利率下行只在股债利差未同步抬升时计入”。检验结果更差：PE 滚动中位数在普通周期里也常涨 10%，V1.8 在 18 个情景中误判“中枢上移”从 67 次增至 187 次（约 3 倍），复核增益由约 0 变负。原规则在 C1 型情景 34 次复核只误判 1 次——“下降 ≥50bp 且持续 1 年”加上必须先触发复核，已足够保守。</w:t>
      </w:r>
      <w:r>
        <w:rPr>
          <w:rFonts w:ascii="Calibri" w:cs="Calibri" w:eastAsia="Microsoft YaHei" w:hAnsi="Calibri"/>
          <w:b/>
          <w:bCs/>
        </w:rPr>
        <w:t xml:space="preserve">结论：保留原规则。</w:t>
      </w:r>
    </w:p>
    <w:p>
      <w:pPr>
        <w:pStyle w:val="Heading1"/>
        <w:pageBreakBefore/>
      </w:pPr>
      <w:r>
        <w:rPr>
          <w:rFonts w:ascii="Calibri" w:cs="Calibri" w:eastAsia="Microsoft YaHei" w:hAnsi="Calibri"/>
        </w:rPr>
        <w:t xml:space="preserve">六、结构性优化与 V 的构成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6.1 五个结构性开关（336 条新路径配对）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26"/>
        <w:gridCol w:w="1057"/>
        <w:gridCol w:w="1057"/>
        <w:gridCol w:w="1292"/>
        <w:gridCol w:w="2706"/>
      </w:tblGrid>
      <w:tr>
        <w:trPr>
          <w:tblHeader/>
        </w:trPr>
        <w:tc>
          <w:tcPr>
            <w:tcW w:type="dxa" w:w="3526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改法</w:t>
            </w:r>
          </w:p>
        </w:tc>
        <w:tc>
          <w:tcPr>
            <w:tcW w:type="dxa" w:w="1057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年化收益</w:t>
            </w:r>
          </w:p>
        </w:tc>
        <w:tc>
          <w:tcPr>
            <w:tcW w:type="dxa" w:w="1057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最大回撤</w:t>
            </w:r>
          </w:p>
        </w:tc>
        <w:tc>
          <w:tcPr>
            <w:tcW w:type="dxa" w:w="1292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缓慢上移场景</w:t>
            </w:r>
          </w:p>
        </w:tc>
        <w:tc>
          <w:tcPr>
            <w:tcW w:type="dxa" w:w="2706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结论</w:t>
            </w:r>
          </w:p>
        </w:tc>
      </w:tr>
      <w:tr>
        <w:tc>
          <w:tcPr>
            <w:tcW w:type="dxa" w:w="35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资金池收益化（货基，年化 = 国债 − 1pp）</w:t>
            </w:r>
          </w:p>
        </w:tc>
        <w:tc>
          <w:tcPr>
            <w:tcW w:type="dxa" w:w="105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+0.67</w:t>
            </w:r>
          </w:p>
        </w:tc>
        <w:tc>
          <w:tcPr>
            <w:tcW w:type="dxa" w:w="105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−0.32</w:t>
            </w:r>
          </w:p>
        </w:tc>
        <w:tc>
          <w:tcPr>
            <w:tcW w:type="dxa" w:w="12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+0.66</w:t>
            </w:r>
          </w:p>
        </w:tc>
        <w:tc>
          <w:tcPr>
            <w:tcW w:type="dxa" w:w="27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18 类场景全部为正，推荐</w:t>
            </w:r>
          </w:p>
        </w:tc>
      </w:tr>
      <w:tr>
        <w:tc>
          <w:tcPr>
            <w:tcW w:type="dxa" w:w="35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动态底仓（长周期确认上移时 20% → 40%）</w:t>
            </w:r>
          </w:p>
        </w:tc>
        <w:tc>
          <w:tcPr>
            <w:tcW w:type="dxa" w:w="105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−0.01</w:t>
            </w:r>
          </w:p>
        </w:tc>
        <w:tc>
          <w:tcPr>
            <w:tcW w:type="dxa" w:w="105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+0.40</w:t>
            </w:r>
          </w:p>
        </w:tc>
        <w:tc>
          <w:tcPr>
            <w:tcW w:type="dxa" w:w="12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+0.33</w:t>
            </w:r>
          </w:p>
        </w:tc>
        <w:tc>
          <w:tcPr>
            <w:tcW w:type="dxa" w:w="27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只在需要时起作用，可作保险</w:t>
            </w:r>
          </w:p>
        </w:tc>
      </w:tr>
      <w:tr>
        <w:tc>
          <w:tcPr>
            <w:tcW w:type="dxa" w:w="35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超时分批回补（闲置满 2 年且 V&lt;70）</w:t>
            </w:r>
          </w:p>
        </w:tc>
        <w:tc>
          <w:tcPr>
            <w:tcW w:type="dxa" w:w="105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0.00</w:t>
            </w:r>
          </w:p>
        </w:tc>
        <w:tc>
          <w:tcPr>
            <w:tcW w:type="dxa" w:w="105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+0.04</w:t>
            </w:r>
          </w:p>
        </w:tc>
        <w:tc>
          <w:tcPr>
            <w:tcW w:type="dxa" w:w="12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+0.07</w:t>
            </w:r>
          </w:p>
        </w:tc>
        <w:tc>
          <w:tcPr>
            <w:tcW w:type="dxa" w:w="27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几乎不触发（缓慢上移时 V 一直 ≥70）</w:t>
            </w:r>
          </w:p>
        </w:tc>
      </w:tr>
      <w:tr>
        <w:tc>
          <w:tcPr>
            <w:tcW w:type="dxa" w:w="35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分项偏差调线</w:t>
            </w:r>
          </w:p>
        </w:tc>
        <w:tc>
          <w:tcPr>
            <w:tcW w:type="dxa" w:w="105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−0.04</w:t>
            </w:r>
          </w:p>
        </w:tc>
        <w:tc>
          <w:tcPr>
            <w:tcW w:type="dxa" w:w="105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−0.09</w:t>
            </w:r>
          </w:p>
        </w:tc>
        <w:tc>
          <w:tcPr>
            <w:tcW w:type="dxa" w:w="12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−0.13</w:t>
            </w:r>
          </w:p>
        </w:tc>
        <w:tc>
          <w:tcPr>
            <w:tcW w:type="dxa" w:w="27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无效，否定</w:t>
            </w:r>
          </w:p>
        </w:tc>
      </w:tr>
      <w:tr>
        <w:tc>
          <w:tcPr>
            <w:tcW w:type="dxa" w:w="35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自适应窗口（V 年均 &gt;65 时改用 3 年窗口）</w:t>
            </w:r>
          </w:p>
        </w:tc>
        <w:tc>
          <w:tcPr>
            <w:tcW w:type="dxa" w:w="105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−0.36</w:t>
            </w:r>
          </w:p>
        </w:tc>
        <w:tc>
          <w:tcPr>
            <w:tcW w:type="dxa" w:w="105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+3.12</w:t>
            </w:r>
          </w:p>
        </w:tc>
        <w:tc>
          <w:tcPr>
            <w:tcW w:type="dxa" w:w="12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+0.89</w:t>
            </w:r>
          </w:p>
        </w:tc>
        <w:tc>
          <w:tcPr>
            <w:tcW w:type="dxa" w:w="27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伤害强周期、假回归场景，否定</w:t>
            </w:r>
          </w:p>
        </w:tc>
      </w:tr>
      <w:tr>
        <w:tc>
          <w:tcPr>
            <w:tcW w:type="dxa" w:w="35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组合：收益化 + 超时回补 + 动态底仓</w:t>
            </w:r>
          </w:p>
        </w:tc>
        <w:tc>
          <w:tcPr>
            <w:tcW w:type="dxa" w:w="105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+0.65</w:t>
            </w:r>
          </w:p>
        </w:tc>
        <w:tc>
          <w:tcPr>
            <w:tcW w:type="dxa" w:w="105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+0.09</w:t>
            </w:r>
          </w:p>
        </w:tc>
        <w:tc>
          <w:tcPr>
            <w:tcW w:type="dxa" w:w="12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+1.03</w:t>
            </w:r>
          </w:p>
        </w:tc>
        <w:tc>
          <w:tcPr>
            <w:tcW w:type="dxa" w:w="27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推荐</w:t>
            </w:r>
          </w:p>
        </w:tc>
      </w:tr>
    </w:tbl>
    <w:p>
      <w:pPr>
        <w:spacing w:after="160" w:before="60" w:line="280"/>
      </w:pPr>
      <w:r>
        <w:rPr>
          <w:rFonts w:ascii="Calibri" w:cs="Calibri" w:eastAsia="Microsoft YaHei" w:hAnsi="Calibri"/>
          <w:color w:val="5A6170"/>
          <w:sz w:val="18"/>
          <w:szCs w:val="18"/>
        </w:rPr>
        <w:t xml:space="preserve">单位：四版平均，百分点/年。</w:t>
      </w:r>
    </w:p>
    <w:p>
      <w:pPr>
        <w:pBdr>
          <w:left w:val="single" w:color="1D4F91" w:sz="18" w:space="6"/>
        </w:pBdr>
        <w:shd w:fill="EEF3FA" w:color="auto" w:val="clear"/>
        <w:spacing w:after="160" w:before="120" w:line="320"/>
        <w:ind w:left="120" w:right="120"/>
      </w:pPr>
      <w:r>
        <w:rPr>
          <w:rFonts w:ascii="Calibri" w:cs="Calibri" w:eastAsia="Microsoft YaHei" w:hAnsi="Calibri"/>
          <w:b/>
          <w:bCs/>
          <w:color w:val="B8322A"/>
        </w:rPr>
        <w:t xml:space="preserve">要点　</w:t>
      </w:r>
      <w:r>
        <w:rPr>
          <w:rFonts w:ascii="Calibri" w:cs="Calibri" w:eastAsia="Microsoft YaHei" w:hAnsi="Calibri"/>
        </w:rPr>
        <w:t xml:space="preserve">中枢漂移的损失主要来自“卖出后现金闲置”。降低闲置代价（资金池收益化）比让 V 跟上中枢更有效、更稳。即便如此，年均 5% 的缓慢上移中组合方案也只补回约 1 个百分点——这是估值均值回归策略的内在代价。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6.2 让 V 跟随中枢：为什么做不到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86"/>
        <w:gridCol w:w="1562"/>
        <w:gridCol w:w="1302"/>
        <w:gridCol w:w="1302"/>
        <w:gridCol w:w="2086"/>
      </w:tblGrid>
      <w:tr>
        <w:trPr>
          <w:tblHeader/>
        </w:trPr>
        <w:tc>
          <w:tcPr>
            <w:tcW w:type="dxa" w:w="3386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方法</w:t>
            </w:r>
          </w:p>
        </w:tc>
        <w:tc>
          <w:tcPr>
            <w:tcW w:type="dxa" w:w="1562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与理想 V 相关</w:t>
            </w:r>
          </w:p>
        </w:tc>
        <w:tc>
          <w:tcPr>
            <w:tcW w:type="dxa" w:w="1302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年化收益</w:t>
            </w:r>
          </w:p>
        </w:tc>
        <w:tc>
          <w:tcPr>
            <w:tcW w:type="dxa" w:w="1302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回撤</w:t>
            </w:r>
          </w:p>
        </w:tc>
        <w:tc>
          <w:tcPr>
            <w:tcW w:type="dxa" w:w="2086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缓慢上移</w:t>
            </w:r>
          </w:p>
        </w:tc>
      </w:tr>
      <w:tr>
        <w:tc>
          <w:tcPr>
            <w:tcW w:type="dxa" w:w="33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原版（5/10 年分位）</w:t>
            </w:r>
          </w:p>
        </w:tc>
        <w:tc>
          <w:tcPr>
            <w:tcW w:type="dxa" w:w="156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0.931</w:t>
            </w:r>
          </w:p>
        </w:tc>
        <w:tc>
          <w:tcPr>
            <w:tcW w:type="dxa" w:w="13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3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20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—（偏差 +21 点）</w:t>
            </w:r>
          </w:p>
        </w:tc>
      </w:tr>
      <w:tr>
        <w:tc>
          <w:tcPr>
            <w:tcW w:type="dxa" w:w="33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3 年短窗口</w:t>
            </w:r>
          </w:p>
        </w:tc>
        <w:tc>
          <w:tcPr>
            <w:tcW w:type="dxa" w:w="156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0.856</w:t>
            </w:r>
          </w:p>
        </w:tc>
        <w:tc>
          <w:tcPr>
            <w:tcW w:type="dxa" w:w="13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−1.34</w:t>
            </w:r>
          </w:p>
        </w:tc>
        <w:tc>
          <w:tcPr>
            <w:tcW w:type="dxa" w:w="13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+2.93</w:t>
            </w:r>
          </w:p>
        </w:tc>
        <w:tc>
          <w:tcPr>
            <w:tcW w:type="dxa" w:w="20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+1.30</w:t>
            </w:r>
          </w:p>
        </w:tc>
      </w:tr>
      <w:tr>
        <w:tc>
          <w:tcPr>
            <w:tcW w:type="dxa" w:w="33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EWMA 去中枢（3 年半衰期）</w:t>
            </w:r>
          </w:p>
        </w:tc>
        <w:tc>
          <w:tcPr>
            <w:tcW w:type="dxa" w:w="156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0.902</w:t>
            </w:r>
          </w:p>
        </w:tc>
        <w:tc>
          <w:tcPr>
            <w:tcW w:type="dxa" w:w="13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−0.59</w:t>
            </w:r>
          </w:p>
        </w:tc>
        <w:tc>
          <w:tcPr>
            <w:tcW w:type="dxa" w:w="13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+3.70</w:t>
            </w:r>
          </w:p>
        </w:tc>
        <w:tc>
          <w:tcPr>
            <w:tcW w:type="dxa" w:w="20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+3.46（偏差降到 +2）</w:t>
            </w:r>
          </w:p>
        </w:tc>
      </w:tr>
      <w:tr>
        <w:tc>
          <w:tcPr>
            <w:tcW w:type="dxa" w:w="33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10 年线性趋势去中枢</w:t>
            </w:r>
          </w:p>
        </w:tc>
        <w:tc>
          <w:tcPr>
            <w:tcW w:type="dxa" w:w="156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0.795</w:t>
            </w:r>
          </w:p>
        </w:tc>
        <w:tc>
          <w:tcPr>
            <w:tcW w:type="dxa" w:w="13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−1.67</w:t>
            </w:r>
          </w:p>
        </w:tc>
        <w:tc>
          <w:tcPr>
            <w:tcW w:type="dxa" w:w="13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+5.62</w:t>
            </w:r>
          </w:p>
        </w:tc>
        <w:tc>
          <w:tcPr>
            <w:tcW w:type="dxa" w:w="20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+3.22</w:t>
            </w:r>
          </w:p>
        </w:tc>
      </w:tr>
      <w:tr>
        <w:tc>
          <w:tcPr>
            <w:tcW w:type="dxa" w:w="33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基本面回归中枢</w:t>
            </w:r>
          </w:p>
        </w:tc>
        <w:tc>
          <w:tcPr>
            <w:tcW w:type="dxa" w:w="156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0.695</w:t>
            </w:r>
          </w:p>
        </w:tc>
        <w:tc>
          <w:tcPr>
            <w:tcW w:type="dxa" w:w="13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−1.33</w:t>
            </w:r>
          </w:p>
        </w:tc>
        <w:tc>
          <w:tcPr>
            <w:tcW w:type="dxa" w:w="13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+7.24</w:t>
            </w:r>
          </w:p>
        </w:tc>
        <w:tc>
          <w:tcPr>
            <w:tcW w:type="dxa" w:w="20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+2.50</w:t>
            </w:r>
          </w:p>
        </w:tc>
      </w:tr>
      <w:tr>
        <w:tc>
          <w:tcPr>
            <w:tcW w:type="dxa" w:w="33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原版 + EWMA 各半</w:t>
            </w:r>
          </w:p>
        </w:tc>
        <w:tc>
          <w:tcPr>
            <w:tcW w:type="dxa" w:w="156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0.93</w:t>
            </w:r>
          </w:p>
        </w:tc>
        <w:tc>
          <w:tcPr>
            <w:tcW w:type="dxa" w:w="13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−0.19</w:t>
            </w:r>
          </w:p>
        </w:tc>
        <w:tc>
          <w:tcPr>
            <w:tcW w:type="dxa" w:w="13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+1.72</w:t>
            </w:r>
          </w:p>
        </w:tc>
        <w:tc>
          <w:tcPr>
            <w:tcW w:type="dxa" w:w="20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+1.24</w:t>
            </w:r>
          </w:p>
        </w:tc>
      </w:tr>
      <w:tr>
        <w:tc>
          <w:tcPr>
            <w:tcW w:type="dxa" w:w="33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门控 EWMA（基本面确认才切换）</w:t>
            </w:r>
          </w:p>
        </w:tc>
        <w:tc>
          <w:tcPr>
            <w:tcW w:type="dxa" w:w="156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0.91</w:t>
            </w:r>
          </w:p>
        </w:tc>
        <w:tc>
          <w:tcPr>
            <w:tcW w:type="dxa" w:w="13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−0.36</w:t>
            </w:r>
          </w:p>
        </w:tc>
        <w:tc>
          <w:tcPr>
            <w:tcW w:type="dxa" w:w="13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+2.29</w:t>
            </w:r>
          </w:p>
        </w:tc>
        <w:tc>
          <w:tcPr>
            <w:tcW w:type="dxa" w:w="20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+1.49</w:t>
            </w:r>
          </w:p>
        </w:tc>
      </w:tr>
      <w:tr>
        <w:tc>
          <w:tcPr>
            <w:tcW w:type="dxa" w:w="33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理想 V（上限）</w:t>
            </w:r>
          </w:p>
        </w:tc>
        <w:tc>
          <w:tcPr>
            <w:tcW w:type="dxa" w:w="156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1.000</w:t>
            </w:r>
          </w:p>
        </w:tc>
        <w:tc>
          <w:tcPr>
            <w:tcW w:type="dxa" w:w="13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+1.07</w:t>
            </w:r>
          </w:p>
        </w:tc>
        <w:tc>
          <w:tcPr>
            <w:tcW w:type="dxa" w:w="13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−1.12</w:t>
            </w:r>
          </w:p>
        </w:tc>
        <w:tc>
          <w:tcPr>
            <w:tcW w:type="dxa" w:w="20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+5.30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Calibri" w:cs="Calibri" w:eastAsia="Microsoft YaHei" w:hAnsi="Calibri"/>
          <w:b/>
          <w:bCs/>
        </w:rPr>
        <w:t xml:space="preserve">根本原因</w:t>
      </w:r>
      <w:r>
        <w:rPr>
          <w:rFonts w:ascii="Calibri" w:cs="Calibri" w:eastAsia="Microsoft YaHei" w:hAnsi="Calibri"/>
        </w:rPr>
        <w:t xml:space="preserve">：任何“跟随慢变均值”的统计方法，都会把持续几年的大牛市或大熊市当成中枢移动——牛市后段觉得“不贵了”少卖，熊市后段觉得“不便宜了”少买。只看估值和价格数据，分不清“中枢真的上移”和“持续很久的高估”。基本面回归看不见风险溢价，危机时利率又与估值同步下跌，会把真实偏离误认成中枢变化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6.3 国际主流机构的做法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944"/>
        <w:gridCol w:w="2141"/>
        <w:gridCol w:w="2144"/>
      </w:tblGrid>
      <w:tr>
        <w:trPr>
          <w:tblHeader/>
        </w:trPr>
        <w:tc>
          <w:tcPr>
            <w:tcW w:type="dxa" w:w="2409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机构 / 研究</w:t>
            </w:r>
          </w:p>
        </w:tc>
        <w:tc>
          <w:tcPr>
            <w:tcW w:type="dxa" w:w="2944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做法</w:t>
            </w:r>
          </w:p>
        </w:tc>
        <w:tc>
          <w:tcPr>
            <w:tcW w:type="dxa" w:w="2141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模拟移植结果</w:t>
            </w:r>
          </w:p>
        </w:tc>
        <w:tc>
          <w:tcPr>
            <w:tcW w:type="dxa" w:w="2144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能否套用</w:t>
            </w:r>
          </w:p>
        </w:tc>
      </w:tr>
      <w:tr>
        <w:tc>
          <w:tcPr>
            <w:tcW w:type="dxa" w:w="24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Shiller 等（2020）超额 CAPE 收益率</w:t>
            </w:r>
          </w:p>
        </w:tc>
        <w:tc>
          <w:tcPr>
            <w:tcW w:type="dxa" w:w="29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1/CAPE − 实际利率</w:t>
            </w:r>
          </w:p>
        </w:tc>
        <w:tc>
          <w:tcPr>
            <w:tcW w:type="dxa" w:w="214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单独用 −0.55</w:t>
            </w:r>
          </w:p>
        </w:tc>
        <w:tc>
          <w:tcPr>
            <w:tcW w:type="dxa" w:w="21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原版股债利差已含此思路</w:t>
            </w:r>
          </w:p>
        </w:tc>
      </w:tr>
      <w:tr>
        <w:tc>
          <w:tcPr>
            <w:tcW w:type="dxa" w:w="24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Vanguard 公允价值 CAPE</w:t>
            </w:r>
          </w:p>
        </w:tc>
        <w:tc>
          <w:tcPr>
            <w:tcW w:type="dxa" w:w="29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盈利收益率、通胀、国债的误差修正模型（1940 年起）</w:t>
            </w:r>
          </w:p>
        </w:tc>
        <w:tc>
          <w:tcPr>
            <w:tcW w:type="dxa" w:w="214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+0.13（不显著），回撤 +2.7</w:t>
            </w:r>
          </w:p>
        </w:tc>
        <w:tc>
          <w:tcPr>
            <w:tcW w:type="dxa" w:w="21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不建议：沪深300 样本仅约 20 年</w:t>
            </w:r>
          </w:p>
        </w:tc>
      </w:tr>
      <w:tr>
        <w:tc>
          <w:tcPr>
            <w:tcW w:type="dxa" w:w="24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Damodaran 隐含风险溢价</w:t>
            </w:r>
          </w:p>
        </w:tc>
        <w:tc>
          <w:tcPr>
            <w:tcW w:type="dxa" w:w="29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从指数与现金流反推内部收益率再减无风险利率</w:t>
            </w:r>
          </w:p>
        </w:tc>
        <w:tc>
          <w:tcPr>
            <w:tcW w:type="dxa" w:w="214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单独用 −0.80；替换股债利差 +0.22</w:t>
            </w:r>
          </w:p>
        </w:tc>
        <w:tc>
          <w:tcPr>
            <w:tcW w:type="dxa" w:w="21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推荐“替换”用法</w:t>
            </w:r>
          </w:p>
        </w:tc>
      </w:tr>
      <w:tr>
        <w:tc>
          <w:tcPr>
            <w:tcW w:type="dxa" w:w="24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Lettau &amp; Van Nieuwerburgh（2008）</w:t>
            </w:r>
          </w:p>
        </w:tc>
        <w:tc>
          <w:tcPr>
            <w:tcW w:type="dxa" w:w="29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识别稳态均值断点、分段去均值</w:t>
            </w:r>
          </w:p>
        </w:tc>
        <w:tc>
          <w:tcPr>
            <w:tcW w:type="dxa" w:w="214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−0.19，回撤 +2.1</w:t>
            </w:r>
          </w:p>
        </w:tc>
        <w:tc>
          <w:tcPr>
            <w:tcW w:type="dxa" w:w="21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不建议直接改 V</w:t>
            </w:r>
          </w:p>
        </w:tc>
      </w:tr>
      <w:tr>
        <w:tc>
          <w:tcPr>
            <w:tcW w:type="dxa" w:w="24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GMO / Research Affiliates</w:t>
            </w:r>
          </w:p>
        </w:tc>
        <w:tc>
          <w:tcPr>
            <w:tcW w:type="dxa" w:w="29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估值只部分回归、回归更慢</w:t>
            </w:r>
          </w:p>
        </w:tc>
        <w:tc>
          <w:tcPr>
            <w:tcW w:type="dxa" w:w="214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只回归一半：−0.27，回撤 +5.6</w:t>
            </w:r>
          </w:p>
        </w:tc>
        <w:tc>
          <w:tcPr>
            <w:tcW w:type="dxa" w:w="21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不建议</w:t>
            </w:r>
          </w:p>
        </w:tc>
      </w:tr>
      <w:tr>
        <w:tc>
          <w:tcPr>
            <w:tcW w:type="dxa" w:w="24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AQR（2017）“Sin a Little”</w:t>
            </w:r>
          </w:p>
        </w:tc>
        <w:tc>
          <w:tcPr>
            <w:tcW w:type="dxa" w:w="29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估值择时只做小幅，叠加动量</w:t>
            </w:r>
          </w:p>
        </w:tc>
        <w:tc>
          <w:tcPr>
            <w:tcW w:type="dxa" w:w="214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21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已在用（V1.6 的 U、V1.7 的周线信号）</w:t>
            </w:r>
          </w:p>
        </w:tc>
      </w:tr>
      <w:tr>
        <w:tc>
          <w:tcPr>
            <w:tcW w:type="dxa" w:w="24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Arnott 等（2021）</w:t>
            </w:r>
          </w:p>
        </w:tc>
        <w:tc>
          <w:tcPr>
            <w:tcW w:type="dxa" w:w="29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账面价值加资本化无形资产</w:t>
            </w:r>
          </w:p>
        </w:tc>
        <w:tc>
          <w:tcPr>
            <w:tcW w:type="dxa" w:w="214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单一指数模拟测不了</w:t>
            </w:r>
          </w:p>
        </w:tc>
        <w:tc>
          <w:tcPr>
            <w:tcW w:type="dxa" w:w="21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原理适用，需成分股数据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Calibri" w:cs="Calibri" w:eastAsia="Microsoft YaHei" w:hAnsi="Calibri"/>
        </w:rPr>
        <w:t xml:space="preserve">共同点：没有机构声称能让估值指标实时、准确地跟上中枢；主流做法是利率调整、前瞻性风险溢价、假设回归更慢更少、小幅择时叠加动量、修正会计口径。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6.4 隐含风险溢价替换股债利差：原理</w:t>
      </w:r>
    </w:p>
    <w:p>
      <w:pPr>
        <w:shd w:fill="F3F4F6" w:color="auto" w:val="clear"/>
        <w:spacing w:after="0" w:before="80" w:line="300"/>
        <w:ind w:left="240" w:right="240"/>
      </w:pPr>
      <w:r>
        <w:rPr>
          <w:rFonts w:ascii="Consolas" w:cs="Consolas" w:eastAsia="Microsoft YaHei" w:hAnsi="Consolas"/>
          <w:sz w:val="20"/>
          <w:szCs w:val="20"/>
        </w:rPr>
        <w:t xml:space="preserve">股债利差     = 1/PE − 10 年国债                     （假设：股票回报 ≈ 盈利收益率）</w:t>
      </w:r>
    </w:p>
    <w:p>
      <w:pPr>
        <w:shd w:fill="F3F4F6" w:color="auto" w:val="clear"/>
        <w:spacing w:after="0" w:before="0" w:line="300"/>
        <w:ind w:left="240" w:right="240"/>
      </w:pPr>
      <w:r>
        <w:rPr>
          <w:rFonts w:ascii="Consolas" w:cs="Consolas" w:eastAsia="Microsoft YaHei" w:hAnsi="Consolas"/>
          <w:sz w:val="20"/>
          <w:szCs w:val="20"/>
        </w:rPr>
        <w:t xml:space="preserve">隐含风险溢价 = 股息率 × (1 + g) + g − 10 年国债     （股利折现模型）</w:t>
      </w:r>
    </w:p>
    <w:p>
      <w:pPr>
        <w:shd w:fill="F3F4F6" w:color="auto" w:val="clear"/>
        <w:spacing w:after="0" w:before="0" w:line="300"/>
        <w:ind w:left="240" w:right="240"/>
      </w:pPr>
      <w:r>
        <w:rPr>
          <w:rFonts w:ascii="Consolas" w:cs="Consolas" w:eastAsia="Microsoft YaHei" w:hAnsi="Consolas"/>
          <w:sz w:val="20"/>
          <w:szCs w:val="20"/>
        </w:rPr>
        <w:t xml:space="preserve">g = clip(0.5 × ROE 5 年均值 × (1 − 分红率), 0, 8%)，分红率 = 股息率 × PE</w:t>
      </w:r>
    </w:p>
    <w:p>
      <w:pPr>
        <w:shd w:fill="F3F4F6" w:color="auto" w:val="clear"/>
        <w:spacing w:after="140" w:before="0" w:line="300"/>
        <w:ind w:left="240" w:right="240"/>
      </w:pPr>
      <w:r>
        <w:rPr>
          <w:rFonts w:ascii="Consolas" w:cs="Consolas" w:eastAsia="Microsoft YaHei" w:hAnsi="Consolas"/>
          <w:sz w:val="20"/>
          <w:szCs w:val="20"/>
        </w:rPr>
        <w:t xml:space="preserve">新版 V = 平均分位（盈利收益率、1/PB、股息率、隐含风险溢价），其余规则不变</w:t>
      </w:r>
    </w:p>
    <w:p>
      <w:pPr>
        <w:spacing w:after="120" w:line="320"/>
      </w:pPr>
      <w:r>
        <w:rPr>
          <w:rFonts w:ascii="Calibri" w:cs="Calibri" w:eastAsia="Microsoft YaHei" w:hAnsi="Calibri"/>
          <w:b/>
          <w:bCs/>
        </w:rPr>
        <w:t xml:space="preserve">纠正一个误解：它并没有更好地处理利率</w:t>
      </w:r>
      <w:r>
        <w:rPr>
          <w:rFonts w:ascii="Calibri" w:cs="Calibri" w:eastAsia="Microsoft YaHei" w:hAnsi="Calibri"/>
        </w:rPr>
        <w:t xml:space="preserve">——两者减去国债的方式完全一样，差别只在股票一侧的收益率怎么算。只有在“再投资回报恰好等于要求回报”的特殊情况下两者相等。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54"/>
        <w:gridCol w:w="1045"/>
        <w:gridCol w:w="1045"/>
        <w:gridCol w:w="1277"/>
        <w:gridCol w:w="1857"/>
        <w:gridCol w:w="1860"/>
      </w:tblGrid>
      <w:tr>
        <w:trPr>
          <w:tblHeader/>
        </w:trPr>
        <w:tc>
          <w:tcPr>
            <w:tcW w:type="dxa" w:w="2554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C1 情景（降息被盈利下滑对冲）</w:t>
            </w:r>
          </w:p>
        </w:tc>
        <w:tc>
          <w:tcPr>
            <w:tcW w:type="dxa" w:w="1045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股息率</w:t>
            </w:r>
          </w:p>
        </w:tc>
        <w:tc>
          <w:tcPr>
            <w:tcW w:type="dxa" w:w="1045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增长 g</w:t>
            </w:r>
          </w:p>
        </w:tc>
        <w:tc>
          <w:tcPr>
            <w:tcW w:type="dxa" w:w="1277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股票隐含回报</w:t>
            </w:r>
          </w:p>
        </w:tc>
        <w:tc>
          <w:tcPr>
            <w:tcW w:type="dxa" w:w="1857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股债利差</w:t>
            </w:r>
          </w:p>
        </w:tc>
        <w:tc>
          <w:tcPr>
            <w:tcW w:type="dxa" w:w="1860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隐含风险溢价</w:t>
            </w:r>
          </w:p>
        </w:tc>
      </w:tr>
      <w:tr>
        <w:tc>
          <w:tcPr>
            <w:tcW w:type="dxa" w:w="255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漂移前</w:t>
            </w:r>
          </w:p>
        </w:tc>
        <w:tc>
          <w:tcPr>
            <w:tcW w:type="dxa" w:w="104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2.54%</w:t>
            </w:r>
          </w:p>
        </w:tc>
        <w:tc>
          <w:tcPr>
            <w:tcW w:type="dxa" w:w="104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4.02%</w:t>
            </w:r>
          </w:p>
        </w:tc>
        <w:tc>
          <w:tcPr>
            <w:tcW w:type="dxa" w:w="12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6.66%</w:t>
            </w:r>
          </w:p>
        </w:tc>
        <w:tc>
          <w:tcPr>
            <w:tcW w:type="dxa" w:w="185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4.29%</w:t>
            </w:r>
          </w:p>
        </w:tc>
        <w:tc>
          <w:tcPr>
            <w:tcW w:type="dxa" w:w="18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3.26%</w:t>
            </w:r>
          </w:p>
        </w:tc>
      </w:tr>
      <w:tr>
        <w:tc>
          <w:tcPr>
            <w:tcW w:type="dxa" w:w="255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漂移后</w:t>
            </w:r>
          </w:p>
        </w:tc>
        <w:tc>
          <w:tcPr>
            <w:tcW w:type="dxa" w:w="104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2.96%</w:t>
            </w:r>
          </w:p>
        </w:tc>
        <w:tc>
          <w:tcPr>
            <w:tcW w:type="dxa" w:w="104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2.59%</w:t>
            </w:r>
          </w:p>
        </w:tc>
        <w:tc>
          <w:tcPr>
            <w:tcW w:type="dxa" w:w="12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5.63%</w:t>
            </w:r>
          </w:p>
        </w:tc>
        <w:tc>
          <w:tcPr>
            <w:tcW w:type="dxa" w:w="185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5.40%</w:t>
            </w:r>
          </w:p>
        </w:tc>
        <w:tc>
          <w:tcPr>
            <w:tcW w:type="dxa" w:w="18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3.43%</w:t>
            </w:r>
          </w:p>
        </w:tc>
      </w:tr>
      <w:tr>
        <w:tc>
          <w:tcPr>
            <w:tcW w:type="dxa" w:w="255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变化</w:t>
            </w:r>
          </w:p>
        </w:tc>
        <w:tc>
          <w:tcPr>
            <w:tcW w:type="dxa" w:w="104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</w:p>
        </w:tc>
        <w:tc>
          <w:tcPr>
            <w:tcW w:type="dxa" w:w="104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</w:p>
        </w:tc>
        <w:tc>
          <w:tcPr>
            <w:tcW w:type="dxa" w:w="12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</w:p>
        </w:tc>
        <w:tc>
          <w:tcPr>
            <w:tcW w:type="dxa" w:w="185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+1.11pp，显得便宜很多</w:t>
            </w:r>
          </w:p>
        </w:tc>
        <w:tc>
          <w:tcPr>
            <w:tcW w:type="dxa" w:w="18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+0.17pp，基本没变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Calibri" w:cs="Calibri" w:eastAsia="Microsoft YaHei" w:hAnsi="Calibri"/>
        </w:rPr>
        <w:t xml:space="preserve">真实 PE 中枢没动，隐含风险溢价更接近真相：它把“伴随利率下行的增长下降”也算了进去。（学界对股债利差的另一经典批评：盈利收益率接近实际收益、国债是名义收益，口径不一致——Asness 2003。）</w:t>
      </w:r>
    </w:p>
    <w:p>
      <w:pPr>
        <w:spacing w:after="120" w:line="320"/>
      </w:pPr>
      <w:r>
        <w:rPr>
          <w:rFonts w:ascii="Calibri" w:cs="Calibri" w:eastAsia="Microsoft YaHei" w:hAnsi="Calibri"/>
          <w:b/>
          <w:bCs/>
        </w:rPr>
        <w:t xml:space="preserve">实测改善来自两个来源</w:t>
      </w:r>
      <w:r>
        <w:rPr>
          <w:rFonts w:ascii="Calibri" w:cs="Calibri" w:eastAsia="Microsoft YaHei" w:hAnsi="Calibri"/>
        </w:rPr>
        <w:t xml:space="preserve">（g 固定为 4% 的对照仍有 +0.21，说明主要不靠增长估计）：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Calibri" w:cs="Calibri" w:eastAsia="Microsoft YaHei" w:hAnsi="Calibri"/>
          <w:b/>
          <w:bCs/>
        </w:rPr>
        <w:t xml:space="preserve">主要：构成更分散。</w:t>
      </w:r>
      <w:r>
        <w:rPr>
          <w:rFonts w:ascii="Calibri" w:cs="Calibri" w:eastAsia="Microsoft YaHei" w:hAnsi="Calibri"/>
        </w:rPr>
        <w:t xml:space="preserve"> 原版四项中盈利收益率和股债利差都建立在 1/PE 上，PE 被算了两次；PE 中枢漂移恰恰伤害最大。在只有利率变化的情景，改善与增长项无关（+0.34 vs +0.36）。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Calibri" w:cs="Calibri" w:eastAsia="Microsoft YaHei" w:hAnsi="Calibri"/>
          <w:b/>
          <w:bCs/>
        </w:rPr>
        <w:t xml:space="preserve">次要：抵扣增长变化。</w:t>
      </w:r>
      <w:r>
        <w:rPr>
          <w:rFonts w:ascii="Calibri" w:cs="Calibri" w:eastAsia="Microsoft YaHei" w:hAnsi="Calibri"/>
        </w:rPr>
        <w:t xml:space="preserve"> ROE 上台阶情景含增长项 +0.41、不含 +0.08；增长下降的情景收益差不多，但 V 更贴近真实（C1 偏差 9.3 对 10.0，日本化 15.0 对 16.9）。</w:t>
      </w:r>
    </w:p>
    <w:p>
      <w:pPr>
        <w:spacing w:after="120" w:line="320"/>
      </w:pPr>
      <w:r>
        <w:rPr>
          <w:rFonts w:ascii="Calibri" w:cs="Calibri" w:eastAsia="Microsoft YaHei" w:hAnsi="Calibri"/>
        </w:rPr>
        <w:t xml:space="preserve">稳健性：g 传导设成 1 倍、0.25 倍或固定 4%，收益变化 +0.18 ~ +0.27，结论不变。单独使用隐含风险溢价（−0.80）或股债利差（−0.55）都更差——它适合作为四项之一，不宜作为唯一指标。用过去 10 年每股收益增速作 g 收益 +0.49 但混入了动量成分、回撤 +0.81，未推荐。实盘：股息用过去 12 个月累计，g 限制在 0–8%，分红制度性变化时人工核对。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6.5 V1.7 专项对比（742 条路径配对）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04"/>
        <w:gridCol w:w="1716"/>
        <w:gridCol w:w="1716"/>
        <w:gridCol w:w="1716"/>
        <w:gridCol w:w="1586"/>
      </w:tblGrid>
      <w:tr>
        <w:trPr>
          <w:tblHeader/>
        </w:trPr>
        <w:tc>
          <w:tcPr>
            <w:tcW w:type="dxa" w:w="2904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指标</w:t>
            </w:r>
          </w:p>
        </w:tc>
        <w:tc>
          <w:tcPr>
            <w:tcW w:type="dxa" w:w="1716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原版 V</w:t>
            </w:r>
          </w:p>
        </w:tc>
        <w:tc>
          <w:tcPr>
            <w:tcW w:type="dxa" w:w="1716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新版 V</w:t>
            </w:r>
          </w:p>
        </w:tc>
        <w:tc>
          <w:tcPr>
            <w:tcW w:type="dxa" w:w="1716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差值</w:t>
            </w:r>
          </w:p>
        </w:tc>
        <w:tc>
          <w:tcPr>
            <w:tcW w:type="dxa" w:w="1586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新版更优占比</w:t>
            </w:r>
          </w:p>
        </w:tc>
      </w:tr>
      <w:tr>
        <w:tc>
          <w:tcPr>
            <w:tcW w:type="dxa" w:w="29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净年化 XIRR</w:t>
            </w:r>
          </w:p>
        </w:tc>
        <w:tc>
          <w:tcPr>
            <w:tcW w:type="dxa" w:w="17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9.99%</w:t>
            </w:r>
          </w:p>
        </w:tc>
        <w:tc>
          <w:tcPr>
            <w:tcW w:type="dxa" w:w="17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10.15%</w:t>
            </w:r>
          </w:p>
        </w:tc>
        <w:tc>
          <w:tcPr>
            <w:tcW w:type="dxa" w:w="17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+0.16 ± 0.02</w:t>
            </w:r>
          </w:p>
        </w:tc>
        <w:tc>
          <w:tcPr>
            <w:tcW w:type="dxa" w:w="15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61%</w:t>
            </w:r>
          </w:p>
        </w:tc>
      </w:tr>
      <w:tr>
        <w:tc>
          <w:tcPr>
            <w:tcW w:type="dxa" w:w="29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最大回撤</w:t>
            </w:r>
          </w:p>
        </w:tc>
        <w:tc>
          <w:tcPr>
            <w:tcW w:type="dxa" w:w="17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46.6%</w:t>
            </w:r>
          </w:p>
        </w:tc>
        <w:tc>
          <w:tcPr>
            <w:tcW w:type="dxa" w:w="17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46.2%</w:t>
            </w:r>
          </w:p>
        </w:tc>
        <w:tc>
          <w:tcPr>
            <w:tcW w:type="dxa" w:w="17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−0.46 ± 0.08</w:t>
            </w:r>
          </w:p>
        </w:tc>
        <w:tc>
          <w:tcPr>
            <w:tcW w:type="dxa" w:w="15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59%</w:t>
            </w:r>
          </w:p>
        </w:tc>
      </w:tr>
      <w:tr>
        <w:tc>
          <w:tcPr>
            <w:tcW w:type="dxa" w:w="29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总成本 / 期末资产</w:t>
            </w:r>
          </w:p>
        </w:tc>
        <w:tc>
          <w:tcPr>
            <w:tcW w:type="dxa" w:w="17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5.22%</w:t>
            </w:r>
          </w:p>
        </w:tc>
        <w:tc>
          <w:tcPr>
            <w:tcW w:type="dxa" w:w="17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5.01%</w:t>
            </w:r>
          </w:p>
        </w:tc>
        <w:tc>
          <w:tcPr>
            <w:tcW w:type="dxa" w:w="17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−0.21</w:t>
            </w:r>
          </w:p>
        </w:tc>
        <w:tc>
          <w:tcPr>
            <w:tcW w:type="dxa" w:w="15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69%</w:t>
            </w:r>
          </w:p>
        </w:tc>
      </w:tr>
      <w:tr>
        <w:tc>
          <w:tcPr>
            <w:tcW w:type="dxa" w:w="29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卖出价比回投价高</w:t>
            </w:r>
          </w:p>
        </w:tc>
        <w:tc>
          <w:tcPr>
            <w:tcW w:type="dxa" w:w="17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22.0%</w:t>
            </w:r>
          </w:p>
        </w:tc>
        <w:tc>
          <w:tcPr>
            <w:tcW w:type="dxa" w:w="17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24.1%</w:t>
            </w:r>
          </w:p>
        </w:tc>
        <w:tc>
          <w:tcPr>
            <w:tcW w:type="dxa" w:w="17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+2.1</w:t>
            </w:r>
          </w:p>
        </w:tc>
        <w:tc>
          <w:tcPr>
            <w:tcW w:type="dxa" w:w="15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72%</w:t>
            </w:r>
          </w:p>
        </w:tc>
      </w:tr>
      <w:tr>
        <w:tc>
          <w:tcPr>
            <w:tcW w:type="dxa" w:w="29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危机逃顶率 / 修复天数</w:t>
            </w:r>
          </w:p>
        </w:tc>
        <w:tc>
          <w:tcPr>
            <w:tcW w:type="dxa" w:w="17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83% / 335</w:t>
            </w:r>
          </w:p>
        </w:tc>
        <w:tc>
          <w:tcPr>
            <w:tcW w:type="dxa" w:w="17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86% / 319</w:t>
            </w:r>
          </w:p>
        </w:tc>
        <w:tc>
          <w:tcPr>
            <w:tcW w:type="dxa" w:w="17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</w:p>
        </w:tc>
        <w:tc>
          <w:tcPr>
            <w:tcW w:type="dxa" w:w="15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</w:p>
        </w:tc>
      </w:tr>
      <w:tr>
        <w:tc>
          <w:tcPr>
            <w:tcW w:type="dxa" w:w="29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与理想 V 相关 / 平均偏差</w:t>
            </w:r>
          </w:p>
        </w:tc>
        <w:tc>
          <w:tcPr>
            <w:tcW w:type="dxa" w:w="17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0.929 / +0.56</w:t>
            </w:r>
          </w:p>
        </w:tc>
        <w:tc>
          <w:tcPr>
            <w:tcW w:type="dxa" w:w="17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0.935 / +0.09</w:t>
            </w:r>
          </w:p>
        </w:tc>
        <w:tc>
          <w:tcPr>
            <w:tcW w:type="dxa" w:w="17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</w:p>
        </w:tc>
        <w:tc>
          <w:tcPr>
            <w:tcW w:type="dxa" w:w="15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YaHei" w:hAnsi="Calibri"/>
        </w:rPr>
        <w:t xml:space="preserve">分市场：缓慢上移 +1.54（83% 路径更优）、混合极端 +0.59、快速跳升 +0.52、缓慢下移 +0.30、快速跳降 +0.21（回撤 −2.0）；强周期、假回归约 +0.1；基准、泡沫、长停滞约 0。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YaHei" w:hAnsi="Calibri"/>
        </w:rPr>
        <w:t xml:space="preserve">受控漂移情景中：PE 中枢上移 +0.19，PE 中枢下移 −0.10，成分漂移 −0.07。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YaHei" w:hAnsi="Calibri"/>
        </w:rPr>
        <w:t xml:space="preserve">机制：V&gt;70 的天数从 33.8% 降到 31.1%（缓慢上移中 66.6% → 52.5%），资金池闲置减少（缓慢上移 −6.9pp）。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YaHei" w:hAnsi="Calibri"/>
        </w:rPr>
        <w:t xml:space="preserve">定位：</w:t>
      </w:r>
      <w:r>
        <w:rPr>
          <w:rFonts w:ascii="Calibri" w:cs="Calibri" w:eastAsia="Microsoft YaHei" w:hAnsi="Calibri"/>
          <w:b/>
          <w:bCs/>
        </w:rPr>
        <w:t xml:space="preserve">低成本、偏正面的“中枢漂移保险”，是改善而非解决</w:t>
      </w:r>
      <w:r>
        <w:rPr>
          <w:rFonts w:ascii="Calibri" w:cs="Calibri" w:eastAsia="Microsoft YaHei" w:hAnsi="Calibri"/>
        </w:rPr>
        <w:t xml:space="preserve">——缓慢上移中仍跑输买入持有约 4.2pp/年（原版 5.7）。</w:t>
      </w:r>
    </w:p>
    <w:p>
      <w:pPr>
        <w:pStyle w:val="Heading1"/>
        <w:pageBreakBefore/>
      </w:pPr>
      <w:r>
        <w:rPr>
          <w:rFonts w:ascii="Calibri" w:cs="Calibri" w:eastAsia="Microsoft YaHei" w:hAnsi="Calibri"/>
        </w:rPr>
        <w:t xml:space="preserve">七、成分结构漂移与行业中性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7.1 两种口径修正</w:t>
      </w:r>
    </w:p>
    <w:p>
      <w:pPr>
        <w:spacing w:after="120" w:line="320"/>
      </w:pPr>
      <w:r>
        <w:rPr>
          <w:rFonts w:ascii="Calibri" w:cs="Calibri" w:eastAsia="Microsoft YaHei" w:hAnsi="Calibri"/>
          <w:b/>
          <w:bCs/>
        </w:rPr>
        <w:t xml:space="preserve">无形资产调整</w:t>
      </w:r>
      <w:r>
        <w:rPr>
          <w:rFonts w:ascii="Calibri" w:cs="Calibri" w:eastAsia="Microsoft YaHei" w:hAnsi="Calibri"/>
        </w:rPr>
        <w:t xml:space="preserve">：会计上研发、品牌等多记为费用，不进净资产，科技、医药、消费品牌公司 PB 天然偏高。修正：把多年研发和部分管理费用按折旧率资本化后加回净资产再算 PB。经济从重资产转向轻资产时，不调整的 PB 分项会长期显示“偏贵”。</w:t>
      </w:r>
    </w:p>
    <w:p>
      <w:pPr>
        <w:spacing w:after="120" w:line="320"/>
      </w:pPr>
      <w:r>
        <w:rPr>
          <w:rFonts w:ascii="Calibri" w:cs="Calibri" w:eastAsia="Microsoft YaHei" w:hAnsi="Calibri"/>
          <w:b/>
          <w:bCs/>
        </w:rPr>
        <w:t xml:space="preserve">行业中性 / 固定权重</w:t>
      </w:r>
      <w:r>
        <w:rPr>
          <w:rFonts w:ascii="Calibri" w:cs="Calibri" w:eastAsia="Microsoft YaHei" w:hAnsi="Calibri"/>
        </w:rPr>
        <w:t xml:space="preserve">：指数估值是成分加权平均，各行业估值不变、只要权重变了，指数估值中枢就会移动。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23"/>
        <w:gridCol w:w="1661"/>
        <w:gridCol w:w="2326"/>
        <w:gridCol w:w="2328"/>
      </w:tblGrid>
      <w:tr>
        <w:trPr>
          <w:tblHeader/>
        </w:trPr>
        <w:tc>
          <w:tcPr>
            <w:tcW w:type="dxa" w:w="3323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行业</w:t>
            </w:r>
          </w:p>
        </w:tc>
        <w:tc>
          <w:tcPr>
            <w:tcW w:type="dxa" w:w="1661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PE</w:t>
            </w:r>
          </w:p>
        </w:tc>
        <w:tc>
          <w:tcPr>
            <w:tcW w:type="dxa" w:w="2326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权重：之前</w:t>
            </w:r>
          </w:p>
        </w:tc>
        <w:tc>
          <w:tcPr>
            <w:tcW w:type="dxa" w:w="2328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权重：之后</w:t>
            </w:r>
          </w:p>
        </w:tc>
      </w:tr>
      <w:tr>
        <w:tc>
          <w:tcPr>
            <w:tcW w:type="dxa" w:w="332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银行</w:t>
            </w:r>
          </w:p>
        </w:tc>
        <w:tc>
          <w:tcPr>
            <w:tcW w:type="dxa" w:w="166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6 倍</w:t>
            </w:r>
          </w:p>
        </w:tc>
        <w:tc>
          <w:tcPr>
            <w:tcW w:type="dxa" w:w="2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30%</w:t>
            </w:r>
          </w:p>
        </w:tc>
        <w:tc>
          <w:tcPr>
            <w:tcW w:type="dxa" w:w="23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15%</w:t>
            </w:r>
          </w:p>
        </w:tc>
      </w:tr>
      <w:tr>
        <w:tc>
          <w:tcPr>
            <w:tcW w:type="dxa" w:w="332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其他传统行业</w:t>
            </w:r>
          </w:p>
        </w:tc>
        <w:tc>
          <w:tcPr>
            <w:tcW w:type="dxa" w:w="166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15 倍</w:t>
            </w:r>
          </w:p>
        </w:tc>
        <w:tc>
          <w:tcPr>
            <w:tcW w:type="dxa" w:w="2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60%</w:t>
            </w:r>
          </w:p>
        </w:tc>
        <w:tc>
          <w:tcPr>
            <w:tcW w:type="dxa" w:w="23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60%</w:t>
            </w:r>
          </w:p>
        </w:tc>
      </w:tr>
      <w:tr>
        <w:tc>
          <w:tcPr>
            <w:tcW w:type="dxa" w:w="332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科技</w:t>
            </w:r>
          </w:p>
        </w:tc>
        <w:tc>
          <w:tcPr>
            <w:tcW w:type="dxa" w:w="166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40 倍</w:t>
            </w:r>
          </w:p>
        </w:tc>
        <w:tc>
          <w:tcPr>
            <w:tcW w:type="dxa" w:w="2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10%</w:t>
            </w:r>
          </w:p>
        </w:tc>
        <w:tc>
          <w:tcPr>
            <w:tcW w:type="dxa" w:w="23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25%</w:t>
            </w:r>
          </w:p>
        </w:tc>
      </w:tr>
      <w:tr>
        <w:tc>
          <w:tcPr>
            <w:tcW w:type="dxa" w:w="332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指数 PE（盈利加权）</w:t>
            </w:r>
          </w:p>
        </w:tc>
        <w:tc>
          <w:tcPr>
            <w:tcW w:type="dxa" w:w="166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</w:p>
        </w:tc>
        <w:tc>
          <w:tcPr>
            <w:tcW w:type="dxa" w:w="2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10.8 倍</w:t>
            </w:r>
          </w:p>
        </w:tc>
        <w:tc>
          <w:tcPr>
            <w:tcW w:type="dxa" w:w="23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14.0 倍</w:t>
            </w:r>
          </w:p>
        </w:tc>
      </w:tr>
    </w:tbl>
    <w:p>
      <w:pPr>
        <w:spacing w:after="160" w:before="60" w:line="280"/>
      </w:pPr>
      <w:r>
        <w:rPr>
          <w:rFonts w:ascii="Calibri" w:cs="Calibri" w:eastAsia="Microsoft YaHei" w:hAnsi="Calibri"/>
          <w:color w:val="5A6170"/>
          <w:sz w:val="18"/>
          <w:szCs w:val="18"/>
        </w:rPr>
        <w:t xml:space="preserve">没有任何行业变贵，指数 PE 却涨了约 30%。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YaHei" w:hAnsi="Calibri"/>
          <w:b/>
          <w:bCs/>
        </w:rPr>
        <w:t xml:space="preserve">固定权重口径</w:t>
      </w:r>
      <w:r>
        <w:rPr>
          <w:rFonts w:ascii="Calibri" w:cs="Calibri" w:eastAsia="Microsoft YaHei" w:hAnsi="Calibri"/>
        </w:rPr>
        <w:t xml:space="preserve">：用当前行业权重回算历史指数估值，再取分位。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YaHei" w:hAnsi="Calibri"/>
          <w:b/>
          <w:bCs/>
        </w:rPr>
        <w:t xml:space="preserve">行业中性口径</w:t>
      </w:r>
      <w:r>
        <w:rPr>
          <w:rFonts w:ascii="Calibri" w:cs="Calibri" w:eastAsia="Microsoft YaHei" w:hAnsi="Calibri"/>
        </w:rPr>
        <w:t xml:space="preserve">：每个行业只跟自己的历史比，算分位后按当前权重加总。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7.2 多行业模拟：纯成分迁移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87"/>
        <w:gridCol w:w="1554"/>
        <w:gridCol w:w="1243"/>
        <w:gridCol w:w="1243"/>
        <w:gridCol w:w="1554"/>
        <w:gridCol w:w="1557"/>
      </w:tblGrid>
      <w:tr>
        <w:trPr>
          <w:tblHeader/>
        </w:trPr>
        <w:tc>
          <w:tcPr>
            <w:tcW w:type="dxa" w:w="2487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行业</w:t>
            </w:r>
          </w:p>
        </w:tc>
        <w:tc>
          <w:tcPr>
            <w:tcW w:type="dxa" w:w="1554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PE 中枢</w:t>
            </w:r>
          </w:p>
        </w:tc>
        <w:tc>
          <w:tcPr>
            <w:tcW w:type="dxa" w:w="1243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ROE</w:t>
            </w:r>
          </w:p>
        </w:tc>
        <w:tc>
          <w:tcPr>
            <w:tcW w:type="dxa" w:w="1243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分红率</w:t>
            </w:r>
          </w:p>
        </w:tc>
        <w:tc>
          <w:tcPr>
            <w:tcW w:type="dxa" w:w="1554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对市场弹性</w:t>
            </w:r>
          </w:p>
        </w:tc>
        <w:tc>
          <w:tcPr>
            <w:tcW w:type="dxa" w:w="1557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初始权重</w:t>
            </w:r>
          </w:p>
        </w:tc>
      </w:tr>
      <w:tr>
        <w:tc>
          <w:tcPr>
            <w:tcW w:type="dxa" w:w="24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银行</w:t>
            </w:r>
          </w:p>
        </w:tc>
        <w:tc>
          <w:tcPr>
            <w:tcW w:type="dxa" w:w="155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6.5</w:t>
            </w:r>
          </w:p>
        </w:tc>
        <w:tc>
          <w:tcPr>
            <w:tcW w:type="dxa" w:w="12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14%</w:t>
            </w:r>
          </w:p>
        </w:tc>
        <w:tc>
          <w:tcPr>
            <w:tcW w:type="dxa" w:w="12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30%</w:t>
            </w:r>
          </w:p>
        </w:tc>
        <w:tc>
          <w:tcPr>
            <w:tcW w:type="dxa" w:w="155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0.8</w:t>
            </w:r>
          </w:p>
        </w:tc>
        <w:tc>
          <w:tcPr>
            <w:tcW w:type="dxa" w:w="155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35%</w:t>
            </w:r>
          </w:p>
        </w:tc>
      </w:tr>
      <w:tr>
        <w:tc>
          <w:tcPr>
            <w:tcW w:type="dxa" w:w="24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周期地产</w:t>
            </w:r>
          </w:p>
        </w:tc>
        <w:tc>
          <w:tcPr>
            <w:tcW w:type="dxa" w:w="155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12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11%</w:t>
            </w:r>
          </w:p>
        </w:tc>
        <w:tc>
          <w:tcPr>
            <w:tcW w:type="dxa" w:w="12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35%</w:t>
            </w:r>
          </w:p>
        </w:tc>
        <w:tc>
          <w:tcPr>
            <w:tcW w:type="dxa" w:w="155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1.1</w:t>
            </w:r>
          </w:p>
        </w:tc>
        <w:tc>
          <w:tcPr>
            <w:tcW w:type="dxa" w:w="155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30%</w:t>
            </w:r>
          </w:p>
        </w:tc>
      </w:tr>
      <w:tr>
        <w:tc>
          <w:tcPr>
            <w:tcW w:type="dxa" w:w="24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消费</w:t>
            </w:r>
          </w:p>
        </w:tc>
        <w:tc>
          <w:tcPr>
            <w:tcW w:type="dxa" w:w="155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28</w:t>
            </w:r>
          </w:p>
        </w:tc>
        <w:tc>
          <w:tcPr>
            <w:tcW w:type="dxa" w:w="12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18%</w:t>
            </w:r>
          </w:p>
        </w:tc>
        <w:tc>
          <w:tcPr>
            <w:tcW w:type="dxa" w:w="12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45%</w:t>
            </w:r>
          </w:p>
        </w:tc>
        <w:tc>
          <w:tcPr>
            <w:tcW w:type="dxa" w:w="155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1.0</w:t>
            </w:r>
          </w:p>
        </w:tc>
        <w:tc>
          <w:tcPr>
            <w:tcW w:type="dxa" w:w="155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15%</w:t>
            </w:r>
          </w:p>
        </w:tc>
      </w:tr>
      <w:tr>
        <w:tc>
          <w:tcPr>
            <w:tcW w:type="dxa" w:w="24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医药</w:t>
            </w:r>
          </w:p>
        </w:tc>
        <w:tc>
          <w:tcPr>
            <w:tcW w:type="dxa" w:w="155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32</w:t>
            </w:r>
          </w:p>
        </w:tc>
        <w:tc>
          <w:tcPr>
            <w:tcW w:type="dxa" w:w="12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13%</w:t>
            </w:r>
          </w:p>
        </w:tc>
        <w:tc>
          <w:tcPr>
            <w:tcW w:type="dxa" w:w="12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30%</w:t>
            </w:r>
          </w:p>
        </w:tc>
        <w:tc>
          <w:tcPr>
            <w:tcW w:type="dxa" w:w="155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1.0</w:t>
            </w:r>
          </w:p>
        </w:tc>
        <w:tc>
          <w:tcPr>
            <w:tcW w:type="dxa" w:w="155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8%</w:t>
            </w:r>
          </w:p>
        </w:tc>
      </w:tr>
      <w:tr>
        <w:tc>
          <w:tcPr>
            <w:tcW w:type="dxa" w:w="24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科技新能源</w:t>
            </w:r>
          </w:p>
        </w:tc>
        <w:tc>
          <w:tcPr>
            <w:tcW w:type="dxa" w:w="155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38</w:t>
            </w:r>
          </w:p>
        </w:tc>
        <w:tc>
          <w:tcPr>
            <w:tcW w:type="dxa" w:w="12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10%</w:t>
            </w:r>
          </w:p>
        </w:tc>
        <w:tc>
          <w:tcPr>
            <w:tcW w:type="dxa" w:w="12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15%</w:t>
            </w:r>
          </w:p>
        </w:tc>
        <w:tc>
          <w:tcPr>
            <w:tcW w:type="dxa" w:w="155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1.3</w:t>
            </w:r>
          </w:p>
        </w:tc>
        <w:tc>
          <w:tcPr>
            <w:tcW w:type="dxa" w:w="155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12%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96"/>
        <w:gridCol w:w="1585"/>
        <w:gridCol w:w="1098"/>
        <w:gridCol w:w="1098"/>
        <w:gridCol w:w="1830"/>
        <w:gridCol w:w="1831"/>
      </w:tblGrid>
      <w:tr>
        <w:trPr>
          <w:tblHeader/>
        </w:trPr>
        <w:tc>
          <w:tcPr>
            <w:tcW w:type="dxa" w:w="2196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情景</w:t>
            </w:r>
          </w:p>
        </w:tc>
        <w:tc>
          <w:tcPr>
            <w:tcW w:type="dxa" w:w="1585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指数 PE 中枢</w:t>
            </w:r>
          </w:p>
        </w:tc>
        <w:tc>
          <w:tcPr>
            <w:tcW w:type="dxa" w:w="1098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原版偏差</w:t>
            </w:r>
          </w:p>
        </w:tc>
        <w:tc>
          <w:tcPr>
            <w:tcW w:type="dxa" w:w="1098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理想 V</w:t>
            </w:r>
          </w:p>
        </w:tc>
        <w:tc>
          <w:tcPr>
            <w:tcW w:type="dxa" w:w="1830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固定权重（挽回比例）</w:t>
            </w:r>
          </w:p>
        </w:tc>
        <w:tc>
          <w:tcPr>
            <w:tcW w:type="dxa" w:w="1831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行业中性（挽回比例）</w:t>
            </w:r>
          </w:p>
        </w:tc>
      </w:tr>
      <w:tr>
        <w:tc>
          <w:tcPr>
            <w:tcW w:type="dxa" w:w="21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温和迁移</w:t>
            </w:r>
          </w:p>
        </w:tc>
        <w:tc>
          <w:tcPr>
            <w:tcW w:type="dxa" w:w="15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10.5 → 13.3</w:t>
            </w:r>
          </w:p>
        </w:tc>
        <w:tc>
          <w:tcPr>
            <w:tcW w:type="dxa" w:w="109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+6.4</w:t>
            </w:r>
          </w:p>
        </w:tc>
        <w:tc>
          <w:tcPr>
            <w:tcW w:type="dxa" w:w="109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+1.20</w:t>
            </w:r>
          </w:p>
        </w:tc>
        <w:tc>
          <w:tcPr>
            <w:tcW w:type="dxa" w:w="18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+1.29（107%）</w:t>
            </w:r>
          </w:p>
        </w:tc>
        <w:tc>
          <w:tcPr>
            <w:tcW w:type="dxa" w:w="18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+1.02（85%）</w:t>
            </w:r>
          </w:p>
        </w:tc>
      </w:tr>
      <w:tr>
        <w:tc>
          <w:tcPr>
            <w:tcW w:type="dxa" w:w="21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强迁移</w:t>
            </w:r>
          </w:p>
        </w:tc>
        <w:tc>
          <w:tcPr>
            <w:tcW w:type="dxa" w:w="15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10.5 → 15.9</w:t>
            </w:r>
          </w:p>
        </w:tc>
        <w:tc>
          <w:tcPr>
            <w:tcW w:type="dxa" w:w="109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+10.1</w:t>
            </w:r>
          </w:p>
        </w:tc>
        <w:tc>
          <w:tcPr>
            <w:tcW w:type="dxa" w:w="109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+1.68</w:t>
            </w:r>
          </w:p>
        </w:tc>
        <w:tc>
          <w:tcPr>
            <w:tcW w:type="dxa" w:w="18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+1.74（104%）</w:t>
            </w:r>
          </w:p>
        </w:tc>
        <w:tc>
          <w:tcPr>
            <w:tcW w:type="dxa" w:w="18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+1.56（93%）</w:t>
            </w:r>
          </w:p>
        </w:tc>
      </w:tr>
      <w:tr>
        <w:tc>
          <w:tcPr>
            <w:tcW w:type="dxa" w:w="21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快速调样（3 个月）</w:t>
            </w:r>
          </w:p>
        </w:tc>
        <w:tc>
          <w:tcPr>
            <w:tcW w:type="dxa" w:w="15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10.5 → 15.9</w:t>
            </w:r>
          </w:p>
        </w:tc>
        <w:tc>
          <w:tcPr>
            <w:tcW w:type="dxa" w:w="109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+8.7</w:t>
            </w:r>
          </w:p>
        </w:tc>
        <w:tc>
          <w:tcPr>
            <w:tcW w:type="dxa" w:w="109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+1.09</w:t>
            </w:r>
          </w:p>
        </w:tc>
        <w:tc>
          <w:tcPr>
            <w:tcW w:type="dxa" w:w="18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+1.18（108%）</w:t>
            </w:r>
          </w:p>
        </w:tc>
        <w:tc>
          <w:tcPr>
            <w:tcW w:type="dxa" w:w="18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+0.99（91%）</w:t>
            </w:r>
          </w:p>
        </w:tc>
      </w:tr>
      <w:tr>
        <w:tc>
          <w:tcPr>
            <w:tcW w:type="dxa" w:w="21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自然迁移（增长差异）</w:t>
            </w:r>
          </w:p>
        </w:tc>
        <w:tc>
          <w:tcPr>
            <w:tcW w:type="dxa" w:w="15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11.9 → 18.1</w:t>
            </w:r>
          </w:p>
        </w:tc>
        <w:tc>
          <w:tcPr>
            <w:tcW w:type="dxa" w:w="109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+9.6</w:t>
            </w:r>
          </w:p>
        </w:tc>
        <w:tc>
          <w:tcPr>
            <w:tcW w:type="dxa" w:w="109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+1.64</w:t>
            </w:r>
          </w:p>
        </w:tc>
        <w:tc>
          <w:tcPr>
            <w:tcW w:type="dxa" w:w="18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+1.68（102%）</w:t>
            </w:r>
          </w:p>
        </w:tc>
        <w:tc>
          <w:tcPr>
            <w:tcW w:type="dxa" w:w="18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+1.49（91%）</w:t>
            </w:r>
          </w:p>
        </w:tc>
      </w:tr>
      <w:tr>
        <w:tc>
          <w:tcPr>
            <w:tcW w:type="dxa" w:w="21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无迁移（基准）</w:t>
            </w:r>
          </w:p>
        </w:tc>
        <w:tc>
          <w:tcPr>
            <w:tcW w:type="dxa" w:w="15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10.5</w:t>
            </w:r>
          </w:p>
        </w:tc>
        <w:tc>
          <w:tcPr>
            <w:tcW w:type="dxa" w:w="109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+0.9</w:t>
            </w:r>
          </w:p>
        </w:tc>
        <w:tc>
          <w:tcPr>
            <w:tcW w:type="dxa" w:w="109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+0.28</w:t>
            </w:r>
          </w:p>
        </w:tc>
        <w:tc>
          <w:tcPr>
            <w:tcW w:type="dxa" w:w="18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+0.34</w:t>
            </w:r>
          </w:p>
        </w:tc>
        <w:tc>
          <w:tcPr>
            <w:tcW w:type="dxa" w:w="18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+0.10</w:t>
            </w:r>
          </w:p>
        </w:tc>
      </w:tr>
      <w:tr>
        <w:tc>
          <w:tcPr>
            <w:tcW w:type="dxa" w:w="21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反向迁移（价值化）</w:t>
            </w:r>
          </w:p>
        </w:tc>
        <w:tc>
          <w:tcPr>
            <w:tcW w:type="dxa" w:w="15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10.5 → 9.3</w:t>
            </w:r>
          </w:p>
        </w:tc>
        <w:tc>
          <w:tcPr>
            <w:tcW w:type="dxa" w:w="109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−1.9</w:t>
            </w:r>
          </w:p>
        </w:tc>
        <w:tc>
          <w:tcPr>
            <w:tcW w:type="dxa" w:w="109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−0.13</w:t>
            </w:r>
          </w:p>
        </w:tc>
        <w:tc>
          <w:tcPr>
            <w:tcW w:type="dxa" w:w="18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−0.07</w:t>
            </w:r>
          </w:p>
        </w:tc>
        <w:tc>
          <w:tcPr>
            <w:tcW w:type="dxa" w:w="18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−0.30</w:t>
            </w:r>
          </w:p>
        </w:tc>
      </w:tr>
    </w:tbl>
    <w:p>
      <w:pPr>
        <w:spacing w:after="160" w:before="60" w:line="280"/>
      </w:pPr>
      <w:r>
        <w:rPr>
          <w:rFonts w:ascii="Calibri" w:cs="Calibri" w:eastAsia="Microsoft YaHei" w:hAnsi="Calibri"/>
          <w:color w:val="5A6170"/>
          <w:sz w:val="18"/>
          <w:szCs w:val="18"/>
        </w:rPr>
        <w:t xml:space="preserve">收益为相对原版的年化变化（四版平均，pp）；挽回比例超过 100% 属噪声范围。修正口径偏差均降回约 +1 点；回撤多 0.6–1.9pp（与理想 V 相当）；隐含风险溢价版对成分漂移无效（约 0）。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7.3 加入行业重估</w:t>
      </w:r>
    </w:p>
    <w:p>
      <w:pPr>
        <w:spacing w:after="120" w:line="320"/>
      </w:pPr>
      <w:r>
        <w:rPr>
          <w:rFonts w:ascii="Calibri" w:cs="Calibri" w:eastAsia="Microsoft YaHei" w:hAnsi="Calibri"/>
        </w:rPr>
        <w:t xml:space="preserve">新增：行业自身估值中枢可变（视为基本面，理想 V 不把它当贵贱），ROE 中枢可变；市值权重对重估有反应（行业变贵，市值占比上升）。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65"/>
        <w:gridCol w:w="896"/>
        <w:gridCol w:w="1905"/>
        <w:gridCol w:w="1344"/>
        <w:gridCol w:w="2129"/>
        <w:gridCol w:w="899"/>
      </w:tblGrid>
      <w:tr>
        <w:trPr>
          <w:tblHeader/>
        </w:trPr>
        <w:tc>
          <w:tcPr>
            <w:tcW w:type="dxa" w:w="2465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情景</w:t>
            </w:r>
          </w:p>
        </w:tc>
        <w:tc>
          <w:tcPr>
            <w:tcW w:type="dxa" w:w="896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原版偏差</w:t>
            </w:r>
          </w:p>
        </w:tc>
        <w:tc>
          <w:tcPr>
            <w:tcW w:type="dxa" w:w="1905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固定权重：偏差 / 收益 / 回撤</w:t>
            </w:r>
          </w:p>
        </w:tc>
        <w:tc>
          <w:tcPr>
            <w:tcW w:type="dxa" w:w="1344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行业中性：偏差 / 收益</w:t>
            </w:r>
          </w:p>
        </w:tc>
        <w:tc>
          <w:tcPr>
            <w:tcW w:type="dxa" w:w="2129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固定权重 + 隐含溢价：偏差 / 收益 / 回撤</w:t>
            </w:r>
          </w:p>
        </w:tc>
        <w:tc>
          <w:tcPr>
            <w:tcW w:type="dxa" w:w="899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理想 V</w:t>
            </w:r>
          </w:p>
        </w:tc>
      </w:tr>
      <w:tr>
        <w:tc>
          <w:tcPr>
            <w:tcW w:type="dxa" w:w="246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成长行业上修</w:t>
            </w:r>
          </w:p>
        </w:tc>
        <w:tc>
          <w:tcPr>
            <w:tcW w:type="dxa" w:w="8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+4.2</w:t>
            </w:r>
          </w:p>
        </w:tc>
        <w:tc>
          <w:tcPr>
            <w:tcW w:type="dxa" w:w="190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+1.9 / +0.75 / −0.29</w:t>
            </w:r>
          </w:p>
        </w:tc>
        <w:tc>
          <w:tcPr>
            <w:tcW w:type="dxa" w:w="13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+3.5 / +0.29</w:t>
            </w:r>
          </w:p>
        </w:tc>
        <w:tc>
          <w:tcPr>
            <w:tcW w:type="dxa" w:w="212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+1.8 / +0.77 / −0.28</w:t>
            </w:r>
          </w:p>
        </w:tc>
        <w:tc>
          <w:tcPr>
            <w:tcW w:type="dxa" w:w="8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+0.83</w:t>
            </w:r>
          </w:p>
        </w:tc>
      </w:tr>
      <w:tr>
        <w:tc>
          <w:tcPr>
            <w:tcW w:type="dxa" w:w="246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迁移 + 成长上修（成长牛）</w:t>
            </w:r>
          </w:p>
        </w:tc>
        <w:tc>
          <w:tcPr>
            <w:tcW w:type="dxa" w:w="8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+10.6</w:t>
            </w:r>
          </w:p>
        </w:tc>
        <w:tc>
          <w:tcPr>
            <w:tcW w:type="dxa" w:w="190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+2.6 / +1.70 / +0.70</w:t>
            </w:r>
          </w:p>
        </w:tc>
        <w:tc>
          <w:tcPr>
            <w:tcW w:type="dxa" w:w="13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+4.5 / +1.25</w:t>
            </w:r>
          </w:p>
        </w:tc>
        <w:tc>
          <w:tcPr>
            <w:tcW w:type="dxa" w:w="212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+2.4 / +1.72 / +0.63</w:t>
            </w:r>
          </w:p>
        </w:tc>
        <w:tc>
          <w:tcPr>
            <w:tcW w:type="dxa" w:w="8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+1.89</w:t>
            </w:r>
          </w:p>
        </w:tc>
      </w:tr>
      <w:tr>
        <w:tc>
          <w:tcPr>
            <w:tcW w:type="dxa" w:w="246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强迁移 + 迁入行业被下杀</w:t>
            </w:r>
          </w:p>
        </w:tc>
        <w:tc>
          <w:tcPr>
            <w:tcW w:type="dxa" w:w="8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+6.1</w:t>
            </w:r>
          </w:p>
        </w:tc>
        <w:tc>
          <w:tcPr>
            <w:tcW w:type="dxa" w:w="190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−0.5 / +1.30 / +0.82</w:t>
            </w:r>
          </w:p>
        </w:tc>
        <w:tc>
          <w:tcPr>
            <w:tcW w:type="dxa" w:w="13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−1.9 / +1.21</w:t>
            </w:r>
          </w:p>
        </w:tc>
        <w:tc>
          <w:tcPr>
            <w:tcW w:type="dxa" w:w="212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−0.5 / +1.24 / +1.04</w:t>
            </w:r>
          </w:p>
        </w:tc>
        <w:tc>
          <w:tcPr>
            <w:tcW w:type="dxa" w:w="8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+1.03</w:t>
            </w:r>
          </w:p>
        </w:tc>
      </w:tr>
      <w:tr>
        <w:tc>
          <w:tcPr>
            <w:tcW w:type="dxa" w:w="246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自然迁移 + 成长上修</w:t>
            </w:r>
          </w:p>
        </w:tc>
        <w:tc>
          <w:tcPr>
            <w:tcW w:type="dxa" w:w="8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+14.8</w:t>
            </w:r>
          </w:p>
        </w:tc>
        <w:tc>
          <w:tcPr>
            <w:tcW w:type="dxa" w:w="190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+3.4 / +2.31 / +2.51</w:t>
            </w:r>
          </w:p>
        </w:tc>
        <w:tc>
          <w:tcPr>
            <w:tcW w:type="dxa" w:w="13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+5.5 / +1.80</w:t>
            </w:r>
          </w:p>
        </w:tc>
        <w:tc>
          <w:tcPr>
            <w:tcW w:type="dxa" w:w="212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+3.1 / +2.36 / +2.49</w:t>
            </w:r>
          </w:p>
        </w:tc>
        <w:tc>
          <w:tcPr>
            <w:tcW w:type="dxa" w:w="8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+2.73</w:t>
            </w:r>
          </w:p>
        </w:tc>
      </w:tr>
      <w:tr>
        <w:tc>
          <w:tcPr>
            <w:tcW w:type="dxa" w:w="246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价值行业下杀</w:t>
            </w:r>
          </w:p>
        </w:tc>
        <w:tc>
          <w:tcPr>
            <w:tcW w:type="dxa" w:w="8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−4.3</w:t>
            </w:r>
          </w:p>
        </w:tc>
        <w:tc>
          <w:tcPr>
            <w:tcW w:type="dxa" w:w="190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−6.5 / +0.47 / +0.17</w:t>
            </w:r>
          </w:p>
        </w:tc>
        <w:tc>
          <w:tcPr>
            <w:tcW w:type="dxa" w:w="13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−4.1 / +0.13</w:t>
            </w:r>
          </w:p>
        </w:tc>
        <w:tc>
          <w:tcPr>
            <w:tcW w:type="dxa" w:w="212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−6.2 / +0.44 / −0.10</w:t>
            </w:r>
          </w:p>
        </w:tc>
        <w:tc>
          <w:tcPr>
            <w:tcW w:type="dxa" w:w="8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−0.27</w:t>
            </w:r>
          </w:p>
        </w:tc>
      </w:tr>
      <w:tr>
        <w:tc>
          <w:tcPr>
            <w:tcW w:type="dxa" w:w="246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沪深300 型（PE 约持平、PB −30%、ROE 12.8%→9.7%）</w:t>
            </w:r>
          </w:p>
        </w:tc>
        <w:tc>
          <w:tcPr>
            <w:tcW w:type="dxa" w:w="8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−1.3</w:t>
            </w:r>
          </w:p>
        </w:tc>
        <w:tc>
          <w:tcPr>
            <w:tcW w:type="dxa" w:w="190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−7.2 / +0.68 / +2.30</w:t>
            </w:r>
          </w:p>
        </w:tc>
        <w:tc>
          <w:tcPr>
            <w:tcW w:type="dxa" w:w="13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−5.8 / +0.50</w:t>
            </w:r>
          </w:p>
        </w:tc>
        <w:tc>
          <w:tcPr>
            <w:tcW w:type="dxa" w:w="212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−5.6 / +0.61 / +1.39</w:t>
            </w:r>
          </w:p>
        </w:tc>
        <w:tc>
          <w:tcPr>
            <w:tcW w:type="dxa" w:w="8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+0.04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68"/>
        <w:gridCol w:w="1700"/>
        <w:gridCol w:w="1700"/>
        <w:gridCol w:w="2270"/>
      </w:tblGrid>
      <w:tr>
        <w:trPr>
          <w:tblHeader/>
        </w:trPr>
        <w:tc>
          <w:tcPr>
            <w:tcW w:type="dxa" w:w="3968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口径（8 个漂移情景平均）</w:t>
            </w:r>
          </w:p>
        </w:tc>
        <w:tc>
          <w:tcPr>
            <w:tcW w:type="dxa" w:w="1700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年化收益</w:t>
            </w:r>
          </w:p>
        </w:tc>
        <w:tc>
          <w:tcPr>
            <w:tcW w:type="dxa" w:w="1700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最大回撤</w:t>
            </w:r>
          </w:p>
        </w:tc>
        <w:tc>
          <w:tcPr>
            <w:tcW w:type="dxa" w:w="2270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平均偏差（绝对值）</w:t>
            </w:r>
          </w:p>
        </w:tc>
      </w:tr>
      <w:tr>
        <w:tc>
          <w:tcPr>
            <w:tcW w:type="dxa" w:w="396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原版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22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6.3</w:t>
            </w:r>
          </w:p>
        </w:tc>
      </w:tr>
      <w:tr>
        <w:tc>
          <w:tcPr>
            <w:tcW w:type="dxa" w:w="396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隐含溢价版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+0.02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−0.05</w:t>
            </w:r>
          </w:p>
        </w:tc>
        <w:tc>
          <w:tcPr>
            <w:tcW w:type="dxa" w:w="22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5.9</w:t>
            </w:r>
          </w:p>
        </w:tc>
      </w:tr>
      <w:tr>
        <w:tc>
          <w:tcPr>
            <w:tcW w:type="dxa" w:w="396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固定权重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+1.13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+0.77</w:t>
            </w:r>
          </w:p>
        </w:tc>
        <w:tc>
          <w:tcPr>
            <w:tcW w:type="dxa" w:w="22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3.1</w:t>
            </w:r>
          </w:p>
        </w:tc>
      </w:tr>
      <w:tr>
        <w:tc>
          <w:tcPr>
            <w:tcW w:type="dxa" w:w="396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行业中性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+0.81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+0.81</w:t>
            </w:r>
          </w:p>
        </w:tc>
        <w:tc>
          <w:tcPr>
            <w:tcW w:type="dxa" w:w="22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3.5</w:t>
            </w:r>
          </w:p>
        </w:tc>
      </w:tr>
      <w:tr>
        <w:tc>
          <w:tcPr>
            <w:tcW w:type="dxa" w:w="396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固定权重 + 隐含溢价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+1.11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+0.66</w:t>
            </w:r>
          </w:p>
        </w:tc>
        <w:tc>
          <w:tcPr>
            <w:tcW w:type="dxa" w:w="22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2.7（最小）</w:t>
            </w:r>
          </w:p>
        </w:tc>
      </w:tr>
      <w:tr>
        <w:tc>
          <w:tcPr>
            <w:tcW w:type="dxa" w:w="396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理想 V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+0.99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+0.35</w:t>
            </w:r>
          </w:p>
        </w:tc>
        <w:tc>
          <w:tcPr>
            <w:tcW w:type="dxa" w:w="22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0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YaHei" w:hAnsi="Calibri"/>
          <w:b/>
          <w:bCs/>
        </w:rPr>
        <w:t xml:space="preserve">成长行业上修会通过市值效应变成“成分漂移”</w:t>
      </w:r>
      <w:r>
        <w:rPr>
          <w:rFonts w:ascii="Calibri" w:cs="Calibri" w:eastAsia="Microsoft YaHei" w:hAnsi="Calibri"/>
        </w:rPr>
        <w:t xml:space="preserve">：高 PE 行业盈利占比小，自身上修对指数 PE 影响小，但市值占比上升抬高了指数中枢——固定权重口径能剔除这部分。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YaHei" w:hAnsi="Calibri"/>
          <w:b/>
          <w:bCs/>
        </w:rPr>
        <w:t xml:space="preserve">行业整体下修时修正口径会“过度看便宜”</w:t>
      </w:r>
      <w:r>
        <w:rPr>
          <w:rFonts w:ascii="Calibri" w:cs="Calibri" w:eastAsia="Microsoft YaHei" w:hAnsi="Calibri"/>
        </w:rPr>
        <w:t xml:space="preserve">：它剔除了让中枢上升的成分迁移，却剔除不了让中枢下降的行业下修。在沪深300 型情景两者相互抵消，原版 V 偏差只有 −1.3，反而最接近真相。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YaHei" w:hAnsi="Calibri"/>
          <w:b/>
          <w:bCs/>
        </w:rPr>
        <w:t xml:space="preserve">多出的收益不等于判断更准</w:t>
      </w:r>
      <w:r>
        <w:rPr>
          <w:rFonts w:ascii="Calibri" w:cs="Calibri" w:eastAsia="Microsoft YaHei" w:hAnsi="Calibri"/>
        </w:rPr>
        <w:t xml:space="preserve">：价值下杀、沪深300 型中理想 V 只有 −0.27 / +0.04，固定权重却 +0.47 / +0.68——来自误判偏便宜后持仓更重，回撤多约 2.3pp、相关系数从 0.95 降到 0.91。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YaHei" w:hAnsi="Calibri"/>
          <w:b/>
          <w:bCs/>
        </w:rPr>
        <w:t xml:space="preserve">行业重估本身仍无法识别</w:t>
      </w:r>
      <w:r>
        <w:rPr>
          <w:rFonts w:ascii="Calibri" w:cs="Calibri" w:eastAsia="Microsoft YaHei" w:hAnsi="Calibri"/>
        </w:rPr>
        <w:t xml:space="preserve">——这是“中枢漂移识别”问题在行业层面的翻版；成分迁移则能准确剔除，因为权重是公开数据。</w:t>
      </w:r>
    </w:p>
    <w:p>
      <w:pPr>
        <w:pBdr>
          <w:left w:val="single" w:color="1D4F91" w:sz="18" w:space="6"/>
        </w:pBdr>
        <w:shd w:fill="EEF3FA" w:color="auto" w:val="clear"/>
        <w:spacing w:after="160" w:before="120" w:line="320"/>
        <w:ind w:left="120" w:right="120"/>
      </w:pPr>
      <w:r>
        <w:rPr>
          <w:rFonts w:ascii="Calibri" w:cs="Calibri" w:eastAsia="Microsoft YaHei" w:hAnsi="Calibri"/>
          <w:b/>
          <w:bCs/>
          <w:color w:val="B8322A"/>
        </w:rPr>
        <w:t xml:space="preserve">要点　</w:t>
      </w:r>
      <w:r>
        <w:rPr>
          <w:rFonts w:ascii="Calibri" w:cs="Calibri" w:eastAsia="Microsoft YaHei" w:hAnsi="Calibri"/>
        </w:rPr>
        <w:t xml:space="preserve">推荐口径：固定权重 + 隐含风险溢价。同时计算原版 V 作对照：修正口径持续比原版低 5 点以上时，说明行业整体在下修，正是它容易“过度看便宜”的情形，回投线不宜再放宽，必要时以原版为准。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7.4 真实数据准备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67"/>
        <w:gridCol w:w="4819"/>
        <w:gridCol w:w="2552"/>
      </w:tblGrid>
      <w:tr>
        <w:trPr>
          <w:tblHeader/>
        </w:trPr>
        <w:tc>
          <w:tcPr>
            <w:tcW w:type="dxa" w:w="2267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数据</w:t>
            </w:r>
          </w:p>
        </w:tc>
        <w:tc>
          <w:tcPr>
            <w:tcW w:type="dxa" w:w="4819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dxa" w:w="2552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频率</w:t>
            </w:r>
          </w:p>
        </w:tc>
      </w:tr>
      <w:tr>
        <w:tc>
          <w:tcPr>
            <w:tcW w:type="dxa" w:w="22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成分股权重（必需）</w:t>
            </w:r>
          </w:p>
        </w:tc>
        <w:tc>
          <w:tcPr>
            <w:tcW w:type="dxa" w:w="48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日期、股票代码、权重；含已调出 / 退市股票</w:t>
            </w:r>
          </w:p>
        </w:tc>
        <w:tc>
          <w:tcPr>
            <w:tcW w:type="dxa" w:w="255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每月末或每次调样后，最好从 2005 年起</w:t>
            </w:r>
          </w:p>
        </w:tc>
      </w:tr>
      <w:tr>
        <w:tc>
          <w:tcPr>
            <w:tcW w:type="dxa" w:w="22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行业分类（必需）</w:t>
            </w:r>
          </w:p>
        </w:tc>
        <w:tc>
          <w:tcPr>
            <w:tcW w:type="dxa" w:w="48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股票代码、申万或中证一级行业（最好带变更日期）</w:t>
            </w:r>
          </w:p>
        </w:tc>
        <w:tc>
          <w:tcPr>
            <w:tcW w:type="dxa" w:w="255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随权重同期</w:t>
            </w:r>
          </w:p>
        </w:tc>
      </w:tr>
      <w:tr>
        <w:tc>
          <w:tcPr>
            <w:tcW w:type="dxa" w:w="22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个股估值（必需）</w:t>
            </w:r>
          </w:p>
        </w:tc>
        <w:tc>
          <w:tcPr>
            <w:tcW w:type="dxa" w:w="48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总市值、归母净利润 TTM、归母净资产、现金分红 TTM（原始量，便于按指数口径加总、处理亏损股）</w:t>
            </w:r>
          </w:p>
        </w:tc>
        <w:tc>
          <w:tcPr>
            <w:tcW w:type="dxa" w:w="255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每月末</w:t>
            </w:r>
          </w:p>
        </w:tc>
      </w:tr>
      <w:tr>
        <w:tc>
          <w:tcPr>
            <w:tcW w:type="dxa" w:w="22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研发费用（可选）</w:t>
            </w:r>
          </w:p>
        </w:tc>
        <w:tc>
          <w:tcPr>
            <w:tcW w:type="dxa" w:w="48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用于无形资产调整后的 PB</w:t>
            </w:r>
          </w:p>
        </w:tc>
        <w:tc>
          <w:tcPr>
            <w:tcW w:type="dxa" w:w="255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年度</w:t>
            </w:r>
          </w:p>
        </w:tc>
      </w:tr>
      <w:tr>
        <w:tc>
          <w:tcPr>
            <w:tcW w:type="dxa" w:w="22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指数日度数据（可选）</w:t>
            </w:r>
          </w:p>
        </w:tc>
        <w:tc>
          <w:tcPr>
            <w:tcW w:type="dxa" w:w="48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附录 E：价格、全收益、PE、PB、股息率、10 年国债</w:t>
            </w:r>
          </w:p>
        </w:tc>
        <w:tc>
          <w:tcPr>
            <w:tcW w:type="dxa" w:w="255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日度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YaHei" w:hAnsi="Calibri"/>
          <w:b/>
          <w:bCs/>
        </w:rPr>
        <w:t xml:space="preserve">多文件交付</w:t>
      </w:r>
      <w:r>
        <w:rPr>
          <w:rFonts w:ascii="Calibri" w:cs="Calibri" w:eastAsia="Microsoft YaHei" w:hAnsi="Calibri"/>
        </w:rPr>
        <w:t xml:space="preserve">：压缩成一个 zip 上传（太大可分 2–3 个）；或在本地用脚本合并成一个 CSV（保留文件名中的日期）；或推送到私有 GitHub 仓库——公开仓库不要放 Wind、Choice 等授权数据。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YaHei" w:hAnsi="Calibri"/>
          <w:b/>
          <w:bCs/>
        </w:rPr>
        <w:t xml:space="preserve">只有成分权重、没有行业估值时的近似思路（未经检验）</w:t>
      </w:r>
      <w:r>
        <w:rPr>
          <w:rFonts w:ascii="Calibri" w:cs="Calibri" w:eastAsia="Microsoft YaHei" w:hAnsi="Calibri"/>
        </w:rPr>
        <w:t xml:space="preserve">：用一张“当前各行业典型估值”快照（PE、PB、股息率）计算成分因子 mix(s) = 按 s 日权重汇总的快照估值，把历史指数指标换算到今天的成分：X_adj(s) = X(s) × mix(t) / mix(s)，再取分位。只需指数自身估值历史 + 行业权重历史 + 一张行业估值快照。该方法与快照误差（约 ±30%）的影响原计划在多行业模拟中检验，检验未运行。</w:t>
      </w:r>
    </w:p>
    <w:p>
      <w:pPr>
        <w:pStyle w:val="Heading1"/>
        <w:pageBreakBefore/>
      </w:pPr>
      <w:r>
        <w:rPr>
          <w:rFonts w:ascii="Calibri" w:cs="Calibri" w:eastAsia="Microsoft YaHei" w:hAnsi="Calibri"/>
        </w:rPr>
        <w:t xml:space="preserve">八、总结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8.1 可落地建议清单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Calibri" w:cs="Calibri" w:eastAsia="Microsoft YaHei" w:hAnsi="Calibri"/>
          <w:b/>
          <w:bCs/>
        </w:rPr>
        <w:t xml:space="preserve">版本</w:t>
      </w:r>
      <w:r>
        <w:rPr>
          <w:rFonts w:ascii="Calibri" w:cs="Calibri" w:eastAsia="Microsoft YaHei" w:hAnsi="Calibri"/>
        </w:rPr>
        <w:t xml:space="preserve">：均衡选 V1.8，进取选 V1.7，稳健选 V1.6；V1.9 相对 V1.8 的改进未通过显著性检验。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Calibri" w:cs="Calibri" w:eastAsia="Microsoft YaHei" w:hAnsi="Calibri"/>
          <w:b/>
          <w:bCs/>
        </w:rPr>
        <w:t xml:space="preserve">参数</w:t>
      </w:r>
      <w:r>
        <w:rPr>
          <w:rFonts w:ascii="Calibri" w:cs="Calibri" w:eastAsia="Microsoft YaHei" w:hAnsi="Calibri"/>
        </w:rPr>
        <w:t xml:space="preserve">：止盈估值线 70 → 75；底仓 20% → 25%–30%；回投线、交易阈值保持原值。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Calibri" w:cs="Calibri" w:eastAsia="Microsoft YaHei" w:hAnsi="Calibri"/>
          <w:b/>
          <w:bCs/>
        </w:rPr>
        <w:t xml:space="preserve">资金池收益化</w:t>
      </w:r>
      <w:r>
        <w:rPr>
          <w:rFonts w:ascii="Calibri" w:cs="Calibri" w:eastAsia="Microsoft YaHei" w:hAnsi="Calibri"/>
        </w:rPr>
        <w:t xml:space="preserve">：止盈所得放货币基金或短债（需改“资金池不计收益”这条规定，并考虑赎回时滞）——收益最大、最普适的一项。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Calibri" w:cs="Calibri" w:eastAsia="Microsoft YaHei" w:hAnsi="Calibri"/>
          <w:b/>
          <w:bCs/>
        </w:rPr>
        <w:t xml:space="preserve">V 的构成</w:t>
      </w:r>
      <w:r>
        <w:rPr>
          <w:rFonts w:ascii="Calibri" w:cs="Calibri" w:eastAsia="Microsoft YaHei" w:hAnsi="Calibri"/>
        </w:rPr>
        <w:t xml:space="preserve">：股债利差换成隐含风险溢价；若有行业权重历史，再用固定权重口径回算历史估值（组合口径）。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Calibri" w:cs="Calibri" w:eastAsia="Microsoft YaHei" w:hAnsi="Calibri"/>
          <w:b/>
          <w:bCs/>
        </w:rPr>
        <w:t xml:space="preserve">预警</w:t>
      </w:r>
      <w:r>
        <w:rPr>
          <w:rFonts w:ascii="Calibri" w:cs="Calibri" w:eastAsia="Microsoft YaHei" w:hAnsi="Calibri"/>
        </w:rPr>
        <w:t xml:space="preserve">：一级预警常驻（止盈线 +5、回投线 −5、回投减半）；二、三级只触发人工复核；第十节复核沿用原规则。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Calibri" w:cs="Calibri" w:eastAsia="Microsoft YaHei" w:hAnsi="Calibri"/>
          <w:b/>
          <w:bCs/>
        </w:rPr>
        <w:t xml:space="preserve">动态底仓（可选）</w:t>
      </w:r>
      <w:r>
        <w:rPr>
          <w:rFonts w:ascii="Calibri" w:cs="Calibri" w:eastAsia="Microsoft YaHei" w:hAnsi="Calibri"/>
        </w:rPr>
        <w:t xml:space="preserve">：长周期三项（ROE 5 年均值上升、国债下降、观测中枢上移）至少两项确认时，底仓 20% → 40%。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Calibri" w:cs="Calibri" w:eastAsia="Microsoft YaHei" w:hAnsi="Calibri"/>
          <w:b/>
          <w:bCs/>
        </w:rPr>
        <w:t xml:space="preserve">冲击成本</w:t>
      </w:r>
      <w:r>
        <w:rPr>
          <w:rFonts w:ascii="Calibri" w:cs="Calibri" w:eastAsia="Microsoft YaHei" w:hAnsi="Calibri"/>
        </w:rPr>
        <w:t xml:space="preserve">：高波动日把大额交易拆到 3–5 个交易日分批执行。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Calibri" w:cs="Calibri" w:eastAsia="Microsoft YaHei" w:hAnsi="Calibri"/>
          <w:b/>
          <w:bCs/>
        </w:rPr>
        <w:t xml:space="preserve">监控</w:t>
      </w:r>
      <w:r>
        <w:rPr>
          <w:rFonts w:ascii="Calibri" w:cs="Calibri" w:eastAsia="Microsoft YaHei" w:hAnsi="Calibri"/>
        </w:rPr>
        <w:t xml:space="preserve">：每季度分别看 V 的四个分项分位；修正口径与原版 V 的差值超过 5 点时人工判断原因。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Calibri" w:cs="Calibri" w:eastAsia="Microsoft YaHei" w:hAnsi="Calibri"/>
          <w:b/>
          <w:bCs/>
        </w:rPr>
        <w:t xml:space="preserve">实盘前</w:t>
      </w:r>
      <w:r>
        <w:rPr>
          <w:rFonts w:ascii="Calibri" w:cs="Calibri" w:eastAsia="Microsoft YaHei" w:hAnsi="Calibri"/>
        </w:rPr>
        <w:t xml:space="preserve">：在 2014–2026 真实历史上逐笔核对 2015、2018、2021 年等关键轮次的动作差异。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8.2 被检验否定或需修正的想法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80"/>
        <w:gridCol w:w="5258"/>
      </w:tblGrid>
      <w:tr>
        <w:trPr>
          <w:tblHeader/>
        </w:trPr>
        <w:tc>
          <w:tcPr>
            <w:tcW w:type="dxa" w:w="4380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想法</w:t>
            </w:r>
          </w:p>
        </w:tc>
        <w:tc>
          <w:tcPr>
            <w:tcW w:type="dxa" w:w="5258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检验结果</w:t>
            </w:r>
          </w:p>
        </w:tc>
      </w:tr>
      <w:tr>
        <w:tc>
          <w:tcPr>
            <w:tcW w:type="dxa" w:w="4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假回归是均值回归策略的主要威胁</w:t>
            </w:r>
          </w:p>
        </w:tc>
        <w:tc>
          <w:tcPr>
            <w:tcW w:type="dxa" w:w="52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整体是正贡献；只有上升趋势假回落中的卖出会亏</w:t>
            </w:r>
          </w:p>
        </w:tc>
      </w:tr>
      <w:tr>
        <w:tc>
          <w:tcPr>
            <w:tcW w:type="dxa" w:w="4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二、三级预警自动回补能应对中枢上移</w:t>
            </w:r>
          </w:p>
        </w:tc>
        <w:tc>
          <w:tcPr>
            <w:tcW w:type="dxa" w:w="52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留出集上平均为负，回撤加深 6–10pp；只在缓慢上移有效</w:t>
            </w:r>
          </w:p>
        </w:tc>
      </w:tr>
      <w:tr>
        <w:tc>
          <w:tcPr>
            <w:tcW w:type="dxa" w:w="4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以 PE 滚动中位数为主证据修订第十节复核</w:t>
            </w:r>
          </w:p>
        </w:tc>
        <w:tc>
          <w:tcPr>
            <w:tcW w:type="dxa" w:w="52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误判约 3 倍，复核增益变负</w:t>
            </w:r>
          </w:p>
        </w:tc>
      </w:tr>
      <w:tr>
        <w:tc>
          <w:tcPr>
            <w:tcW w:type="dxa" w:w="4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按分项偏差下调回投线</w:t>
            </w:r>
          </w:p>
        </w:tc>
        <w:tc>
          <w:tcPr>
            <w:tcW w:type="dxa" w:w="52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无效（−0.04）</w:t>
            </w:r>
          </w:p>
        </w:tc>
      </w:tr>
      <w:tr>
        <w:tc>
          <w:tcPr>
            <w:tcW w:type="dxa" w:w="4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让 V 统计上“跟随中枢”（短窗口、EWMA、趋势、回归）</w:t>
            </w:r>
          </w:p>
        </w:tc>
        <w:tc>
          <w:tcPr>
            <w:tcW w:type="dxa" w:w="52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在正常市场付出的代价大于漂移市场的收益</w:t>
            </w:r>
          </w:p>
        </w:tc>
      </w:tr>
      <w:tr>
        <w:tc>
          <w:tcPr>
            <w:tcW w:type="dxa" w:w="4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隐含风险溢价“更好地处理了利率”</w:t>
            </w:r>
          </w:p>
        </w:tc>
        <w:tc>
          <w:tcPr>
            <w:tcW w:type="dxa" w:w="52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利率处理与股债利差相同；改善来自构成分散与增长抵扣</w:t>
            </w:r>
          </w:p>
        </w:tc>
      </w:tr>
      <w:tr>
        <w:tc>
          <w:tcPr>
            <w:tcW w:type="dxa" w:w="4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修正口径带来的额外收益 = 判断更准</w:t>
            </w:r>
          </w:p>
        </w:tc>
        <w:tc>
          <w:tcPr>
            <w:tcW w:type="dxa" w:w="52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在行业下修场景主要来自更重仓位，需同时看回撤与跟踪误差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Microsoft YaHei" w:hAnsi="Calibri"/>
        </w:rPr>
        <w:t xml:space="preserve">8.3 方法论上的收获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YaHei" w:hAnsi="Calibri"/>
          <w:b/>
          <w:bCs/>
        </w:rPr>
        <w:t xml:space="preserve">设标尺</w:t>
      </w:r>
      <w:r>
        <w:rPr>
          <w:rFonts w:ascii="Calibri" w:cs="Calibri" w:eastAsia="Microsoft YaHei" w:hAnsi="Calibri"/>
        </w:rPr>
        <w:t xml:space="preserve">：模拟中真实中枢已知，构造“理想 V”既能给方法打分（相关系数、偏差），也能给出收益上限。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YaHei" w:hAnsi="Calibri"/>
          <w:b/>
          <w:bCs/>
        </w:rPr>
        <w:t xml:space="preserve">配对比较</w:t>
      </w:r>
      <w:r>
        <w:rPr>
          <w:rFonts w:ascii="Calibri" w:cs="Calibri" w:eastAsia="Microsoft YaHei" w:hAnsi="Calibri"/>
        </w:rPr>
        <w:t xml:space="preserve">：同一随机种子下比较方案，差异只来自方案本身；配合标准误和胜率判断是否显著。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YaHei" w:hAnsi="Calibri"/>
          <w:b/>
          <w:bCs/>
        </w:rPr>
        <w:t xml:space="preserve">留出验证</w:t>
      </w:r>
      <w:r>
        <w:rPr>
          <w:rFonts w:ascii="Calibri" w:cs="Calibri" w:eastAsia="Microsoft YaHei" w:hAnsi="Calibri"/>
        </w:rPr>
        <w:t xml:space="preserve">：看过结果后提出的方案，必须在未见过的新路径上再验一次。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YaHei" w:hAnsi="Calibri"/>
          <w:b/>
          <w:bCs/>
        </w:rPr>
        <w:t xml:space="preserve">拆解来源</w:t>
      </w:r>
      <w:r>
        <w:rPr>
          <w:rFonts w:ascii="Calibri" w:cs="Calibri" w:eastAsia="Microsoft YaHei" w:hAnsi="Calibri"/>
        </w:rPr>
        <w:t xml:space="preserve">：用“去掉某个成分”的对照（如 g 固定）判断改善到底来自哪里。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YaHei" w:hAnsi="Calibri"/>
          <w:b/>
          <w:bCs/>
        </w:rPr>
        <w:t xml:space="preserve">收益要和风险一起看</w:t>
      </w:r>
      <w:r>
        <w:rPr>
          <w:rFonts w:ascii="Calibri" w:cs="Calibri" w:eastAsia="Microsoft YaHei" w:hAnsi="Calibri"/>
        </w:rPr>
        <w:t xml:space="preserve">：仓位更重在长期上涨的模拟市场里会多赚，但这不是识别能力的提升。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8.4 局限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YaHei" w:hAnsi="Calibri"/>
        </w:rPr>
        <w:t xml:space="preserve">全部来自合成数据；模型假设（危机频率、中枢驱动关系、行业设定、冲击成本公式）决定结论适用范围。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YaHei" w:hAnsi="Calibri"/>
        </w:rPr>
        <w:t xml:space="preserve">日线最高 / 最低价为近似值；第十节人工复核只能按两项可量化证据自动化。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YaHei" w:hAnsi="Calibri"/>
        </w:rPr>
        <w:t xml:space="preserve">股票久期、增长传导系数等为假设值；真实中枢不可观测。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YaHei" w:hAnsi="Calibri"/>
        </w:rPr>
        <w:t xml:space="preserve">真实历史只有约 3 轮完整的止盈—回投周期，实盘回测统计力度有限，更适合核对方向与关键时点。</w:t>
      </w:r>
    </w:p>
    <w:p>
      <w:pPr>
        <w:pStyle w:val="Heading1"/>
        <w:pageBreakBefore/>
      </w:pPr>
      <w:r>
        <w:rPr>
          <w:rFonts w:ascii="Calibri" w:cs="Calibri" w:eastAsia="Microsoft YaHei" w:hAnsi="Calibri"/>
        </w:rPr>
        <w:t xml:space="preserve">附录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A. 代码与结果文件索引</w:t>
      </w:r>
    </w:p>
    <w:p>
      <w:pPr>
        <w:spacing w:after="120" w:line="320"/>
      </w:pPr>
      <w:r>
        <w:rPr>
          <w:rFonts w:ascii="Calibri" w:cs="Calibri" w:eastAsia="Microsoft YaHei" w:hAnsi="Calibri"/>
        </w:rPr>
        <w:t xml:space="preserve">仓库目录 hs300-stress-test/（分支 claude/hs300-stress-test-v1.6-v1.9-q31359）。可视化报告：report.html（自包含，可离线打开）。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96"/>
        <w:gridCol w:w="5842"/>
      </w:tblGrid>
      <w:tr>
        <w:trPr>
          <w:tblHeader/>
        </w:trPr>
        <w:tc>
          <w:tcPr>
            <w:tcW w:type="dxa" w:w="3796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文件</w:t>
            </w:r>
          </w:p>
        </w:tc>
        <w:tc>
          <w:tcPr>
            <w:tcW w:type="dxa" w:w="5842"/>
            <w:shd w:fill="1D4F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37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gen.py / indicators.py / engine.py</w:t>
            </w:r>
          </w:p>
        </w:tc>
        <w:tc>
          <w:tcPr>
            <w:tcW w:type="dxa" w:w="584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合成行情、指标计算（V、U、S、B、多周期预警）、四版逐日回测引擎（含成本、复核、预警应对、结构优化开关）</w:t>
            </w:r>
          </w:p>
        </w:tc>
      </w:tr>
      <w:tr>
        <w:tc>
          <w:tcPr>
            <w:tcW w:type="dxa" w:w="37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analysis.py / summarize.py / extra.py / report.py</w:t>
            </w:r>
          </w:p>
        </w:tc>
        <w:tc>
          <w:tcPr>
            <w:tcW w:type="dxa" w:w="584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主压力测试全部实验、汇总、配对差与报告生成</w:t>
            </w:r>
          </w:p>
        </w:tc>
      </w:tr>
      <w:tr>
        <w:tc>
          <w:tcPr>
            <w:tcW w:type="dxa" w:w="37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gen2.py / study.py</w:t>
            </w:r>
          </w:p>
        </w:tc>
        <w:tc>
          <w:tcPr>
            <w:tcW w:type="dxa" w:w="584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四驱动中枢模型、18 情景 + 81 组全组合专项</w:t>
            </w:r>
          </w:p>
        </w:tc>
      </w:tr>
      <w:tr>
        <w:tc>
          <w:tcPr>
            <w:tcW w:type="dxa" w:w="37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optim.py</w:t>
            </w:r>
          </w:p>
        </w:tc>
        <w:tc>
          <w:tcPr>
            <w:tcW w:type="dxa" w:w="584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五个结构性开关检验</w:t>
            </w:r>
          </w:p>
        </w:tc>
      </w:tr>
      <w:tr>
        <w:tc>
          <w:tcPr>
            <w:tcW w:type="dxa" w:w="37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vtrack.py</w:t>
            </w:r>
          </w:p>
        </w:tc>
        <w:tc>
          <w:tcPr>
            <w:tcW w:type="dxa" w:w="584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让 V 跟随中枢的 7 种方法 vs 理想 V</w:t>
            </w:r>
          </w:p>
        </w:tc>
      </w:tr>
      <w:tr>
        <w:tc>
          <w:tcPr>
            <w:tcW w:type="dxa" w:w="37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inst.py / inst_robust.py</w:t>
            </w:r>
          </w:p>
        </w:tc>
        <w:tc>
          <w:tcPr>
            <w:tcW w:type="dxa" w:w="584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国际机构方法移植、隐含风险溢价稳健性</w:t>
            </w:r>
          </w:p>
        </w:tc>
      </w:tr>
      <w:tr>
        <w:tc>
          <w:tcPr>
            <w:tcW w:type="dxa" w:w="37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compare_v17.py / compare_v17_summary.py</w:t>
            </w:r>
          </w:p>
        </w:tc>
        <w:tc>
          <w:tcPr>
            <w:tcW w:type="dxa" w:w="584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V1.7 原版 V vs 新版 V（742 条路径）</w:t>
            </w:r>
          </w:p>
        </w:tc>
      </w:tr>
      <w:tr>
        <w:tc>
          <w:tcPr>
            <w:tcW w:type="dxa" w:w="37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sector.py / sector2.py</w:t>
            </w:r>
          </w:p>
        </w:tc>
        <w:tc>
          <w:tcPr>
            <w:tcW w:type="dxa" w:w="584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多行业 + 权重迁移模拟；加入行业重估</w:t>
            </w:r>
          </w:p>
        </w:tc>
      </w:tr>
      <w:tr>
        <w:tc>
          <w:tcPr>
            <w:tcW w:type="dxa" w:w="37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sector_static.py</w:t>
            </w:r>
          </w:p>
        </w:tc>
        <w:tc>
          <w:tcPr>
            <w:tcW w:type="dxa" w:w="584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只有权重时的静态快照近似（已编写，未运行）</w:t>
            </w:r>
          </w:p>
        </w:tc>
      </w:tr>
      <w:tr>
        <w:tc>
          <w:tcPr>
            <w:tcW w:type="dxa" w:w="37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results/*.json</w:t>
            </w:r>
          </w:p>
        </w:tc>
        <w:tc>
          <w:tcPr>
            <w:tcW w:type="dxa" w:w="584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各实验汇总结果（raw.json 等中间文件可重算，不入库）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Calibri" w:cs="Calibri" w:eastAsia="Microsoft YaHei" w:hAnsi="Calibri"/>
        </w:rPr>
        <w:t xml:space="preserve">复现主报告：python analysis.py &amp;&amp; python summarize.py &amp;&amp; python extra.py &amp;&amp; python study.py &amp;&amp; python report.py（4 核约 12–15 分钟，仅依赖 numpy / pandas）。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B. 参考文献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YaHei" w:hAnsi="Calibri"/>
        </w:rPr>
        <w:t xml:space="preserve">Shiller, Black, Jivraj (2020)：超额 CAPE 收益率（Excess CAPE Yield）。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YaHei" w:hAnsi="Calibri"/>
        </w:rPr>
        <w:t xml:space="preserve">Vanguard：公允价值 CAPE（fair-value CAPE），基于盈利收益率、通胀与 10 年国债的误差修正模型。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YaHei" w:hAnsi="Calibri"/>
        </w:rPr>
        <w:t xml:space="preserve">Damodaran：隐含股权风险溢价（Implied ERP）年度更新与方法说明。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YaHei" w:hAnsi="Calibri"/>
        </w:rPr>
        <w:t xml:space="preserve">Lettau, Van Nieuwerburgh (2008). Reconciling the Return Predictability Evidence. Review of Financial Studies（NBER w12109）。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YaHei" w:hAnsi="Calibri"/>
        </w:rPr>
        <w:t xml:space="preserve">Grantham (2017, GMO). I Do Indeed Believe the US Market Will Revert Toward Its Old Means – Just Very Slowly。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YaHei" w:hAnsi="Calibri"/>
        </w:rPr>
        <w:t xml:space="preserve">Research Affiliates (2017). CAPE Fatigue；以及资产配置交互模型。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YaHei" w:hAnsi="Calibri"/>
        </w:rPr>
        <w:t xml:space="preserve">Asness, Ilmanen, Maloney (2017). Market Timing: Sin a Little. Journal of Investment Management。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YaHei" w:hAnsi="Calibri"/>
        </w:rPr>
        <w:t xml:space="preserve">Asness (2003). Fight the Fed Model. Journal of Portfolio Management。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YaHei" w:hAnsi="Calibri"/>
        </w:rPr>
        <w:t xml:space="preserve">Arnott, Harvey, Kalesnik, Linnainmaa (2021). Reports of Value's Death May Be Greatly Exaggerated. Financial Analysts Journal。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YaHei" w:hAnsi="Calibri"/>
        </w:rPr>
        <w:t xml:space="preserve">Riksbank Staff Memo (2021). Equity market valuation in light of low interest rates。</w:t>
      </w:r>
    </w:p>
    <w:sectPr>
      <w:footerReference w:type="default" r:id="rId7"/>
      <w:pgSz w:w="11906" w:h="16838" w:orient="portrait"/>
      <w:pgMar w:top="1247" w:right="1134" w:bottom="1247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YaHei" w:hAnsi="Calibri"/>
        <w:color w:val="5A617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YaHe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libri" w:cs="Calibri" w:eastAsia="Microsoft YaHei" w:hAnsi="Calibri"/>
      <w:b/>
      <w:bCs/>
      <w:color w:val="1D4F9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Microsoft YaHei" w:hAnsi="Calibri"/>
      <w:b/>
      <w:bCs/>
      <w:color w:val="22222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Microsoft YaHei" w:hAnsi="Calibr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沪深300 估值策略压力测试与中枢漂移研究 · 学习笔记</dc:title>
  <dc:creator>Claude</dc:creator>
  <cp:lastModifiedBy>Un-named</cp:lastModifiedBy>
  <cp:revision>1</cp:revision>
  <dcterms:created xsi:type="dcterms:W3CDTF">2026-10-14T06:03:48.749Z</dcterms:created>
  <dcterms:modified xsi:type="dcterms:W3CDTF">2026-10-14T06:03:48.754Z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