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eastAsia="黑体"/>
          <w:b/>
          <w:sz w:val="36"/>
        </w:rPr>
        <w:t>硕士学位论文中期考核报告</w:t>
      </w:r>
    </w:p>
    <w:p>
      <w:pPr>
        <w:spacing w:after="80"/>
        <w:jc w:val="center"/>
      </w:pPr>
      <w:r>
        <w:rPr>
          <w:rFonts w:ascii="Times New Roman" w:hAnsi="Times New Roman" w:eastAsia="宋体"/>
          <w:b w:val="0"/>
          <w:sz w:val="28"/>
        </w:rPr>
        <w:t>题目：基于语义实例关联的室内点云三维重建与平面图自动生成</w:t>
      </w:r>
    </w:p>
    <w:p>
      <w:pPr>
        <w:spacing w:after="40"/>
        <w:jc w:val="center"/>
      </w:pPr>
      <w:r>
        <w:rPr>
          <w:rFonts w:ascii="Times New Roman" w:hAnsi="Times New Roman" w:eastAsia="宋体"/>
          <w:b w:val="0"/>
          <w:sz w:val="24"/>
        </w:rPr>
        <w:t>研究生：刘涛</w:t>
      </w:r>
    </w:p>
    <w:p>
      <w:pPr>
        <w:spacing w:after="40"/>
        <w:jc w:val="center"/>
      </w:pPr>
      <w:r>
        <w:rPr>
          <w:rFonts w:ascii="Times New Roman" w:hAnsi="Times New Roman" w:eastAsia="宋体"/>
          <w:b w:val="0"/>
          <w:sz w:val="24"/>
        </w:rPr>
        <w:t>学号：24031212316</w:t>
      </w:r>
    </w:p>
    <w:p>
      <w:pPr>
        <w:spacing w:after="40"/>
        <w:jc w:val="center"/>
      </w:pPr>
      <w:r>
        <w:rPr>
          <w:rFonts w:ascii="Times New Roman" w:hAnsi="Times New Roman" w:eastAsia="宋体"/>
          <w:b w:val="0"/>
          <w:sz w:val="24"/>
        </w:rPr>
        <w:t>导师：XXX 教授</w:t>
      </w:r>
    </w:p>
    <w:p>
      <w:pPr>
        <w:spacing w:after="40"/>
        <w:jc w:val="center"/>
      </w:pPr>
      <w:r>
        <w:rPr>
          <w:rFonts w:ascii="Times New Roman" w:hAnsi="Times New Roman" w:eastAsia="宋体"/>
          <w:b w:val="0"/>
          <w:sz w:val="24"/>
        </w:rPr>
        <w:t>学院：XXX 学院</w:t>
      </w:r>
    </w:p>
    <w:p>
      <w:pPr>
        <w:spacing w:after="40"/>
        <w:jc w:val="center"/>
      </w:pPr>
      <w:r>
        <w:rPr>
          <w:rFonts w:ascii="Times New Roman" w:hAnsi="Times New Roman" w:eastAsia="宋体"/>
          <w:b w:val="0"/>
          <w:sz w:val="24"/>
        </w:rPr>
        <w:t>专业：XXX</w:t>
      </w:r>
    </w:p>
    <w:p>
      <w:pPr>
        <w:spacing w:after="40"/>
        <w:jc w:val="center"/>
      </w:pPr>
      <w:r>
        <w:rPr>
          <w:rFonts w:ascii="Times New Roman" w:hAnsi="Times New Roman" w:eastAsia="宋体"/>
          <w:b w:val="0"/>
          <w:sz w:val="24"/>
        </w:rPr>
        <w:t>报告日期：2025年XX月XX日</w:t>
      </w:r>
    </w:p>
    <w:p>
      <w:r>
        <w:br w:type="page"/>
      </w:r>
    </w:p>
    <w:p>
      <w:pPr>
        <w:pStyle w:val="Heading1"/>
        <w:spacing w:before="240" w:after="120"/>
        <w:jc w:val="left"/>
      </w:pPr>
      <w:r>
        <w:rPr>
          <w:rFonts w:ascii="Arial" w:hAnsi="Arial" w:eastAsia="黑体"/>
          <w:b/>
          <w:sz w:val="32"/>
        </w:rPr>
        <w:t>一、学位论文研究目标及研究内容</w:t>
      </w:r>
    </w:p>
    <w:p>
      <w:pPr>
        <w:pStyle w:val="Heading2"/>
        <w:spacing w:before="240" w:after="120"/>
        <w:jc w:val="left"/>
      </w:pPr>
      <w:r>
        <w:rPr>
          <w:rFonts w:ascii="Arial" w:hAnsi="Arial" w:eastAsia="黑体"/>
          <w:b/>
          <w:sz w:val="28"/>
        </w:rPr>
        <w:t>（一）研究目标</w:t>
      </w:r>
    </w:p>
    <w:p>
      <w:pPr>
        <w:spacing w:before="0" w:after="120" w:line="440" w:lineRule="exact"/>
        <w:ind w:firstLine="420"/>
        <w:jc w:val="both"/>
      </w:pPr>
      <w:r>
        <w:rPr>
          <w:rFonts w:ascii="Times New Roman" w:hAnsi="Times New Roman" w:eastAsia="宋体"/>
          <w:b w:val="0"/>
          <w:sz w:val="24"/>
        </w:rPr>
        <w:t>本研究属于室内建筑三维重建与工程制图自动化领域，旨在解决从激光雷达（LiDAR）采集的原始三维点云数据到二维CAD建筑平面图的自动化转换问题。针对多视角语义实例融合中传统2D IoU数据关联方案在相机视角变化较大时出现关联失败的核心问题，提出了基于</w:t>
      </w:r>
      <w:r>
        <w:rPr>
          <w:rFonts w:ascii="Times New Roman" w:hAnsi="Times New Roman" w:eastAsia="宋体"/>
          <w:b/>
          <w:sz w:val="24"/>
        </w:rPr>
        <w:t>3D点集级IoU</w:t>
      </w:r>
      <w:r>
        <w:rPr>
          <w:rFonts w:ascii="Times New Roman" w:hAnsi="Times New Roman" w:eastAsia="宋体"/>
          <w:b w:val="0"/>
          <w:sz w:val="24"/>
        </w:rPr>
        <w:t>的多视角语义实例融合方法，通过在三维点索引空间计算交并比替代视角敏感的二维掩码匹配，实现视角不变的实例关联，并结合贝叶斯多帧语义融合准确区分室内结构与非结构要素。为支撑方法的系统性验证，同步构建面向各创新点消融实验需求的专项多场景配对数据集。此外，针对二维CAD线段提取中因缺乏自适应高度参数估计和几何拓扑约束所导致的跨场景不适应、线段断裂等问题开展改进研究，最终形成从三维点云到带真实尺度工程CAD图纸的完整处理管线。</w:t>
      </w:r>
    </w:p>
    <w:p>
      <w:pPr>
        <w:pStyle w:val="Heading2"/>
        <w:spacing w:before="240" w:after="120"/>
        <w:jc w:val="left"/>
      </w:pPr>
      <w:r>
        <w:rPr>
          <w:rFonts w:ascii="Arial" w:hAnsi="Arial" w:eastAsia="黑体"/>
          <w:b/>
          <w:sz w:val="28"/>
        </w:rPr>
        <w:t>（二）研究内容</w:t>
      </w:r>
    </w:p>
    <w:p>
      <w:pPr>
        <w:pStyle w:val="Heading3"/>
        <w:spacing w:before="240" w:after="120"/>
        <w:jc w:val="left"/>
      </w:pPr>
      <w:r>
        <w:rPr>
          <w:rFonts w:ascii="Arial" w:hAnsi="Arial" w:eastAsia="黑体"/>
          <w:b/>
          <w:sz w:val="26"/>
        </w:rPr>
        <w:t>1. 支撑多视角语义实例关联研究的室内建筑场景专项数据集构建</w:t>
      </w:r>
    </w:p>
    <w:p>
      <w:pPr>
        <w:spacing w:before="0" w:after="120" w:line="440" w:lineRule="exact"/>
        <w:ind w:firstLine="420"/>
        <w:jc w:val="both"/>
      </w:pPr>
      <w:r>
        <w:rPr>
          <w:rFonts w:ascii="Times New Roman" w:hAnsi="Times New Roman" w:eastAsia="宋体"/>
          <w:b w:val="0"/>
          <w:sz w:val="24"/>
        </w:rPr>
        <w:t>面向本研究核心创新——多视角语义实例数据关联方法——的有效验证，现有室内数据集在场景设计上存在针对性不足的问题。支撑3D点集级IoU优越性验证的关键场景包括相机视角变化幅度大的多转角环境（用于对比3D IoU与2D IoU在大视角偏转下的关联成功率差异），以及家具密集、结构要素大量被遮挡的高遮挡环境（用于验证遮挡鲁棒性）。支撑贝叶斯语义融合验证的场景需包含多类别家具混合的语义复杂环境。支撑自适应高度检测验证的场景需覆盖层高差异显著的对比组（如2.5m普通办公室与4.5m门厅）。上述场景配置在现有公开数据集中均缺乏系统性覆盖，因此本研究自主构建专项数据集，以LiDAR设备采集带色点云，同步获取1600×1600分辨率多视角RGB图像序列及每帧4×4 camera-to-world变换矩阵，确保数据能够为各创新点提供有针对性的实验验证支撑。</w:t>
      </w:r>
    </w:p>
    <w:p>
      <w:pPr>
        <w:pStyle w:val="Heading3"/>
        <w:spacing w:before="240" w:after="120"/>
        <w:jc w:val="left"/>
      </w:pPr>
      <w:r>
        <w:rPr>
          <w:rFonts w:ascii="Arial" w:hAnsi="Arial" w:eastAsia="黑体"/>
          <w:b/>
          <w:sz w:val="26"/>
        </w:rPr>
        <w:t>2. 基于3D点集级IoU的多视角语义实例融合</w:t>
      </w:r>
    </w:p>
    <w:p>
      <w:pPr>
        <w:spacing w:before="0" w:after="120" w:line="440" w:lineRule="exact"/>
        <w:ind w:firstLine="420"/>
        <w:jc w:val="both"/>
      </w:pPr>
      <w:r>
        <w:rPr>
          <w:rFonts w:ascii="Times New Roman" w:hAnsi="Times New Roman" w:eastAsia="宋体"/>
          <w:b w:val="0"/>
          <w:sz w:val="24"/>
        </w:rPr>
        <w:t>本研究的核心方法论贡献在于多视角语义实例的建立、维护与语义融合问题。从形式化角度，设全局点云为 P={p_i}（i=1..N），帧序列为 {(I_t, T_t, D_t)}（I_t 为图像，T_t 为4×4位姿，D_t={d_k}为该帧检测集合），目标是维护实例集合 S={s_j}，每个实例 s_j 对应唯一物理物体，具备点索引集合 S_j、语义类别 c_j 及置信度分布。该问题的核心挑战在于：同一物体在不同帧的二维掩码投影因视角不同而位置各异，传统2D IoU方案在相机旋转角度较大时可能使 IoU_2D→0，错误地将同一实例判定为不同物体，导致实例数目随帧数无限增长而非收敛。</w:t>
      </w:r>
    </w:p>
    <w:p>
      <w:pPr>
        <w:spacing w:before="0" w:after="120" w:line="440" w:lineRule="exact"/>
        <w:ind w:firstLine="420"/>
        <w:jc w:val="both"/>
      </w:pPr>
      <w:r>
        <w:rPr>
          <w:rFonts w:ascii="Times New Roman" w:hAnsi="Times New Roman" w:eastAsia="宋体"/>
          <w:b w:val="0"/>
          <w:sz w:val="24"/>
        </w:rPr>
        <w:t>本文在三维点索引空间定义 IoU_3D(A,B) = |S_A∩S_B| / |S_A∪S_B|，以此替代视角敏感的二维掩码匹配。处理流程包含以下关键模块：①</w:t>
      </w:r>
      <w:r>
        <w:rPr>
          <w:rFonts w:ascii="Times New Roman" w:hAnsi="Times New Roman" w:eastAsia="宋体"/>
          <w:b/>
          <w:sz w:val="24"/>
        </w:rPr>
        <w:t>体素哈希加速视锥体筛选</w:t>
      </w:r>
      <w:r>
        <w:rPr>
          <w:rFonts w:ascii="Times New Roman" w:hAnsi="Times New Roman" w:eastAsia="宋体"/>
          <w:b w:val="0"/>
          <w:sz w:val="24"/>
        </w:rPr>
        <w:t>，以空间哈希索引和DDA算法将单帧可见点筛选时间复杂度从 O(N) 降至 O(|voxels_frustum|)，加速比约40倍；②</w:t>
      </w:r>
      <w:r>
        <w:rPr>
          <w:rFonts w:ascii="Times New Roman" w:hAnsi="Times New Roman" w:eastAsia="宋体"/>
          <w:b/>
          <w:sz w:val="24"/>
        </w:rPr>
        <w:t>2D掩码至3D点集映射</w:t>
      </w:r>
      <w:r>
        <w:rPr>
          <w:rFonts w:ascii="Times New Roman" w:hAnsi="Times New Roman" w:eastAsia="宋体"/>
          <w:b w:val="0"/>
          <w:sz w:val="24"/>
        </w:rPr>
        <w:t>，通过针孔相机模型将掩码像素逐一映射至对应三维点索引，构建每个检测目标的点索引集 S_{d_k}；③</w:t>
      </w:r>
      <w:r>
        <w:rPr>
          <w:rFonts w:ascii="Times New Roman" w:hAnsi="Times New Roman" w:eastAsia="宋体"/>
          <w:b/>
          <w:sz w:val="24"/>
        </w:rPr>
        <w:t>双向最大匹配关联</w:t>
      </w:r>
      <w:r>
        <w:rPr>
          <w:rFonts w:ascii="Times New Roman" w:hAnsi="Times New Roman" w:eastAsia="宋体"/>
          <w:b w:val="0"/>
          <w:sz w:val="24"/>
        </w:rPr>
        <w:t>，在 K×M 的IoU矩阵（K个检测，M个活跃实例）上执行双向一致性匹配，歧义情形以点集重叠度为优先级排序解决；④</w:t>
      </w:r>
      <w:r>
        <w:rPr>
          <w:rFonts w:ascii="Times New Roman" w:hAnsi="Times New Roman" w:eastAsia="宋体"/>
          <w:b/>
          <w:sz w:val="24"/>
        </w:rPr>
        <w:t>实例生命周期管理</w:t>
      </w:r>
      <w:r>
        <w:rPr>
          <w:rFonts w:ascii="Times New Roman" w:hAnsi="Times New Roman" w:eastAsia="宋体"/>
          <w:b w:val="0"/>
          <w:sz w:val="24"/>
        </w:rPr>
        <w:t>，匹配成功的实例执行点集合并 S_j←S_j∪S_{d_k} 并累加语义置信度，未匹配检测创建新实例，长期未被观测的实例进入休眠；⑤</w:t>
      </w:r>
      <w:r>
        <w:rPr>
          <w:rFonts w:ascii="Times New Roman" w:hAnsi="Times New Roman" w:eastAsia="宋体"/>
          <w:b/>
          <w:sz w:val="24"/>
        </w:rPr>
        <w:t>贝叶斯多帧语义融合</w:t>
      </w:r>
      <w:r>
        <w:rPr>
          <w:rFonts w:ascii="Times New Roman" w:hAnsi="Times New Roman" w:eastAsia="宋体"/>
          <w:b w:val="0"/>
          <w:sz w:val="24"/>
        </w:rPr>
        <w:t>，引入似然矩阵 L∈R^(|O|×|C|)（O为观测标签空间，C为预定义11类），以贝叶斯更新 P(c|o_1..o_T) ∝ P(c)·∏P(o_t|c) 将多帧异质性观测统一映射至语义类别后验概率，实现标签的语义收敛；⑥</w:t>
      </w:r>
      <w:r>
        <w:rPr>
          <w:rFonts w:ascii="Times New Roman" w:hAnsi="Times New Roman" w:eastAsia="宋体"/>
          <w:b/>
          <w:sz w:val="24"/>
        </w:rPr>
        <w:t>后处理合并</w:t>
      </w:r>
      <w:r>
        <w:rPr>
          <w:rFonts w:ascii="Times New Roman" w:hAnsi="Times New Roman" w:eastAsia="宋体"/>
          <w:b w:val="0"/>
          <w:sz w:val="24"/>
        </w:rPr>
        <w:t>，通过重叠IoU阈值进一步消除过分割碎片。</w:t>
      </w:r>
    </w:p>
    <w:p>
      <w:pPr>
        <w:pStyle w:val="Heading3"/>
        <w:spacing w:before="240" w:after="120"/>
        <w:jc w:val="left"/>
      </w:pPr>
      <w:r>
        <w:rPr>
          <w:rFonts w:ascii="Arial" w:hAnsi="Arial" w:eastAsia="黑体"/>
          <w:b/>
          <w:sz w:val="26"/>
        </w:rPr>
        <w:t>3. 自适应点云投影与建筑结构CAD线段提取</w:t>
      </w:r>
    </w:p>
    <w:p>
      <w:pPr>
        <w:spacing w:before="0" w:after="120" w:line="440" w:lineRule="exact"/>
        <w:ind w:firstLine="420"/>
        <w:jc w:val="both"/>
      </w:pPr>
      <w:r>
        <w:rPr>
          <w:rFonts w:ascii="Times New Roman" w:hAnsi="Times New Roman" w:eastAsia="宋体"/>
          <w:b w:val="0"/>
          <w:sz w:val="24"/>
        </w:rPr>
        <w:t>若缺乏专门面向结构点云的自适应投影与规则化方法，直接将三维点云投影至二维平面将面临以下根本性问题：其一，不同建筑空间层高差异显著（普通办公室约2.5m，门厅/大堂可达4～5m），以固定高度范围切片时，层高较高的空间中大量墙体点云被截断，层高较低的空间则引入大量地板与天花板噪声，投影质量在场景间高度不一致；其二，单层平面投影对点云局部缺失极为敏感，扫描盲区或临时遮挡造成的局部空洞会直接表现为墙线断裂；其三，原始栅格化图像呈现为具有一定宽度的【带状】而非清晰的【线状】，无法直接提取符合工程制图要求的单宽线段；其四，缺乏几何约束优化的线段集合在墙角处存在大量悬空端点，DXF文件几何拓扑不封闭，无法在AutoCAD中直接用于面积计算或BIM建模。</w:t>
      </w:r>
    </w:p>
    <w:p>
      <w:pPr>
        <w:spacing w:before="0" w:after="120" w:line="440" w:lineRule="exact"/>
        <w:ind w:firstLine="420"/>
        <w:jc w:val="both"/>
      </w:pPr>
      <w:r>
        <w:rPr>
          <w:rFonts w:ascii="Times New Roman" w:hAnsi="Times New Roman" w:eastAsia="宋体"/>
          <w:b w:val="0"/>
          <w:sz w:val="24"/>
        </w:rPr>
        <w:t>基于上述问题分析，本研究提出完整处理流程：以Z轴点密度直方图 H(z_k)=|{p_i: z_k≤p_iz&lt;z_k+Δz}|自动定位地板峰值 z_floor=argmax_{z&lt;z_med}H(z) 和天花板峰值 z_ceil=argmax_{z&gt;z_med}H(z)，实现跨场景的高度自适应；将高度区间等分为N层切片，以叠加投票图 M(u,v)=Σ_k V_k(u,v)≥τ_vote抑制单层噪声；经Zhang-Suen骨架化获得单像素宽结构线迹后，基于极坐标 ρ=x·cosθ+y·sinθ 的Hough变换提取线段集合，并以角度差、垂直偏移距离和端点间隙三联合判据执行共线合并；最终通过正交拓扑修正将墙角端点吸附至交叉点，输出带真实米制坐标的 floorplan.dxf 和 floorplan.svg。</w:t>
      </w:r>
    </w:p>
    <w:p>
      <w:pPr>
        <w:pStyle w:val="Heading1"/>
        <w:spacing w:before="240" w:after="120"/>
        <w:jc w:val="left"/>
      </w:pPr>
      <w:r>
        <w:rPr>
          <w:rFonts w:ascii="Arial" w:hAnsi="Arial" w:eastAsia="黑体"/>
          <w:b/>
          <w:sz w:val="32"/>
        </w:rPr>
        <w:t>二、目前已完成学位论文工作的内容</w:t>
      </w:r>
    </w:p>
    <w:p>
      <w:pPr>
        <w:pStyle w:val="Heading2"/>
        <w:spacing w:before="240" w:after="120"/>
        <w:jc w:val="left"/>
      </w:pPr>
      <w:r>
        <w:rPr>
          <w:rFonts w:ascii="Arial" w:hAnsi="Arial" w:eastAsia="黑体"/>
          <w:b/>
          <w:sz w:val="28"/>
        </w:rPr>
        <w:t>2.1  数据集构建与开放词汇分割管线验证</w:t>
      </w:r>
    </w:p>
    <w:p>
      <w:pPr>
        <w:spacing w:before="0" w:after="120" w:line="440" w:lineRule="exact"/>
        <w:ind w:firstLine="420"/>
        <w:jc w:val="both"/>
      </w:pPr>
      <w:r>
        <w:rPr>
          <w:rFonts w:ascii="Times New Roman" w:hAnsi="Times New Roman" w:eastAsia="宋体"/>
          <w:b w:val="0"/>
          <w:sz w:val="24"/>
        </w:rPr>
        <w:t>目前已完成第一套室内场景（办公走廊，场景A）的数据采集与整理，包含约XXX万点的LiDAR彩色点云（colorized.pcd）、XXX帧1600×1600分辨率RGB图像，以及每帧对应的4×4 camera-to-world位姿矩阵（transforms.json）和相机内参（fx=785.17，fy=785.30，cx=cy=800.00）。</w:t>
      </w:r>
    </w:p>
    <w:p>
      <w:pPr>
        <w:spacing w:before="0" w:after="120" w:line="440" w:lineRule="exact"/>
        <w:ind w:firstLine="420"/>
        <w:jc w:val="both"/>
      </w:pPr>
      <w:r>
        <w:rPr>
          <w:rFonts w:ascii="Times New Roman" w:hAnsi="Times New Roman" w:eastAsia="宋体"/>
          <w:b w:val="0"/>
          <w:sz w:val="24"/>
        </w:rPr>
        <w:t>本研究采用RAM + GroundingDINO + SAM三模型级联架构对图像进行开放词汇语义实例分割，整体流程如图1所示。RAM负责自动生成图像语义标签文本，GroundingDINO以上述标签为提示完成开放词汇目标检测，SAM基于检测框生成像素级实例分割掩码，最终输出与原图同尺寸的uint16掩码图像及对应的label.json标签文件。</w:t>
      </w:r>
    </w:p>
    <w:p>
      <w:pPr>
        <w:spacing w:before="120" w:after="80"/>
        <w:jc w:val="center"/>
      </w:pPr>
      <w:r>
        <w:rPr>
          <w:rFonts w:ascii="Times New Roman" w:hAnsi="Times New Roman" w:eastAsia="宋体"/>
          <w:b w:val="0"/>
          <w:color w:val="C85050"/>
          <w:sz w:val="22"/>
        </w:rPr>
        <w:t>【此处插入图1】</w:t>
      </w:r>
    </w:p>
    <w:p>
      <w:pPr>
        <w:spacing w:before="0" w:after="200"/>
        <w:jc w:val="center"/>
      </w:pPr>
      <w:r>
        <w:rPr>
          <w:rFonts w:ascii="Times New Roman" w:hAnsi="Times New Roman" w:eastAsia="宋体"/>
          <w:b w:val="0"/>
          <w:sz w:val="21"/>
        </w:rPr>
        <w:t>图1  RAM + GroundingDINO + SAM 三模型级联架构图（输入：1600×1600 RGB图像；输出：*_mask.png + *_label.json）</w:t>
      </w:r>
    </w:p>
    <w:p>
      <w:pPr>
        <w:spacing w:before="0" w:after="120" w:line="440" w:lineRule="exact"/>
        <w:ind w:firstLine="420"/>
        <w:jc w:val="both"/>
      </w:pPr>
      <w:r>
        <w:rPr>
          <w:rFonts w:ascii="Times New Roman" w:hAnsi="Times New Roman" w:eastAsia="宋体"/>
          <w:b w:val="0"/>
          <w:sz w:val="24"/>
        </w:rPr>
        <w:t>对场景A典型帧的处理结果如图2所示，图中依次展示原始RGB图像、GroundingDINO检测框与置信度标注，以及SAM生成的像素级实例分割掩码叠加效果。</w:t>
      </w:r>
    </w:p>
    <w:p>
      <w:pPr>
        <w:spacing w:before="120" w:after="80"/>
        <w:jc w:val="center"/>
      </w:pPr>
      <w:r>
        <w:rPr>
          <w:rFonts w:ascii="Times New Roman" w:hAnsi="Times New Roman" w:eastAsia="宋体"/>
          <w:b w:val="0"/>
          <w:color w:val="C85050"/>
          <w:sz w:val="22"/>
        </w:rPr>
        <w:t>【此处插入图2】</w:t>
      </w:r>
    </w:p>
    <w:p>
      <w:pPr>
        <w:spacing w:before="0" w:after="200"/>
        <w:jc w:val="center"/>
      </w:pPr>
      <w:r>
        <w:rPr>
          <w:rFonts w:ascii="Times New Roman" w:hAnsi="Times New Roman" w:eastAsia="宋体"/>
          <w:b w:val="0"/>
          <w:sz w:val="21"/>
        </w:rPr>
        <w:t>图2  典型帧的开放词汇语义分割效果（左：原始图像；中：DINO检测框；右：SAM掩码叠加可视化）</w:t>
      </w:r>
    </w:p>
    <w:p>
      <w:pPr>
        <w:spacing w:before="0" w:after="120" w:line="440" w:lineRule="exact"/>
        <w:ind w:firstLine="420"/>
        <w:jc w:val="both"/>
      </w:pPr>
      <w:r>
        <w:rPr>
          <w:rFonts w:ascii="Times New Roman" w:hAnsi="Times New Roman" w:eastAsia="宋体"/>
          <w:b w:val="0"/>
          <w:sz w:val="24"/>
        </w:rPr>
        <w:t>实验观察到，若直接将RAM输出的全量标签不加过滤地传递给GroundingDINO，每帧平均产生约XX个检测框，其中约XX%对应与建筑结构无关的噪声目标（如地面反光、装饰物、背景纹理等）。图3对比了有无</w:t>
      </w:r>
      <w:r>
        <w:rPr>
          <w:rFonts w:ascii="Times New Roman" w:hAnsi="Times New Roman" w:eastAsia="宋体"/>
          <w:b/>
          <w:sz w:val="24"/>
        </w:rPr>
        <w:t>语义先验过滤</w:t>
      </w:r>
      <w:r>
        <w:rPr>
          <w:rFonts w:ascii="Times New Roman" w:hAnsi="Times New Roman" w:eastAsia="宋体"/>
          <w:b w:val="0"/>
          <w:sz w:val="24"/>
        </w:rPr>
        <w:t>条件下的检测结果差异，可以看出噪声标签直接导致大量无效检测框的产生，这些噪声检测在后续三维融合阶段将产生无效实例，污染实例集合的语义质量。由此可见，语义先验过滤是保证后续三维融合可靠性的必要前提，而非可选优化项。经过滤后，传入DINO的有效标签数减少至约XX个，每帧有效检测框降至约XX个。</w:t>
      </w:r>
    </w:p>
    <w:p>
      <w:pPr>
        <w:spacing w:before="120" w:after="80"/>
        <w:jc w:val="center"/>
      </w:pPr>
      <w:r>
        <w:rPr>
          <w:rFonts w:ascii="Times New Roman" w:hAnsi="Times New Roman" w:eastAsia="宋体"/>
          <w:b w:val="0"/>
          <w:color w:val="C85050"/>
          <w:sz w:val="22"/>
        </w:rPr>
        <w:t>【此处插入图3】</w:t>
      </w:r>
    </w:p>
    <w:p>
      <w:pPr>
        <w:spacing w:before="0" w:after="200"/>
        <w:jc w:val="center"/>
      </w:pPr>
      <w:r>
        <w:rPr>
          <w:rFonts w:ascii="Times New Roman" w:hAnsi="Times New Roman" w:eastAsia="宋体"/>
          <w:b w:val="0"/>
          <w:sz w:val="21"/>
        </w:rPr>
        <w:t>图3  有无语义先验过滤的检测结果对比（左：未过滤，存在大量噪声检测框；右：过滤后，保留核心室内物体检测框）</w:t>
      </w:r>
    </w:p>
    <w:p>
      <w:pPr>
        <w:pStyle w:val="Heading2"/>
        <w:spacing w:before="240" w:after="120"/>
        <w:jc w:val="left"/>
      </w:pPr>
      <w:r>
        <w:rPr>
          <w:rFonts w:ascii="Arial" w:hAnsi="Arial" w:eastAsia="黑体"/>
          <w:b/>
          <w:sz w:val="28"/>
        </w:rPr>
        <w:t>2.2  基于3D点集级IoU的多视角语义实例融合</w:t>
      </w:r>
    </w:p>
    <w:p>
      <w:pPr>
        <w:spacing w:before="0" w:after="120" w:line="440" w:lineRule="exact"/>
        <w:ind w:firstLine="420"/>
        <w:jc w:val="both"/>
      </w:pPr>
      <w:r>
        <w:rPr>
          <w:rFonts w:ascii="Times New Roman" w:hAnsi="Times New Roman" w:eastAsia="宋体"/>
          <w:b w:val="0"/>
          <w:sz w:val="24"/>
        </w:rPr>
        <w:t>对场景A运行完整融合流程，逐帧处理XXX个位姿-图像对。经体素哈希（体素边长0.26m）加速，单帧可见点筛选耗时约XXms，相比暴力遍历约XXms，加速比约40倍。3D点集IoU双向最大匹配（min_iou=0.3）共创建了XX个语义实例，其中结构类XX个、非结构类XX个，后处理合并后保留XX个有效实例。</w:t>
      </w:r>
    </w:p>
    <w:p>
      <w:pPr>
        <w:spacing w:before="0" w:after="120" w:line="440" w:lineRule="exact"/>
        <w:ind w:firstLine="420"/>
        <w:jc w:val="both"/>
      </w:pPr>
      <w:r>
        <w:rPr>
          <w:rFonts w:ascii="Times New Roman" w:hAnsi="Times New Roman" w:eastAsia="宋体"/>
          <w:b w:val="0"/>
          <w:sz w:val="24"/>
        </w:rPr>
        <w:t>为直观验证3D点集IoU相对传统2D IoU方案的关联优势，在场景A中对相机视角偏转较大的帧对进行了对比实验。在相机旋转角度超过约60°的帧间，2D IoU方案因同一物体在两帧图像中的掩码投影区域不重叠，导致 IoU_2D≈0，系统错误地将其创建为两个独立实例；3D点集IoU通过点索引集合的物理重叠关系，在同等视角变化条件下仍检测到显著的点集交集，正确维持实例连续性，减少了约XX%的冗余实例创建。对比效果如图4所示。</w:t>
      </w:r>
    </w:p>
    <w:p>
      <w:pPr>
        <w:spacing w:before="120" w:after="80"/>
        <w:jc w:val="center"/>
      </w:pPr>
      <w:r>
        <w:rPr>
          <w:rFonts w:ascii="Times New Roman" w:hAnsi="Times New Roman" w:eastAsia="宋体"/>
          <w:b w:val="0"/>
          <w:color w:val="C85050"/>
          <w:sz w:val="22"/>
        </w:rPr>
        <w:t>【此处插入图4】</w:t>
      </w:r>
    </w:p>
    <w:p>
      <w:pPr>
        <w:spacing w:before="0" w:after="200"/>
        <w:jc w:val="center"/>
      </w:pPr>
      <w:r>
        <w:rPr>
          <w:rFonts w:ascii="Times New Roman" w:hAnsi="Times New Roman" w:eastAsia="宋体"/>
          <w:b w:val="0"/>
          <w:sz w:val="21"/>
        </w:rPr>
        <w:t>图4  大视角变化下 2D IoU 与 3D 点集 IoU 的实例关联效果对比（左：2D IoU 方案产生冗余实例；右：3D IoU 方案正确维持同一实例）</w:t>
      </w:r>
    </w:p>
    <w:p>
      <w:pPr>
        <w:spacing w:before="0" w:after="120" w:line="440" w:lineRule="exact"/>
        <w:ind w:firstLine="420"/>
        <w:jc w:val="both"/>
      </w:pPr>
      <w:r>
        <w:rPr>
          <w:rFonts w:ascii="Times New Roman" w:hAnsi="Times New Roman" w:eastAsia="宋体"/>
          <w:b w:val="0"/>
          <w:sz w:val="24"/>
        </w:rPr>
        <w:t>融合完成后，segement.pcd（各语义实例颜色可视化）和removed.pcd（剔除非结构要素后的纯结构点云）的效果如图5所示，椅子、桌子等家具被有效识别与剔除，墙体、地板、天花板得以完整保留。</w:t>
      </w:r>
    </w:p>
    <w:p>
      <w:pPr>
        <w:spacing w:before="120" w:after="80"/>
        <w:jc w:val="center"/>
      </w:pPr>
      <w:r>
        <w:rPr>
          <w:rFonts w:ascii="Times New Roman" w:hAnsi="Times New Roman" w:eastAsia="宋体"/>
          <w:b w:val="0"/>
          <w:color w:val="C85050"/>
          <w:sz w:val="22"/>
        </w:rPr>
        <w:t>【此处插入图5】</w:t>
      </w:r>
    </w:p>
    <w:p>
      <w:pPr>
        <w:spacing w:before="0" w:after="200"/>
        <w:jc w:val="center"/>
      </w:pPr>
      <w:r>
        <w:rPr>
          <w:rFonts w:ascii="Times New Roman" w:hAnsi="Times New Roman" w:eastAsia="宋体"/>
          <w:b w:val="0"/>
          <w:sz w:val="21"/>
        </w:rPr>
        <w:t>图5  三维语义实例融合结果（左：segement.pcd，各实例以不同颜色区分；右：removed.pcd，家具剔除后的纯结构点云）</w:t>
      </w:r>
    </w:p>
    <w:p>
      <w:pPr>
        <w:spacing w:before="0" w:after="120" w:line="440" w:lineRule="exact"/>
        <w:ind w:firstLine="420"/>
        <w:jc w:val="both"/>
      </w:pPr>
      <w:r>
        <w:rPr>
          <w:rFonts w:ascii="Times New Roman" w:hAnsi="Times New Roman" w:eastAsia="宋体"/>
          <w:b w:val="0"/>
          <w:sz w:val="24"/>
        </w:rPr>
        <w:t>尽管实例关联效果良好，当前语义融合策略（多帧标签置信度直接累加）存在明显缺陷。由于开放词汇模型在不同视角下对同一物体生成的标签字面不尽相同，同一实例往往积累了多个语义相近但字面各异的词条，置信度被分散，统计情况如表1所示。</w:t>
      </w:r>
    </w:p>
    <w:p>
      <w:pPr>
        <w:spacing w:after="80"/>
        <w:jc w:val="center"/>
      </w:pPr>
      <w:r>
        <w:rPr>
          <w:rFonts w:ascii="Times New Roman" w:hAnsi="Times New Roman" w:eastAsia="宋体"/>
          <w:b w:val="0"/>
          <w:sz w:val="21"/>
        </w:rPr>
        <w:t>表1  场景A典型实例的语义标签累积情况（多帧直接累加）</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Pr>
                <w:rFonts w:ascii="Arial" w:hAnsi="Arial" w:eastAsia="黑体"/>
                <w:b/>
                <w:sz w:val="22"/>
              </w:rPr>
              <w:t>实例ID</w:t>
            </w:r>
          </w:p>
        </w:tc>
        <w:tc>
          <w:tcPr>
            <w:tcW w:type="dxa" w:w="2197"/>
          </w:tcPr>
          <w:p>
            <w:pPr>
              <w:jc w:val="center"/>
            </w:pPr>
            <w:r>
              <w:rPr>
                <w:rFonts w:ascii="Arial" w:hAnsi="Arial" w:eastAsia="黑体"/>
                <w:b/>
                <w:sz w:val="22"/>
              </w:rPr>
              <w:t>真实类别</w:t>
            </w:r>
          </w:p>
        </w:tc>
        <w:tc>
          <w:tcPr>
            <w:tcW w:type="dxa" w:w="2197"/>
          </w:tcPr>
          <w:p>
            <w:pPr>
              <w:jc w:val="center"/>
            </w:pPr>
            <w:r>
              <w:rPr>
                <w:rFonts w:ascii="Arial" w:hAnsi="Arial" w:eastAsia="黑体"/>
                <w:b/>
                <w:sz w:val="22"/>
              </w:rPr>
              <w:t>主要累积标签（标签:累计置信度）</w:t>
            </w:r>
          </w:p>
        </w:tc>
        <w:tc>
          <w:tcPr>
            <w:tcW w:type="dxa" w:w="2197"/>
          </w:tcPr>
          <w:p>
            <w:pPr>
              <w:jc w:val="center"/>
            </w:pPr>
            <w:r>
              <w:rPr>
                <w:rFonts w:ascii="Arial" w:hAnsi="Arial" w:eastAsia="黑体"/>
                <w:b/>
                <w:sz w:val="22"/>
              </w:rPr>
              <w:t>当前预测结果</w:t>
            </w:r>
          </w:p>
        </w:tc>
      </w:tr>
      <w:tr>
        <w:tc>
          <w:tcPr>
            <w:tcW w:type="dxa" w:w="2197"/>
          </w:tcPr>
          <w:p>
            <w:pPr>
              <w:jc w:val="center"/>
            </w:pPr>
            <w:r>
              <w:rPr>
                <w:rFonts w:ascii="Times New Roman" w:hAnsi="Times New Roman" w:eastAsia="宋体"/>
                <w:b w:val="0"/>
                <w:sz w:val="22"/>
              </w:rPr>
              <w:t>#03</w:t>
            </w:r>
          </w:p>
        </w:tc>
        <w:tc>
          <w:tcPr>
            <w:tcW w:type="dxa" w:w="2197"/>
          </w:tcPr>
          <w:p>
            <w:pPr>
              <w:jc w:val="center"/>
            </w:pPr>
            <w:r>
              <w:rPr>
                <w:rFonts w:ascii="Times New Roman" w:hAnsi="Times New Roman" w:eastAsia="宋体"/>
                <w:b w:val="0"/>
                <w:sz w:val="22"/>
              </w:rPr>
              <w:t>地板</w:t>
            </w:r>
          </w:p>
        </w:tc>
        <w:tc>
          <w:tcPr>
            <w:tcW w:type="dxa" w:w="2197"/>
          </w:tcPr>
          <w:p>
            <w:pPr>
              <w:jc w:val="center"/>
            </w:pPr>
            <w:r>
              <w:rPr>
                <w:rFonts w:ascii="Times New Roman" w:hAnsi="Times New Roman" w:eastAsia="宋体"/>
                <w:b w:val="0"/>
                <w:sz w:val="22"/>
              </w:rPr>
              <w:t>floor:3.2,  carpet:0.8,  mat:0.4</w:t>
            </w:r>
          </w:p>
        </w:tc>
        <w:tc>
          <w:tcPr>
            <w:tcW w:type="dxa" w:w="2197"/>
          </w:tcPr>
          <w:p>
            <w:pPr>
              <w:jc w:val="center"/>
            </w:pPr>
            <w:r>
              <w:rPr>
                <w:rFonts w:ascii="Times New Roman" w:hAnsi="Times New Roman" w:eastAsia="宋体"/>
                <w:b w:val="0"/>
                <w:sz w:val="22"/>
              </w:rPr>
              <w:t>floor ✓</w:t>
            </w:r>
          </w:p>
        </w:tc>
      </w:tr>
      <w:tr>
        <w:tc>
          <w:tcPr>
            <w:tcW w:type="dxa" w:w="2197"/>
          </w:tcPr>
          <w:p>
            <w:pPr>
              <w:jc w:val="center"/>
            </w:pPr>
            <w:r>
              <w:rPr>
                <w:rFonts w:ascii="Times New Roman" w:hAnsi="Times New Roman" w:eastAsia="宋体"/>
                <w:b w:val="0"/>
                <w:sz w:val="22"/>
              </w:rPr>
              <w:t>#11</w:t>
            </w:r>
          </w:p>
        </w:tc>
        <w:tc>
          <w:tcPr>
            <w:tcW w:type="dxa" w:w="2197"/>
          </w:tcPr>
          <w:p>
            <w:pPr>
              <w:jc w:val="center"/>
            </w:pPr>
            <w:r>
              <w:rPr>
                <w:rFonts w:ascii="Times New Roman" w:hAnsi="Times New Roman" w:eastAsia="宋体"/>
                <w:b w:val="0"/>
                <w:sz w:val="22"/>
              </w:rPr>
              <w:t>椅子</w:t>
            </w:r>
          </w:p>
        </w:tc>
        <w:tc>
          <w:tcPr>
            <w:tcW w:type="dxa" w:w="2197"/>
          </w:tcPr>
          <w:p>
            <w:pPr>
              <w:jc w:val="center"/>
            </w:pPr>
            <w:r>
              <w:rPr>
                <w:rFonts w:ascii="Times New Roman" w:hAnsi="Times New Roman" w:eastAsia="宋体"/>
                <w:b w:val="0"/>
                <w:sz w:val="22"/>
              </w:rPr>
              <w:t>chair:1.4,  seat:1.6,  office chair:0.5</w:t>
            </w:r>
          </w:p>
        </w:tc>
        <w:tc>
          <w:tcPr>
            <w:tcW w:type="dxa" w:w="2197"/>
          </w:tcPr>
          <w:p>
            <w:pPr>
              <w:jc w:val="center"/>
            </w:pPr>
            <w:r>
              <w:rPr>
                <w:rFonts w:ascii="Times New Roman" w:hAnsi="Times New Roman" w:eastAsia="宋体"/>
                <w:b w:val="0"/>
                <w:sz w:val="22"/>
              </w:rPr>
              <w:t>seat ✗</w:t>
            </w:r>
          </w:p>
        </w:tc>
      </w:tr>
      <w:tr>
        <w:tc>
          <w:tcPr>
            <w:tcW w:type="dxa" w:w="2197"/>
          </w:tcPr>
          <w:p>
            <w:pPr>
              <w:jc w:val="center"/>
            </w:pPr>
            <w:r>
              <w:rPr>
                <w:rFonts w:ascii="Times New Roman" w:hAnsi="Times New Roman" w:eastAsia="宋体"/>
                <w:b w:val="0"/>
                <w:sz w:val="22"/>
              </w:rPr>
              <w:t>#17</w:t>
            </w:r>
          </w:p>
        </w:tc>
        <w:tc>
          <w:tcPr>
            <w:tcW w:type="dxa" w:w="2197"/>
          </w:tcPr>
          <w:p>
            <w:pPr>
              <w:jc w:val="center"/>
            </w:pPr>
            <w:r>
              <w:rPr>
                <w:rFonts w:ascii="Times New Roman" w:hAnsi="Times New Roman" w:eastAsia="宋体"/>
                <w:b w:val="0"/>
                <w:sz w:val="22"/>
              </w:rPr>
              <w:t>墙面</w:t>
            </w:r>
          </w:p>
        </w:tc>
        <w:tc>
          <w:tcPr>
            <w:tcW w:type="dxa" w:w="2197"/>
          </w:tcPr>
          <w:p>
            <w:pPr>
              <w:jc w:val="center"/>
            </w:pPr>
            <w:r>
              <w:rPr>
                <w:rFonts w:ascii="Times New Roman" w:hAnsi="Times New Roman" w:eastAsia="宋体"/>
                <w:b w:val="0"/>
                <w:sz w:val="22"/>
              </w:rPr>
              <w:t>wall:2.1,  partition:0.9,  board:0.3</w:t>
            </w:r>
          </w:p>
        </w:tc>
        <w:tc>
          <w:tcPr>
            <w:tcW w:type="dxa" w:w="2197"/>
          </w:tcPr>
          <w:p>
            <w:pPr>
              <w:jc w:val="center"/>
            </w:pPr>
            <w:r>
              <w:rPr>
                <w:rFonts w:ascii="Times New Roman" w:hAnsi="Times New Roman" w:eastAsia="宋体"/>
                <w:b w:val="0"/>
                <w:sz w:val="22"/>
              </w:rPr>
              <w:t>wall ✓</w:t>
            </w:r>
          </w:p>
        </w:tc>
      </w:tr>
      <w:tr>
        <w:tc>
          <w:tcPr>
            <w:tcW w:type="dxa" w:w="2197"/>
          </w:tcPr>
          <w:p>
            <w:pPr>
              <w:jc w:val="center"/>
            </w:pPr>
            <w:r>
              <w:rPr>
                <w:rFonts w:ascii="Times New Roman" w:hAnsi="Times New Roman" w:eastAsia="宋体"/>
                <w:b w:val="0"/>
                <w:sz w:val="22"/>
              </w:rPr>
              <w:t>#24</w:t>
            </w:r>
          </w:p>
        </w:tc>
        <w:tc>
          <w:tcPr>
            <w:tcW w:type="dxa" w:w="2197"/>
          </w:tcPr>
          <w:p>
            <w:pPr>
              <w:jc w:val="center"/>
            </w:pPr>
            <w:r>
              <w:rPr>
                <w:rFonts w:ascii="Times New Roman" w:hAnsi="Times New Roman" w:eastAsia="宋体"/>
                <w:b w:val="0"/>
                <w:sz w:val="22"/>
              </w:rPr>
              <w:t>天花板</w:t>
            </w:r>
          </w:p>
        </w:tc>
        <w:tc>
          <w:tcPr>
            <w:tcW w:type="dxa" w:w="2197"/>
          </w:tcPr>
          <w:p>
            <w:pPr>
              <w:jc w:val="center"/>
            </w:pPr>
            <w:r>
              <w:rPr>
                <w:rFonts w:ascii="Times New Roman" w:hAnsi="Times New Roman" w:eastAsia="宋体"/>
                <w:b w:val="0"/>
                <w:sz w:val="22"/>
              </w:rPr>
              <w:t>ceiling:2.4,  roof:0.8,  tile:0.5</w:t>
            </w:r>
          </w:p>
        </w:tc>
        <w:tc>
          <w:tcPr>
            <w:tcW w:type="dxa" w:w="2197"/>
          </w:tcPr>
          <w:p>
            <w:pPr>
              <w:jc w:val="center"/>
            </w:pPr>
            <w:r>
              <w:rPr>
                <w:rFonts w:ascii="Times New Roman" w:hAnsi="Times New Roman" w:eastAsia="宋体"/>
                <w:b w:val="0"/>
                <w:sz w:val="22"/>
              </w:rPr>
              <w:t>ceiling ✓</w:t>
            </w:r>
          </w:p>
        </w:tc>
      </w:tr>
    </w:tbl>
    <w:p>
      <w:pPr>
        <w:spacing w:after="120"/>
      </w:pPr>
    </w:p>
    <w:p>
      <w:pPr>
        <w:spacing w:before="0" w:after="120" w:line="440" w:lineRule="exact"/>
        <w:ind w:firstLine="420"/>
        <w:jc w:val="both"/>
      </w:pPr>
      <w:r>
        <w:rPr>
          <w:rFonts w:ascii="Times New Roman" w:hAnsi="Times New Roman" w:eastAsia="宋体"/>
          <w:b w:val="0"/>
          <w:sz w:val="24"/>
        </w:rPr>
        <w:t>从表1可以看出，当不同帧对同一物体赋予不同措辞的标签时，直接累加策略会导致置信度分散，部分情况下累计置信度最高的词条并非语义最准确的类别（如实例#11被误判为seat）。以人工标注为参考，当前策略下非结构类实例语义分类准确率约为XX%，整体约为XX%。这一结果的根本原因在于开放词汇标签空间与预定义语义类别之间缺乏统一映射，正是引入</w:t>
      </w:r>
      <w:r>
        <w:rPr>
          <w:rFonts w:ascii="Times New Roman" w:hAnsi="Times New Roman" w:eastAsia="宋体"/>
          <w:b/>
          <w:sz w:val="24"/>
        </w:rPr>
        <w:t>贝叶斯语义融合与似然矩阵</w:t>
      </w:r>
      <w:r>
        <w:rPr>
          <w:rFonts w:ascii="Times New Roman" w:hAnsi="Times New Roman" w:eastAsia="宋体"/>
          <w:b w:val="0"/>
          <w:sz w:val="24"/>
        </w:rPr>
        <w:t>的直接动因。</w:t>
      </w:r>
    </w:p>
    <w:p>
      <w:pPr>
        <w:pStyle w:val="Heading2"/>
        <w:spacing w:before="240" w:after="120"/>
        <w:jc w:val="left"/>
      </w:pPr>
      <w:r>
        <w:rPr>
          <w:rFonts w:ascii="Arial" w:hAnsi="Arial" w:eastAsia="黑体"/>
          <w:b/>
          <w:sz w:val="28"/>
        </w:rPr>
        <w:t>2.3  自适应点云投影与CAD线段提取（已实现，存在缺陷）</w:t>
      </w:r>
    </w:p>
    <w:p>
      <w:pPr>
        <w:spacing w:before="0" w:after="120" w:line="440" w:lineRule="exact"/>
        <w:ind w:firstLine="420"/>
        <w:jc w:val="both"/>
      </w:pPr>
      <w:r>
        <w:rPr>
          <w:rFonts w:ascii="Times New Roman" w:hAnsi="Times New Roman" w:eastAsia="宋体"/>
          <w:b w:val="0"/>
          <w:sz w:val="24"/>
        </w:rPr>
        <w:t>在场景A上完整运行两步处理流程（C++ pcd_projection + Python wall_regularization_v2.py）。首先，对结构点云沿Z轴构建点密度直方图，自动定位地板峰值和天花板峰值，确定有效切片区间，检测结果如图6所示。</w:t>
      </w:r>
    </w:p>
    <w:p>
      <w:pPr>
        <w:spacing w:before="120" w:after="80"/>
        <w:jc w:val="center"/>
      </w:pPr>
      <w:r>
        <w:rPr>
          <w:rFonts w:ascii="Times New Roman" w:hAnsi="Times New Roman" w:eastAsia="宋体"/>
          <w:b w:val="0"/>
          <w:color w:val="C85050"/>
          <w:sz w:val="22"/>
        </w:rPr>
        <w:t>【此处插入图6】</w:t>
      </w:r>
    </w:p>
    <w:p>
      <w:pPr>
        <w:spacing w:before="0" w:after="200"/>
        <w:jc w:val="center"/>
      </w:pPr>
      <w:r>
        <w:rPr>
          <w:rFonts w:ascii="Times New Roman" w:hAnsi="Times New Roman" w:eastAsia="宋体"/>
          <w:b w:val="0"/>
          <w:sz w:val="21"/>
        </w:rPr>
        <w:t>图6  Z轴点密度直方图与自适应高度检测结果（横轴：Z高度；纵轴：点密度；箭头标注自动检测的地板/天花板位置）</w:t>
      </w:r>
    </w:p>
    <w:p>
      <w:pPr>
        <w:spacing w:before="0" w:after="120" w:line="440" w:lineRule="exact"/>
        <w:ind w:firstLine="420"/>
        <w:jc w:val="both"/>
      </w:pPr>
      <w:r>
        <w:rPr>
          <w:rFonts w:ascii="Times New Roman" w:hAnsi="Times New Roman" w:eastAsia="宋体"/>
          <w:b w:val="0"/>
          <w:sz w:val="24"/>
        </w:rPr>
        <w:t>将高度区间等分为8层进行多层切片投票栅格化，各层叠加后的投票热力图如图7所示，墙体轮廓在多层叠加后清晰显现。</w:t>
      </w:r>
    </w:p>
    <w:p>
      <w:pPr>
        <w:spacing w:before="120" w:after="80"/>
        <w:jc w:val="center"/>
      </w:pPr>
      <w:r>
        <w:rPr>
          <w:rFonts w:ascii="Times New Roman" w:hAnsi="Times New Roman" w:eastAsia="宋体"/>
          <w:b w:val="0"/>
          <w:color w:val="C85050"/>
          <w:sz w:val="22"/>
        </w:rPr>
        <w:t>【此处插入图7】</w:t>
      </w:r>
    </w:p>
    <w:p>
      <w:pPr>
        <w:spacing w:before="0" w:after="200"/>
        <w:jc w:val="center"/>
      </w:pPr>
      <w:r>
        <w:rPr>
          <w:rFonts w:ascii="Times New Roman" w:hAnsi="Times New Roman" w:eastAsia="宋体"/>
          <w:b w:val="0"/>
          <w:sz w:val="21"/>
        </w:rPr>
        <w:t>图7  多层切片投票投影图（颜色深浅表示各像素的投票层数，越深表示越多层命中，墙体区域呈现高票值）</w:t>
      </w:r>
    </w:p>
    <w:p>
      <w:pPr>
        <w:spacing w:before="0" w:after="120" w:line="440" w:lineRule="exact"/>
        <w:ind w:firstLine="420"/>
        <w:jc w:val="both"/>
      </w:pPr>
      <w:r>
        <w:rPr>
          <w:rFonts w:ascii="Times New Roman" w:hAnsi="Times New Roman" w:eastAsia="宋体"/>
          <w:b w:val="0"/>
          <w:sz w:val="24"/>
        </w:rPr>
        <w:t>经高斯平滑、二值化与Zhang-Suen骨架化处理后，获得单像素宽的结构线迹，结果如图8所示。</w:t>
      </w:r>
    </w:p>
    <w:p>
      <w:pPr>
        <w:spacing w:before="120" w:after="80"/>
        <w:jc w:val="center"/>
      </w:pPr>
      <w:r>
        <w:rPr>
          <w:rFonts w:ascii="Times New Roman" w:hAnsi="Times New Roman" w:eastAsia="宋体"/>
          <w:b w:val="0"/>
          <w:color w:val="C85050"/>
          <w:sz w:val="22"/>
        </w:rPr>
        <w:t>【此处插入图8】</w:t>
      </w:r>
    </w:p>
    <w:p>
      <w:pPr>
        <w:spacing w:before="0" w:after="200"/>
        <w:jc w:val="center"/>
      </w:pPr>
      <w:r>
        <w:rPr>
          <w:rFonts w:ascii="Times New Roman" w:hAnsi="Times New Roman" w:eastAsia="宋体"/>
          <w:b w:val="0"/>
          <w:sz w:val="21"/>
        </w:rPr>
        <w:t>图8  骨架化细线图（将带状投影压缩为单像素宽线迹，保留结构走向信息）</w:t>
      </w:r>
    </w:p>
    <w:p>
      <w:pPr>
        <w:spacing w:before="0" w:after="120" w:line="440" w:lineRule="exact"/>
        <w:ind w:firstLine="420"/>
        <w:jc w:val="both"/>
      </w:pPr>
      <w:r>
        <w:rPr>
          <w:rFonts w:ascii="Times New Roman" w:hAnsi="Times New Roman" w:eastAsia="宋体"/>
          <w:b w:val="0"/>
          <w:sz w:val="24"/>
        </w:rPr>
        <w:t>在骨架图上执行Hough变换并进行共线碎片合并，优化后的线段检测结果如图9所示。</w:t>
      </w:r>
    </w:p>
    <w:p>
      <w:pPr>
        <w:spacing w:before="120" w:after="80"/>
        <w:jc w:val="center"/>
      </w:pPr>
      <w:r>
        <w:rPr>
          <w:rFonts w:ascii="Times New Roman" w:hAnsi="Times New Roman" w:eastAsia="宋体"/>
          <w:b w:val="0"/>
          <w:color w:val="C85050"/>
          <w:sz w:val="22"/>
        </w:rPr>
        <w:t>【此处插入图9】</w:t>
      </w:r>
    </w:p>
    <w:p>
      <w:pPr>
        <w:spacing w:before="0" w:after="200"/>
        <w:jc w:val="center"/>
      </w:pPr>
      <w:r>
        <w:rPr>
          <w:rFonts w:ascii="Times New Roman" w:hAnsi="Times New Roman" w:eastAsia="宋体"/>
          <w:b w:val="0"/>
          <w:sz w:val="21"/>
        </w:rPr>
        <w:t>图9  HoughLinesP线段检测与共线合并结果（红色线段为检测到的建筑结构线段集合）</w:t>
      </w:r>
    </w:p>
    <w:p>
      <w:pPr>
        <w:spacing w:before="0" w:after="120" w:line="440" w:lineRule="exact"/>
        <w:ind w:firstLine="420"/>
        <w:jc w:val="both"/>
      </w:pPr>
      <w:r>
        <w:rPr>
          <w:rFonts w:ascii="Times New Roman" w:hAnsi="Times New Roman" w:eastAsia="宋体"/>
          <w:b w:val="0"/>
          <w:sz w:val="24"/>
        </w:rPr>
        <w:t>经正交拓扑修正与米制坐标转换后，最终输出CAD平面图如图10所示。当前方法存在以下问题：Hough参数在场景A下为手动调参获得，跨场景适应性不足；T形和L形墙角处线段端点存在未闭合现象（见图10右局部放大）；输出为独立线段集合，未检测闭合房间区域；阶段二的门窗位置信息尚未传递至CAD输出层。上述问题将在后续工作中针对性改进。</w:t>
      </w:r>
    </w:p>
    <w:p>
      <w:pPr>
        <w:spacing w:before="120" w:after="80"/>
        <w:jc w:val="center"/>
      </w:pPr>
      <w:r>
        <w:rPr>
          <w:rFonts w:ascii="Times New Roman" w:hAnsi="Times New Roman" w:eastAsia="宋体"/>
          <w:b w:val="0"/>
          <w:color w:val="C85050"/>
          <w:sz w:val="22"/>
        </w:rPr>
        <w:t>【此处插入图10】</w:t>
      </w:r>
    </w:p>
    <w:p>
      <w:pPr>
        <w:spacing w:before="0" w:after="200"/>
        <w:jc w:val="center"/>
      </w:pPr>
      <w:r>
        <w:rPr>
          <w:rFonts w:ascii="Times New Roman" w:hAnsi="Times New Roman" w:eastAsia="宋体"/>
          <w:b w:val="0"/>
          <w:sz w:val="21"/>
        </w:rPr>
        <w:t>图10  最终CAD平面图输出（左：floorplan.svg整体效果；右：T形墙角处端点断裂问题局部放大）</w:t>
      </w:r>
    </w:p>
    <w:p>
      <w:pPr>
        <w:pStyle w:val="Heading1"/>
        <w:spacing w:before="240" w:after="120"/>
        <w:jc w:val="left"/>
      </w:pPr>
      <w:r>
        <w:rPr>
          <w:rFonts w:ascii="Arial" w:hAnsi="Arial" w:eastAsia="黑体"/>
          <w:b/>
          <w:sz w:val="32"/>
        </w:rPr>
        <w:t>三、现阶段完成的工作与开题报告内容不相符的情况说明</w:t>
      </w:r>
    </w:p>
    <w:p>
      <w:pPr>
        <w:spacing w:before="0" w:after="120" w:line="440" w:lineRule="exact"/>
        <w:ind w:firstLine="420"/>
        <w:jc w:val="both"/>
      </w:pPr>
      <w:r>
        <w:rPr>
          <w:rFonts w:ascii="Times New Roman" w:hAnsi="Times New Roman" w:eastAsia="宋体"/>
          <w:b w:val="0"/>
          <w:sz w:val="24"/>
        </w:rPr>
        <w:t>开题报告中提出了以PointNet网络为核心的语义分割方案，在研究推进过程中对技术路线进行了如下调整：点云分割方案转变为开放词汇二维语义分割（RAM + GroundingDINO + SAM），实现零样本室内物体识别；同时新增了三维多视角语义实例关联作为核心研究贡献，提出3D点集级IoU方法，显著提升了研究的创新深度；并将数据集构建纳入独立研究内容，明确了本研究在数据层面的工作量与贡献。上述调整属于方法升级而非简化，整体技术深度和学术贡献度高于原方案。</w:t>
      </w:r>
    </w:p>
    <w:p>
      <w:pPr>
        <w:pStyle w:val="Heading1"/>
        <w:spacing w:before="240" w:after="120"/>
        <w:jc w:val="left"/>
      </w:pPr>
      <w:r>
        <w:rPr>
          <w:rFonts w:ascii="Arial" w:hAnsi="Arial" w:eastAsia="黑体"/>
          <w:b/>
          <w:sz w:val="32"/>
        </w:rPr>
        <w:t>四、下一步工作计划及需要完成的研究内容和需要解决的关键技术</w:t>
      </w:r>
    </w:p>
    <w:p>
      <w:pPr>
        <w:pStyle w:val="Heading2"/>
        <w:spacing w:before="240" w:after="120"/>
        <w:jc w:val="left"/>
      </w:pPr>
      <w:r>
        <w:rPr>
          <w:rFonts w:ascii="Arial" w:hAnsi="Arial" w:eastAsia="黑体"/>
          <w:b/>
          <w:sz w:val="28"/>
        </w:rPr>
        <w:t>（一）数据集扩充，支撑各创新点验证</w:t>
      </w:r>
    </w:p>
    <w:p>
      <w:pPr>
        <w:spacing w:before="0" w:after="120" w:line="440" w:lineRule="exact"/>
        <w:ind w:firstLine="420"/>
        <w:jc w:val="both"/>
      </w:pPr>
      <w:r>
        <w:rPr>
          <w:rFonts w:ascii="Times New Roman" w:hAnsi="Times New Roman" w:eastAsia="宋体"/>
          <w:b w:val="0"/>
          <w:sz w:val="24"/>
        </w:rPr>
        <w:t>当前仅有场景A一套基础数据，下一步将系统性采集覆盖各创新点验证需求的对比场景组，规划如下。场景B/C配对验证3D IoU视角鲁棒性，场景E/F配对验证自适应高度检测，场景D验证贝叶斯语义融合效果。</w:t>
      </w:r>
    </w:p>
    <w:p>
      <w:pPr>
        <w:spacing w:after="80"/>
        <w:jc w:val="center"/>
      </w:pPr>
      <w:r>
        <w:rPr>
          <w:rFonts w:ascii="Times New Roman" w:hAnsi="Times New Roman" w:eastAsia="宋体"/>
          <w:b w:val="0"/>
          <w:sz w:val="21"/>
        </w:rPr>
        <w:t>表X  多场景数据集规划与验证目标对应关系</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Pr>
                <w:rFonts w:ascii="Arial" w:hAnsi="Arial" w:eastAsia="黑体"/>
                <w:b/>
                <w:sz w:val="22"/>
              </w:rPr>
              <w:t>场景</w:t>
            </w:r>
          </w:p>
        </w:tc>
        <w:tc>
          <w:tcPr>
            <w:tcW w:type="dxa" w:w="2197"/>
          </w:tcPr>
          <w:p>
            <w:pPr>
              <w:jc w:val="center"/>
            </w:pPr>
            <w:r>
              <w:rPr>
                <w:rFonts w:ascii="Arial" w:hAnsi="Arial" w:eastAsia="黑体"/>
                <w:b/>
                <w:sz w:val="22"/>
              </w:rPr>
              <w:t>场景类型</w:t>
            </w:r>
          </w:p>
        </w:tc>
        <w:tc>
          <w:tcPr>
            <w:tcW w:type="dxa" w:w="2197"/>
          </w:tcPr>
          <w:p>
            <w:pPr>
              <w:jc w:val="center"/>
            </w:pPr>
            <w:r>
              <w:rPr>
                <w:rFonts w:ascii="Arial" w:hAnsi="Arial" w:eastAsia="黑体"/>
                <w:b/>
                <w:sz w:val="22"/>
              </w:rPr>
              <w:t>核心验证目标</w:t>
            </w:r>
          </w:p>
        </w:tc>
        <w:tc>
          <w:tcPr>
            <w:tcW w:type="dxa" w:w="2197"/>
          </w:tcPr>
          <w:p>
            <w:pPr>
              <w:jc w:val="center"/>
            </w:pPr>
            <w:r>
              <w:rPr>
                <w:rFonts w:ascii="Arial" w:hAnsi="Arial" w:eastAsia="黑体"/>
                <w:b/>
                <w:sz w:val="22"/>
              </w:rPr>
              <w:t>所针对的创新点</w:t>
            </w:r>
          </w:p>
        </w:tc>
      </w:tr>
      <w:tr>
        <w:tc>
          <w:tcPr>
            <w:tcW w:type="dxa" w:w="2197"/>
          </w:tcPr>
          <w:p>
            <w:pPr>
              <w:jc w:val="center"/>
            </w:pPr>
            <w:r>
              <w:rPr>
                <w:rFonts w:ascii="Times New Roman" w:hAnsi="Times New Roman" w:eastAsia="宋体"/>
                <w:b w:val="0"/>
                <w:sz w:val="22"/>
              </w:rPr>
              <w:t>A</w:t>
            </w:r>
          </w:p>
        </w:tc>
        <w:tc>
          <w:tcPr>
            <w:tcW w:type="dxa" w:w="2197"/>
          </w:tcPr>
          <w:p>
            <w:pPr>
              <w:jc w:val="center"/>
            </w:pPr>
            <w:r>
              <w:rPr>
                <w:rFonts w:ascii="Times New Roman" w:hAnsi="Times New Roman" w:eastAsia="宋体"/>
                <w:b w:val="0"/>
                <w:sz w:val="22"/>
              </w:rPr>
              <w:t>办公走廊（基准）</w:t>
            </w:r>
          </w:p>
        </w:tc>
        <w:tc>
          <w:tcPr>
            <w:tcW w:type="dxa" w:w="2197"/>
          </w:tcPr>
          <w:p>
            <w:pPr>
              <w:jc w:val="center"/>
            </w:pPr>
            <w:r>
              <w:rPr>
                <w:rFonts w:ascii="Times New Roman" w:hAnsi="Times New Roman" w:eastAsia="宋体"/>
                <w:b w:val="0"/>
                <w:sz w:val="22"/>
              </w:rPr>
              <w:t>端到端流程基线</w:t>
            </w:r>
          </w:p>
        </w:tc>
        <w:tc>
          <w:tcPr>
            <w:tcW w:type="dxa" w:w="2197"/>
          </w:tcPr>
          <w:p>
            <w:pPr>
              <w:jc w:val="center"/>
            </w:pPr>
            <w:r>
              <w:rPr>
                <w:rFonts w:ascii="Times New Roman" w:hAnsi="Times New Roman" w:eastAsia="宋体"/>
                <w:b w:val="0"/>
                <w:sz w:val="22"/>
              </w:rPr>
              <w:t>—</w:t>
            </w:r>
          </w:p>
        </w:tc>
      </w:tr>
      <w:tr>
        <w:tc>
          <w:tcPr>
            <w:tcW w:type="dxa" w:w="2197"/>
          </w:tcPr>
          <w:p>
            <w:pPr>
              <w:jc w:val="center"/>
            </w:pPr>
            <w:r>
              <w:rPr>
                <w:rFonts w:ascii="Times New Roman" w:hAnsi="Times New Roman" w:eastAsia="宋体"/>
                <w:b w:val="0"/>
                <w:sz w:val="22"/>
              </w:rPr>
              <w:t>B</w:t>
            </w:r>
          </w:p>
        </w:tc>
        <w:tc>
          <w:tcPr>
            <w:tcW w:type="dxa" w:w="2197"/>
          </w:tcPr>
          <w:p>
            <w:pPr>
              <w:jc w:val="center"/>
            </w:pPr>
            <w:r>
              <w:rPr>
                <w:rFonts w:ascii="Times New Roman" w:hAnsi="Times New Roman" w:eastAsia="宋体"/>
                <w:b w:val="0"/>
                <w:sz w:val="22"/>
              </w:rPr>
              <w:t>家具密集排列的办公室</w:t>
            </w:r>
          </w:p>
        </w:tc>
        <w:tc>
          <w:tcPr>
            <w:tcW w:type="dxa" w:w="2197"/>
          </w:tcPr>
          <w:p>
            <w:pPr>
              <w:jc w:val="center"/>
            </w:pPr>
            <w:r>
              <w:rPr>
                <w:rFonts w:ascii="Times New Roman" w:hAnsi="Times New Roman" w:eastAsia="宋体"/>
                <w:b w:val="0"/>
                <w:sz w:val="22"/>
              </w:rPr>
              <w:t>高遮挡下关联鲁棒性</w:t>
            </w:r>
          </w:p>
        </w:tc>
        <w:tc>
          <w:tcPr>
            <w:tcW w:type="dxa" w:w="2197"/>
          </w:tcPr>
          <w:p>
            <w:pPr>
              <w:jc w:val="center"/>
            </w:pPr>
            <w:r>
              <w:rPr>
                <w:rFonts w:ascii="Times New Roman" w:hAnsi="Times New Roman" w:eastAsia="宋体"/>
                <w:b w:val="0"/>
                <w:sz w:val="22"/>
              </w:rPr>
              <w:t>3D IoU 遮挡鲁棒性</w:t>
            </w:r>
          </w:p>
        </w:tc>
      </w:tr>
      <w:tr>
        <w:tc>
          <w:tcPr>
            <w:tcW w:type="dxa" w:w="2197"/>
          </w:tcPr>
          <w:p>
            <w:pPr>
              <w:jc w:val="center"/>
            </w:pPr>
            <w:r>
              <w:rPr>
                <w:rFonts w:ascii="Times New Roman" w:hAnsi="Times New Roman" w:eastAsia="宋体"/>
                <w:b w:val="0"/>
                <w:sz w:val="22"/>
              </w:rPr>
              <w:t>C</w:t>
            </w:r>
          </w:p>
        </w:tc>
        <w:tc>
          <w:tcPr>
            <w:tcW w:type="dxa" w:w="2197"/>
          </w:tcPr>
          <w:p>
            <w:pPr>
              <w:jc w:val="center"/>
            </w:pPr>
            <w:r>
              <w:rPr>
                <w:rFonts w:ascii="Times New Roman" w:hAnsi="Times New Roman" w:eastAsia="宋体"/>
                <w:b w:val="0"/>
                <w:sz w:val="22"/>
              </w:rPr>
              <w:t>多转角回廊/环形通道</w:t>
            </w:r>
          </w:p>
        </w:tc>
        <w:tc>
          <w:tcPr>
            <w:tcW w:type="dxa" w:w="2197"/>
          </w:tcPr>
          <w:p>
            <w:pPr>
              <w:jc w:val="center"/>
            </w:pPr>
            <w:r>
              <w:rPr>
                <w:rFonts w:ascii="Times New Roman" w:hAnsi="Times New Roman" w:eastAsia="宋体"/>
                <w:b w:val="0"/>
                <w:sz w:val="22"/>
              </w:rPr>
              <w:t>大视角偏转下关联成功率</w:t>
            </w:r>
          </w:p>
        </w:tc>
        <w:tc>
          <w:tcPr>
            <w:tcW w:type="dxa" w:w="2197"/>
          </w:tcPr>
          <w:p>
            <w:pPr>
              <w:jc w:val="center"/>
            </w:pPr>
            <w:r>
              <w:rPr>
                <w:rFonts w:ascii="Times New Roman" w:hAnsi="Times New Roman" w:eastAsia="宋体"/>
                <w:b w:val="0"/>
                <w:sz w:val="22"/>
              </w:rPr>
              <w:t>3D IoU 视角不变性</w:t>
            </w:r>
          </w:p>
        </w:tc>
      </w:tr>
      <w:tr>
        <w:tc>
          <w:tcPr>
            <w:tcW w:type="dxa" w:w="2197"/>
          </w:tcPr>
          <w:p>
            <w:pPr>
              <w:jc w:val="center"/>
            </w:pPr>
            <w:r>
              <w:rPr>
                <w:rFonts w:ascii="Times New Roman" w:hAnsi="Times New Roman" w:eastAsia="宋体"/>
                <w:b w:val="0"/>
                <w:sz w:val="22"/>
              </w:rPr>
              <w:t>D</w:t>
            </w:r>
          </w:p>
        </w:tc>
        <w:tc>
          <w:tcPr>
            <w:tcW w:type="dxa" w:w="2197"/>
          </w:tcPr>
          <w:p>
            <w:pPr>
              <w:jc w:val="center"/>
            </w:pPr>
            <w:r>
              <w:rPr>
                <w:rFonts w:ascii="Times New Roman" w:hAnsi="Times New Roman" w:eastAsia="宋体"/>
                <w:b w:val="0"/>
                <w:sz w:val="22"/>
              </w:rPr>
              <w:t>多类别混合家具会议室</w:t>
            </w:r>
          </w:p>
        </w:tc>
        <w:tc>
          <w:tcPr>
            <w:tcW w:type="dxa" w:w="2197"/>
          </w:tcPr>
          <w:p>
            <w:pPr>
              <w:jc w:val="center"/>
            </w:pPr>
            <w:r>
              <w:rPr>
                <w:rFonts w:ascii="Times New Roman" w:hAnsi="Times New Roman" w:eastAsia="宋体"/>
                <w:b w:val="0"/>
                <w:sz w:val="22"/>
              </w:rPr>
              <w:t>语义歧义下分类准确率</w:t>
            </w:r>
          </w:p>
        </w:tc>
        <w:tc>
          <w:tcPr>
            <w:tcW w:type="dxa" w:w="2197"/>
          </w:tcPr>
          <w:p>
            <w:pPr>
              <w:jc w:val="center"/>
            </w:pPr>
            <w:r>
              <w:rPr>
                <w:rFonts w:ascii="Times New Roman" w:hAnsi="Times New Roman" w:eastAsia="宋体"/>
                <w:b w:val="0"/>
                <w:sz w:val="22"/>
              </w:rPr>
              <w:t>贝叶斯多帧语义融合</w:t>
            </w:r>
          </w:p>
        </w:tc>
      </w:tr>
      <w:tr>
        <w:tc>
          <w:tcPr>
            <w:tcW w:type="dxa" w:w="2197"/>
          </w:tcPr>
          <w:p>
            <w:pPr>
              <w:jc w:val="center"/>
            </w:pPr>
            <w:r>
              <w:rPr>
                <w:rFonts w:ascii="Times New Roman" w:hAnsi="Times New Roman" w:eastAsia="宋体"/>
                <w:b w:val="0"/>
                <w:sz w:val="22"/>
              </w:rPr>
              <w:t>E</w:t>
            </w:r>
          </w:p>
        </w:tc>
        <w:tc>
          <w:tcPr>
            <w:tcW w:type="dxa" w:w="2197"/>
          </w:tcPr>
          <w:p>
            <w:pPr>
              <w:jc w:val="center"/>
            </w:pPr>
            <w:r>
              <w:rPr>
                <w:rFonts w:ascii="Times New Roman" w:hAnsi="Times New Roman" w:eastAsia="宋体"/>
                <w:b w:val="0"/>
                <w:sz w:val="22"/>
              </w:rPr>
              <w:t>普通净高房间（约2.5m）</w:t>
            </w:r>
          </w:p>
        </w:tc>
        <w:tc>
          <w:tcPr>
            <w:tcW w:type="dxa" w:w="2197"/>
          </w:tcPr>
          <w:p>
            <w:pPr>
              <w:jc w:val="center"/>
            </w:pPr>
            <w:r>
              <w:rPr>
                <w:rFonts w:ascii="Times New Roman" w:hAnsi="Times New Roman" w:eastAsia="宋体"/>
                <w:b w:val="0"/>
                <w:sz w:val="22"/>
              </w:rPr>
              <w:t>自适应高度与固定参数对比</w:t>
            </w:r>
          </w:p>
        </w:tc>
        <w:tc>
          <w:tcPr>
            <w:tcW w:type="dxa" w:w="2197"/>
          </w:tcPr>
          <w:p>
            <w:pPr>
              <w:jc w:val="center"/>
            </w:pPr>
            <w:r>
              <w:rPr>
                <w:rFonts w:ascii="Times New Roman" w:hAnsi="Times New Roman" w:eastAsia="宋体"/>
                <w:b w:val="0"/>
                <w:sz w:val="22"/>
              </w:rPr>
              <w:t>Z直方图自适应检测</w:t>
            </w:r>
          </w:p>
        </w:tc>
      </w:tr>
      <w:tr>
        <w:tc>
          <w:tcPr>
            <w:tcW w:type="dxa" w:w="2197"/>
          </w:tcPr>
          <w:p>
            <w:pPr>
              <w:jc w:val="center"/>
            </w:pPr>
            <w:r>
              <w:rPr>
                <w:rFonts w:ascii="Times New Roman" w:hAnsi="Times New Roman" w:eastAsia="宋体"/>
                <w:b w:val="0"/>
                <w:sz w:val="22"/>
              </w:rPr>
              <w:t>F</w:t>
            </w:r>
          </w:p>
        </w:tc>
        <w:tc>
          <w:tcPr>
            <w:tcW w:type="dxa" w:w="2197"/>
          </w:tcPr>
          <w:p>
            <w:pPr>
              <w:jc w:val="center"/>
            </w:pPr>
            <w:r>
              <w:rPr>
                <w:rFonts w:ascii="Times New Roman" w:hAnsi="Times New Roman" w:eastAsia="宋体"/>
                <w:b w:val="0"/>
                <w:sz w:val="22"/>
              </w:rPr>
              <w:t>门厅/大堂（净高≥4m）</w:t>
            </w:r>
          </w:p>
        </w:tc>
        <w:tc>
          <w:tcPr>
            <w:tcW w:type="dxa" w:w="2197"/>
          </w:tcPr>
          <w:p>
            <w:pPr>
              <w:jc w:val="center"/>
            </w:pPr>
            <w:r>
              <w:rPr>
                <w:rFonts w:ascii="Times New Roman" w:hAnsi="Times New Roman" w:eastAsia="宋体"/>
                <w:b w:val="0"/>
                <w:sz w:val="22"/>
              </w:rPr>
              <w:t>大尺度空间高度自适应</w:t>
            </w:r>
          </w:p>
        </w:tc>
        <w:tc>
          <w:tcPr>
            <w:tcW w:type="dxa" w:w="2197"/>
          </w:tcPr>
          <w:p>
            <w:pPr>
              <w:jc w:val="center"/>
            </w:pPr>
            <w:r>
              <w:rPr>
                <w:rFonts w:ascii="Times New Roman" w:hAnsi="Times New Roman" w:eastAsia="宋体"/>
                <w:b w:val="0"/>
                <w:sz w:val="22"/>
              </w:rPr>
              <w:t>Z直方图自适应检测</w:t>
            </w:r>
          </w:p>
        </w:tc>
      </w:tr>
    </w:tbl>
    <w:p>
      <w:pPr>
        <w:spacing w:after="120"/>
      </w:pPr>
    </w:p>
    <w:p>
      <w:pPr>
        <w:pStyle w:val="Heading2"/>
        <w:spacing w:before="240" w:after="120"/>
        <w:jc w:val="left"/>
      </w:pPr>
      <w:r>
        <w:rPr>
          <w:rFonts w:ascii="Arial" w:hAnsi="Arial" w:eastAsia="黑体"/>
          <w:b/>
          <w:sz w:val="28"/>
        </w:rPr>
        <w:t>（二）当前结果的优化</w:t>
      </w:r>
    </w:p>
    <w:p>
      <w:pPr>
        <w:spacing w:before="0" w:after="120" w:line="440" w:lineRule="exact"/>
        <w:ind w:firstLine="420"/>
        <w:jc w:val="both"/>
      </w:pPr>
      <w:r>
        <w:rPr>
          <w:rFonts w:ascii="Times New Roman" w:hAnsi="Times New Roman" w:eastAsia="宋体"/>
          <w:b w:val="0"/>
          <w:sz w:val="24"/>
        </w:rPr>
        <w:t>当前各阶段处理流程已初步跑通，但存在若干不足有待改进。贝叶斯语义融合的似然矩阵尚未建立，语义分类准确率受标签分散问题制约，需完善该模块的核心组件；CAD线段提取在复杂交叉节点处存在端点不闭合问题，需改进拓扑修正策略；整体方法跨场景的参数自适应能力有待提升，是后续优化的重点方向。</w:t>
      </w:r>
    </w:p>
    <w:p>
      <w:pPr>
        <w:pStyle w:val="Heading2"/>
        <w:spacing w:before="240" w:after="120"/>
        <w:jc w:val="left"/>
      </w:pPr>
      <w:r>
        <w:rPr>
          <w:rFonts w:ascii="Arial" w:hAnsi="Arial" w:eastAsia="黑体"/>
          <w:b/>
          <w:sz w:val="28"/>
        </w:rPr>
        <w:t>（三）开放词汇模型的针对性适应</w:t>
      </w:r>
    </w:p>
    <w:p>
      <w:pPr>
        <w:spacing w:before="0" w:after="120" w:line="440" w:lineRule="exact"/>
        <w:ind w:firstLine="420"/>
        <w:jc w:val="both"/>
      </w:pPr>
      <w:r>
        <w:rPr>
          <w:rFonts w:ascii="Times New Roman" w:hAnsi="Times New Roman" w:eastAsia="宋体"/>
          <w:b w:val="0"/>
          <w:sz w:val="24"/>
        </w:rPr>
        <w:t>本研究采用的RAM、GroundingDINO、SAM三个模型均为通用领域预训练模型，在室内建筑场景下存在一定局限。下一步拟在自采数据集上对三个模型的室内建筑语境识别表现进行系统分析，针对表现相对薄弱的模块，探索基于本数据集的针对性优化方案（如微调或提示工程），以提升分割管线对室内结构要素的识别精度，为三维融合提供更高质量的二维语义输入。</w:t>
      </w:r>
    </w:p>
    <w:p>
      <w:pPr>
        <w:pStyle w:val="Heading1"/>
        <w:spacing w:before="240" w:after="120"/>
        <w:jc w:val="left"/>
      </w:pPr>
      <w:r>
        <w:rPr>
          <w:rFonts w:ascii="Arial" w:hAnsi="Arial" w:eastAsia="黑体"/>
          <w:b/>
          <w:sz w:val="32"/>
        </w:rPr>
        <w:t>五、已发表的与学位论文相关的学术论文及拟发表的研究成果</w:t>
      </w:r>
    </w:p>
    <w:p>
      <w:pPr>
        <w:spacing w:before="0" w:after="120" w:line="440" w:lineRule="exact"/>
        <w:ind w:firstLine="420"/>
        <w:jc w:val="both"/>
      </w:pPr>
      <w:r>
        <w:rPr>
          <w:rFonts w:ascii="Times New Roman" w:hAnsi="Times New Roman" w:eastAsia="宋体"/>
          <w:b/>
          <w:sz w:val="24"/>
        </w:rPr>
        <w:t>已发表</w:t>
      </w:r>
      <w:r>
        <w:rPr>
          <w:rFonts w:ascii="Times New Roman" w:hAnsi="Times New Roman" w:eastAsia="宋体"/>
          <w:b w:val="0"/>
          <w:sz w:val="24"/>
        </w:rPr>
        <w:t>：暂无。</w:t>
      </w:r>
    </w:p>
    <w:p>
      <w:pPr>
        <w:spacing w:before="0" w:after="120" w:line="440" w:lineRule="exact"/>
        <w:ind w:firstLine="420"/>
        <w:jc w:val="both"/>
      </w:pPr>
      <w:r>
        <w:rPr>
          <w:rFonts w:ascii="Times New Roman" w:hAnsi="Times New Roman" w:eastAsia="宋体"/>
          <w:b/>
          <w:sz w:val="24"/>
        </w:rPr>
        <w:t>拟发表</w:t>
      </w:r>
      <w:r>
        <w:rPr>
          <w:rFonts w:ascii="Times New Roman" w:hAnsi="Times New Roman" w:eastAsia="宋体"/>
          <w:b w:val="0"/>
          <w:sz w:val="24"/>
        </w:rPr>
        <w:t>：计划围绕【基于3D点集级IoU的多视角语义实例关联方法】撰写学术论文，计划投稿三维视觉或计算机图形学相关期刊/会议。</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