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21E" w:rsidRPr="00BE721E" w:rsidRDefault="00BE721E" w:rsidP="00BE721E">
      <w:pPr>
        <w:widowControl/>
        <w:shd w:val="clear" w:color="auto" w:fill="F8F8F8"/>
        <w:spacing w:line="489" w:lineRule="atLeast"/>
        <w:jc w:val="center"/>
        <w:outlineLvl w:val="0"/>
        <w:rPr>
          <w:rFonts w:ascii="微软雅黑" w:eastAsia="微软雅黑" w:hAnsi="微软雅黑" w:cs="宋体"/>
          <w:color w:val="000000"/>
          <w:kern w:val="36"/>
          <w:sz w:val="38"/>
          <w:szCs w:val="38"/>
        </w:rPr>
      </w:pPr>
      <w:r w:rsidRPr="00BE721E">
        <w:rPr>
          <w:rFonts w:ascii="微软雅黑" w:eastAsia="微软雅黑" w:hAnsi="微软雅黑" w:cs="宋体" w:hint="eastAsia"/>
          <w:color w:val="000000"/>
          <w:kern w:val="36"/>
          <w:sz w:val="38"/>
          <w:szCs w:val="38"/>
        </w:rPr>
        <w:t>恒大无法履约后 广东省政府宣布应企业要求派驻工作组</w:t>
      </w:r>
    </w:p>
    <w:p w:rsidR="00BE721E" w:rsidRPr="00BE721E" w:rsidRDefault="00BE721E" w:rsidP="00BE721E">
      <w:pPr>
        <w:widowControl/>
        <w:shd w:val="clear" w:color="auto" w:fill="F8F8F8"/>
        <w:spacing w:line="272" w:lineRule="atLeast"/>
        <w:jc w:val="center"/>
        <w:rPr>
          <w:rFonts w:ascii="微软雅黑" w:eastAsia="微软雅黑" w:hAnsi="微软雅黑" w:cs="宋体" w:hint="eastAsia"/>
          <w:color w:val="ADADAD"/>
          <w:kern w:val="0"/>
          <w:sz w:val="16"/>
          <w:szCs w:val="16"/>
        </w:rPr>
      </w:pPr>
      <w:r w:rsidRPr="00BE721E">
        <w:rPr>
          <w:rFonts w:ascii="微软雅黑" w:eastAsia="微软雅黑" w:hAnsi="微软雅黑" w:cs="宋体" w:hint="eastAsia"/>
          <w:color w:val="ADADAD"/>
          <w:kern w:val="0"/>
          <w:sz w:val="16"/>
          <w:szCs w:val="16"/>
        </w:rPr>
        <w:t>2021年12月03日 21:49 来源于 </w:t>
      </w:r>
      <w:hyperlink r:id="rId6" w:tgtFrame="_blank" w:history="1">
        <w:r w:rsidRPr="00BE721E">
          <w:rPr>
            <w:rFonts w:ascii="微软雅黑" w:eastAsia="微软雅黑" w:hAnsi="微软雅黑" w:cs="宋体" w:hint="eastAsia"/>
            <w:color w:val="1F286F"/>
            <w:kern w:val="0"/>
            <w:sz w:val="16"/>
          </w:rPr>
          <w:t>财新网</w:t>
        </w:r>
      </w:hyperlink>
    </w:p>
    <w:p w:rsidR="00BE721E" w:rsidRPr="00BE721E" w:rsidRDefault="00BE721E" w:rsidP="00BE721E">
      <w:pPr>
        <w:widowControl/>
        <w:shd w:val="clear" w:color="auto" w:fill="F1F1F1"/>
        <w:spacing w:line="299" w:lineRule="atLeast"/>
        <w:jc w:val="left"/>
        <w:rPr>
          <w:rFonts w:ascii="微软雅黑" w:eastAsia="微软雅黑" w:hAnsi="微软雅黑" w:cs="宋体" w:hint="eastAsia"/>
          <w:color w:val="5C5C5C"/>
          <w:kern w:val="0"/>
          <w:sz w:val="19"/>
          <w:szCs w:val="19"/>
        </w:rPr>
      </w:pPr>
      <w:r w:rsidRPr="00BE721E">
        <w:rPr>
          <w:rFonts w:ascii="微软雅黑" w:eastAsia="微软雅黑" w:hAnsi="微软雅黑" w:cs="宋体" w:hint="eastAsia"/>
          <w:color w:val="5C5C5C"/>
          <w:kern w:val="0"/>
          <w:sz w:val="19"/>
          <w:szCs w:val="19"/>
        </w:rPr>
        <w:t>应恒大集团请求，为有效化解风险，维护社会稳定，广东省人民政府同意向恒大派出工作组，督促企业风险处置工作，督促其切实加强内控管理，维护正常经营</w:t>
      </w:r>
    </w:p>
    <w:p w:rsidR="00BE721E" w:rsidRPr="00BE721E" w:rsidRDefault="00BE721E" w:rsidP="00BE721E">
      <w:pPr>
        <w:widowControl/>
        <w:shd w:val="clear" w:color="auto" w:fill="F8F8F8"/>
        <w:jc w:val="left"/>
        <w:rPr>
          <w:rFonts w:ascii="微软雅黑" w:eastAsia="微软雅黑" w:hAnsi="微软雅黑" w:cs="宋体" w:hint="eastAsia"/>
          <w:b/>
          <w:bCs/>
          <w:color w:val="1F286F"/>
          <w:kern w:val="0"/>
          <w:sz w:val="20"/>
          <w:szCs w:val="20"/>
        </w:rPr>
      </w:pPr>
      <w:bookmarkStart w:id="0" w:name="xiangguan"/>
      <w:bookmarkEnd w:id="0"/>
      <w:r w:rsidRPr="00BE721E">
        <w:rPr>
          <w:rFonts w:ascii="微软雅黑" w:eastAsia="微软雅黑" w:hAnsi="微软雅黑" w:cs="宋体" w:hint="eastAsia"/>
          <w:b/>
          <w:bCs/>
          <w:color w:val="1F286F"/>
          <w:kern w:val="0"/>
          <w:sz w:val="20"/>
          <w:szCs w:val="20"/>
        </w:rPr>
        <w:t>相关报道</w:t>
      </w:r>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7" w:history="1">
        <w:r w:rsidRPr="00BE721E">
          <w:rPr>
            <w:rFonts w:ascii="微软雅黑" w:eastAsia="微软雅黑" w:hAnsi="微软雅黑" w:cs="宋体" w:hint="eastAsia"/>
            <w:color w:val="848484"/>
            <w:kern w:val="0"/>
            <w:sz w:val="16"/>
          </w:rPr>
          <w:t>【财新周刊】恒大何以至此（下篇）：危机溯源｜特稿精选</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8" w:history="1">
        <w:r w:rsidRPr="00BE721E">
          <w:rPr>
            <w:rFonts w:ascii="微软雅黑" w:eastAsia="微软雅黑" w:hAnsi="微软雅黑" w:cs="宋体" w:hint="eastAsia"/>
            <w:color w:val="848484"/>
            <w:kern w:val="0"/>
            <w:sz w:val="16"/>
          </w:rPr>
          <w:t>【财新周刊】恒大何以至此（上篇）：危机袭来｜特稿精选</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9" w:history="1">
        <w:r w:rsidRPr="00BE721E">
          <w:rPr>
            <w:rFonts w:ascii="微软雅黑" w:eastAsia="微软雅黑" w:hAnsi="微软雅黑" w:cs="宋体" w:hint="eastAsia"/>
            <w:color w:val="848484"/>
            <w:kern w:val="0"/>
            <w:sz w:val="16"/>
          </w:rPr>
          <w:t>【财新周刊】恒大何以至此｜特稿精选</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10" w:history="1">
        <w:r w:rsidRPr="00BE721E">
          <w:rPr>
            <w:rFonts w:ascii="微软雅黑" w:eastAsia="微软雅黑" w:hAnsi="微软雅黑" w:cs="宋体" w:hint="eastAsia"/>
            <w:color w:val="848484"/>
            <w:kern w:val="0"/>
            <w:sz w:val="16"/>
          </w:rPr>
          <w:t>恒大宣布无法履行担保义务</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11" w:history="1">
        <w:r w:rsidRPr="00BE721E">
          <w:rPr>
            <w:rFonts w:ascii="微软雅黑" w:eastAsia="微软雅黑" w:hAnsi="微软雅黑" w:cs="宋体" w:hint="eastAsia"/>
            <w:color w:val="848484"/>
            <w:kern w:val="0"/>
            <w:sz w:val="16"/>
          </w:rPr>
          <w:t>独家｜儋州市住建局“保交楼”新策：恒大海花岛“票据抵房”要设门槛</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12" w:history="1">
        <w:r w:rsidRPr="00BE721E">
          <w:rPr>
            <w:rFonts w:ascii="微软雅黑" w:eastAsia="微软雅黑" w:hAnsi="微软雅黑" w:cs="宋体" w:hint="eastAsia"/>
            <w:color w:val="848484"/>
            <w:kern w:val="0"/>
            <w:sz w:val="16"/>
          </w:rPr>
          <w:t>许家印减持12亿股中国恒大股票 套现22亿元</w:t>
        </w:r>
      </w:hyperlink>
    </w:p>
    <w:p w:rsidR="00BE721E" w:rsidRPr="00BE721E" w:rsidRDefault="00BE721E" w:rsidP="00BE721E">
      <w:pPr>
        <w:widowControl/>
        <w:shd w:val="clear" w:color="auto" w:fill="F8F8F8"/>
        <w:spacing w:line="245" w:lineRule="atLeast"/>
        <w:ind w:left="720"/>
        <w:rPr>
          <w:rFonts w:ascii="微软雅黑" w:eastAsia="微软雅黑" w:hAnsi="微软雅黑" w:cs="宋体" w:hint="eastAsia"/>
          <w:color w:val="4A4A4A"/>
          <w:kern w:val="0"/>
          <w:sz w:val="16"/>
          <w:szCs w:val="16"/>
        </w:rPr>
      </w:pPr>
      <w:hyperlink r:id="rId13" w:history="1">
        <w:r w:rsidRPr="00BE721E">
          <w:rPr>
            <w:rFonts w:ascii="微软雅黑" w:eastAsia="微软雅黑" w:hAnsi="微软雅黑" w:cs="宋体" w:hint="eastAsia"/>
            <w:color w:val="848484"/>
            <w:kern w:val="0"/>
            <w:sz w:val="16"/>
          </w:rPr>
          <w:t>恒大清仓恒腾网络股份 再套现21亿港元</w:t>
        </w:r>
      </w:hyperlink>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w:t>
      </w:r>
      <w:r w:rsidRPr="00BE721E">
        <w:rPr>
          <w:rFonts w:ascii="微软雅黑" w:eastAsia="微软雅黑" w:hAnsi="微软雅黑" w:cs="宋体" w:hint="eastAsia"/>
          <w:b/>
          <w:bCs/>
          <w:color w:val="4A4A4A"/>
          <w:kern w:val="0"/>
          <w:sz w:val="22"/>
        </w:rPr>
        <w:t>【财新网】（记者 陈博）</w:t>
      </w:r>
      <w:r w:rsidRPr="00BE721E">
        <w:rPr>
          <w:rFonts w:ascii="微软雅黑" w:eastAsia="微软雅黑" w:hAnsi="微软雅黑" w:cs="宋体" w:hint="eastAsia"/>
          <w:color w:val="4A4A4A"/>
          <w:kern w:val="0"/>
          <w:sz w:val="22"/>
        </w:rPr>
        <w:t>12月3日，鉴于</w:t>
      </w:r>
      <w:hyperlink r:id="rId14" w:tgtFrame="_blank" w:history="1">
        <w:r w:rsidRPr="00BE721E">
          <w:rPr>
            <w:rFonts w:ascii="微软雅黑" w:eastAsia="微软雅黑" w:hAnsi="微软雅黑" w:cs="宋体" w:hint="eastAsia"/>
            <w:color w:val="336699"/>
            <w:kern w:val="0"/>
            <w:sz w:val="22"/>
          </w:rPr>
          <w:t>恒大地产集团公司</w:t>
        </w:r>
      </w:hyperlink>
      <w:r w:rsidRPr="00BE721E">
        <w:rPr>
          <w:rFonts w:ascii="微软雅黑" w:eastAsia="微软雅黑" w:hAnsi="微软雅黑" w:cs="宋体" w:hint="eastAsia"/>
          <w:color w:val="4A4A4A"/>
          <w:kern w:val="0"/>
          <w:sz w:val="22"/>
        </w:rPr>
        <w:t>（下称恒大，03333.HK）的违约情况，广东省政府宣布应企业的请求，即刻正式派驻工作组到恒大集团。</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中国恒大集团在香港联交所发布了无法履行担保责任的公告，也意味着该企业集团192.36亿美元未到期的美元债交叉违约被启动（参见财新网</w:t>
      </w:r>
      <w:hyperlink r:id="rId15" w:tgtFrame="_blank" w:history="1">
        <w:r w:rsidRPr="00BE721E">
          <w:rPr>
            <w:rFonts w:ascii="微软雅黑" w:eastAsia="微软雅黑" w:hAnsi="微软雅黑" w:cs="宋体" w:hint="eastAsia"/>
            <w:color w:val="336699"/>
            <w:kern w:val="0"/>
            <w:sz w:val="22"/>
          </w:rPr>
          <w:t>《恒大宣布无法履行担保义务》</w:t>
        </w:r>
      </w:hyperlink>
      <w:r w:rsidRPr="00BE721E">
        <w:rPr>
          <w:rFonts w:ascii="微软雅黑" w:eastAsia="微软雅黑" w:hAnsi="微软雅黑" w:cs="宋体" w:hint="eastAsia"/>
          <w:color w:val="4A4A4A"/>
          <w:kern w:val="0"/>
          <w:sz w:val="22"/>
        </w:rPr>
        <w:t>）。</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当日晚9时许，广东省人民政府发布公告，表示对此高度关注，当晚立即约谈了恒大集团实控人许家印，并应恒大集团请求，为有效化解风险，维护社会稳定，同意向恒大派出工作组，督促企业风险处置工作，督促其切实加强内控管理，维护正常经营。</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地方政府的这一行动早在市场的预期之中，广东省对恒大集团的摸底也早已有序着手。自2021年初，负债约2万亿的恒大集团不断被包括供应商、金融机构、购房者、理财客户等各类债权人维权，从而陷入流动性危机。步入9月，恒大集团的风险愈发凸显，在监管当局尚未出台关于恒大风险处置的统一方案之前，实操中，各省市政府部门</w:t>
      </w:r>
      <w:r w:rsidRPr="00BE721E">
        <w:rPr>
          <w:rFonts w:ascii="微软雅黑" w:eastAsia="微软雅黑" w:hAnsi="微软雅黑" w:cs="宋体" w:hint="eastAsia"/>
          <w:color w:val="4A4A4A"/>
          <w:kern w:val="0"/>
          <w:sz w:val="22"/>
        </w:rPr>
        <w:lastRenderedPageBreak/>
        <w:t>根据当地恒大项目的具体情况自行安排，各地政府相关部门开始采取行动。其中，按照中央部署，恒大地产的注册地广东省承担了恒大风险处置的牵头责任。</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据财新了解，广东省政法委已要求恒大提供旗下各个区域项目的具体信息，以配合相关工作。需要提交的资料既包括恒大集团全国范围内在建项目名单；也包括这些在建项目的建筑工人名单及联系方式；还包括恒大集团范围内已销售未交付，已交付未办理房产证的购房者信息表等。相关资料要求恒大在9月27日下午前提交。</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另外，住建部也下达通知到各省住建厅及各地住建局，要求收集中国恒大全国范围内停工、半停工项目的相关资料，尤其是恒大集团总部对这类项目的抽调资金数额以及项目完成后续工程所需资金，这些资料已于9月24日提交。</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但恒大这轮自查仍未梳理出解决方案。2021年国庆开始，安徽省、贵阳市已经率先要求当地各地市或各区摸底恒大项目。2021年10月中旬至10月底，上述两地的地方政府已经派驻会计师事务所进驻恒大多个项目进行尽调。“其他省市随后也陆续跟进。“一名恒大内部人士告诉财新记者。</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财新获取的一份地方政府对恒大项目审计调查方案显示，第三方会计师事务所通过审计调查，了解恒大项目基本情况、资金使用与财务状况，关注购房者的热点问题，为当地政府决策提供参考。</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审计调查的主要包括以下八方面内容：项目公司的注册资本金投入明细，股东是否存在抽回出资情况；项目的土地出让金支付情况，是否存在欠缴地款行为；项目已建成交付面积、在建未验收面积及完工程度、待建面积等基本信息；涉及施工明细清单、合同签订情况、实际工程完成情况、尚欠工程款情况及明细；住宅与门面房销售情况及明细，预售房屋情况及明细，预收款收取情况及明细，定金收取情况及明细；金融机构及</w:t>
      </w:r>
      <w:r w:rsidRPr="00BE721E">
        <w:rPr>
          <w:rFonts w:ascii="微软雅黑" w:eastAsia="微软雅黑" w:hAnsi="微软雅黑" w:cs="宋体" w:hint="eastAsia"/>
          <w:color w:val="4A4A4A"/>
          <w:kern w:val="0"/>
          <w:sz w:val="22"/>
        </w:rPr>
        <w:lastRenderedPageBreak/>
        <w:t>社会融资情况及明细；股东（出资人）或实控人的关联企业及个人占用公司资金情况及明细；截至2021年9月底资产负债总体情况及资产负债率情况。</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这些之前是由恒大方自行统计再上报，但如今地方政府派驻专业团队亲自摸底。“上述恒大内部人士透露，与此同时，地方政府还为了防止当地恒大资产被查封，将恒大在建未售项目或房源统一备案到当地地方城投城建等国资平台，对外宣称地方国资接手或采购了恒大这些未售资产。“但实际上，有些地方与恒大就价格谈拢之后，会将这些房源定向作为安置房；有些地方谈不拢，这种备案实际上只相当于短期规避，此后若这些恒大未售房源对外销售，再由国资平台备案至购房者名下”。</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另一方面，据财新记者此前了解，复工需要大量资金，中国恒大的现金流捉襟见肘，本身濒临信用破产，施工单位普遍失去信心。单凭自身力量，该公司无法解决与施工方的债务纠纷，只能由各地政府部门牵头出面。</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近两个多月，贵阳花溪区、湖北荆门及十堰、四川阆中、江西赣州、浙江宁波、重庆江津区、江苏泰州、福建泉州、湖南长沙、四川南充等多地政府部门已经成立恒大项目处置工作专班或复工复产专班工作组。以贵阳花溪区为例，工作专班包括日常监管组、资产核查组、农民工工资保障组等多个小组。</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上述恒大内部人士说，专班小组最重要的一项工作就是参与到恒大与施工单位的实际谈判中，敦促施工单位复工复产。</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财新获悉，各地方政府处理恒大问题的主要思路是“保民生、保稳定、保交楼”；与施工方谈判的策略是希望“挂旧账、付新账、算总账、都认账”，即要求施工单位搁置前期的应付未付工程款和已开商票，先行复工；对于复工后产生的工程进度款，在当地恒大项目资金托管专户中拨付资金支付；直到项目最终完工，再计算最后的施工总账。</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lastRenderedPageBreak/>
        <w:t xml:space="preserve">　　“但由于复工的资金缺口较大，哪怕是地方政府部门介入，各方商定解决方案的周期也会拉得较长”。 上述恒大内部人士透露，而且只有账户上有钱的项目才具备复工条件。</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但恒大很多项目前期欠债过多，哪怕当地政府提供部分资金援助，也只能支撑一段时间。”该恒大内部人士称，谈判的时候，碍于相关部门在场，施工单位没有明确表态。但一到签协议，双方就僵持，怎么复工？</w:t>
      </w:r>
    </w:p>
    <w:p w:rsidR="00BE721E" w:rsidRPr="00BE721E" w:rsidRDefault="00BE721E" w:rsidP="00BE721E">
      <w:pPr>
        <w:widowControl/>
        <w:shd w:val="clear" w:color="auto" w:fill="F8F8F8"/>
        <w:spacing w:line="413" w:lineRule="atLeast"/>
        <w:rPr>
          <w:rFonts w:ascii="微软雅黑" w:eastAsia="微软雅黑" w:hAnsi="微软雅黑" w:cs="宋体" w:hint="eastAsia"/>
          <w:color w:val="4A4A4A"/>
          <w:kern w:val="0"/>
          <w:sz w:val="22"/>
        </w:rPr>
      </w:pPr>
      <w:r w:rsidRPr="00BE721E">
        <w:rPr>
          <w:rFonts w:ascii="微软雅黑" w:eastAsia="微软雅黑" w:hAnsi="微软雅黑" w:cs="宋体" w:hint="eastAsia"/>
          <w:color w:val="4A4A4A"/>
          <w:kern w:val="0"/>
          <w:sz w:val="22"/>
        </w:rPr>
        <w:t xml:space="preserve">　　目前，由广东省政府正式向恒大集团派驻工作组，应有助于落实广东省牵头处置恒大风险的行动部署，也有利于下一步恒大危机处置的有序推进。</w:t>
      </w:r>
      <w:hyperlink r:id="rId16" w:tooltip="恒大无法履约后 广东省政府宣布应企业要求派驻工作组" w:history="1">
        <w:r w:rsidRPr="00BE721E">
          <w:rPr>
            <w:rFonts w:ascii="微软雅黑" w:eastAsia="微软雅黑" w:hAnsi="微软雅黑" w:cs="宋体"/>
            <w:color w:val="336699"/>
            <w:kern w:val="0"/>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finance.caixin.com/2021-12-03/101813572.html" title="&quot;恒大无法履约后 广东省政府宣布应企业要求派驻工作组&quot;" style="width:23.75pt;height:23.75pt" o:button="t"/>
          </w:pict>
        </w:r>
      </w:hyperlink>
    </w:p>
    <w:p w:rsidR="000403F8" w:rsidRPr="00BE721E" w:rsidRDefault="000403F8"/>
    <w:sectPr w:rsidR="000403F8" w:rsidRPr="00BE721E" w:rsidSect="000403F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A68" w:rsidRDefault="00460A68" w:rsidP="00BE721E">
      <w:r>
        <w:separator/>
      </w:r>
    </w:p>
  </w:endnote>
  <w:endnote w:type="continuationSeparator" w:id="0">
    <w:p w:rsidR="00460A68" w:rsidRDefault="00460A68" w:rsidP="00BE721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A68" w:rsidRDefault="00460A68" w:rsidP="00BE721E">
      <w:r>
        <w:separator/>
      </w:r>
    </w:p>
  </w:footnote>
  <w:footnote w:type="continuationSeparator" w:id="0">
    <w:p w:rsidR="00460A68" w:rsidRDefault="00460A68" w:rsidP="00BE721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E721E"/>
    <w:rsid w:val="000403F8"/>
    <w:rsid w:val="00460A68"/>
    <w:rsid w:val="00BE721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03F8"/>
    <w:pPr>
      <w:widowControl w:val="0"/>
      <w:jc w:val="both"/>
    </w:pPr>
  </w:style>
  <w:style w:type="paragraph" w:styleId="1">
    <w:name w:val="heading 1"/>
    <w:basedOn w:val="a"/>
    <w:link w:val="1Char"/>
    <w:uiPriority w:val="9"/>
    <w:qFormat/>
    <w:rsid w:val="00BE721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E721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E721E"/>
    <w:rPr>
      <w:sz w:val="18"/>
      <w:szCs w:val="18"/>
    </w:rPr>
  </w:style>
  <w:style w:type="paragraph" w:styleId="a4">
    <w:name w:val="footer"/>
    <w:basedOn w:val="a"/>
    <w:link w:val="Char0"/>
    <w:uiPriority w:val="99"/>
    <w:semiHidden/>
    <w:unhideWhenUsed/>
    <w:rsid w:val="00BE721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E721E"/>
    <w:rPr>
      <w:sz w:val="18"/>
      <w:szCs w:val="18"/>
    </w:rPr>
  </w:style>
  <w:style w:type="character" w:customStyle="1" w:styleId="1Char">
    <w:name w:val="标题 1 Char"/>
    <w:basedOn w:val="a0"/>
    <w:link w:val="1"/>
    <w:uiPriority w:val="9"/>
    <w:rsid w:val="00BE721E"/>
    <w:rPr>
      <w:rFonts w:ascii="宋体" w:eastAsia="宋体" w:hAnsi="宋体" w:cs="宋体"/>
      <w:b/>
      <w:bCs/>
      <w:kern w:val="36"/>
      <w:sz w:val="48"/>
      <w:szCs w:val="48"/>
    </w:rPr>
  </w:style>
  <w:style w:type="character" w:styleId="a5">
    <w:name w:val="Hyperlink"/>
    <w:basedOn w:val="a0"/>
    <w:uiPriority w:val="99"/>
    <w:semiHidden/>
    <w:unhideWhenUsed/>
    <w:rsid w:val="00BE721E"/>
    <w:rPr>
      <w:color w:val="0000FF"/>
      <w:u w:val="single"/>
    </w:rPr>
  </w:style>
  <w:style w:type="paragraph" w:styleId="a6">
    <w:name w:val="Normal (Web)"/>
    <w:basedOn w:val="a"/>
    <w:uiPriority w:val="99"/>
    <w:semiHidden/>
    <w:unhideWhenUsed/>
    <w:rsid w:val="00BE721E"/>
    <w:pPr>
      <w:widowControl/>
      <w:spacing w:before="100" w:beforeAutospacing="1" w:after="100" w:afterAutospacing="1"/>
      <w:jc w:val="left"/>
    </w:pPr>
    <w:rPr>
      <w:rFonts w:ascii="宋体" w:eastAsia="宋体" w:hAnsi="宋体" w:cs="宋体"/>
      <w:kern w:val="0"/>
      <w:sz w:val="24"/>
      <w:szCs w:val="24"/>
    </w:rPr>
  </w:style>
  <w:style w:type="paragraph" w:styleId="a7">
    <w:name w:val="Balloon Text"/>
    <w:basedOn w:val="a"/>
    <w:link w:val="Char1"/>
    <w:uiPriority w:val="99"/>
    <w:semiHidden/>
    <w:unhideWhenUsed/>
    <w:rsid w:val="00BE721E"/>
    <w:rPr>
      <w:sz w:val="18"/>
      <w:szCs w:val="18"/>
    </w:rPr>
  </w:style>
  <w:style w:type="character" w:customStyle="1" w:styleId="Char1">
    <w:name w:val="批注框文本 Char"/>
    <w:basedOn w:val="a0"/>
    <w:link w:val="a7"/>
    <w:uiPriority w:val="99"/>
    <w:semiHidden/>
    <w:rsid w:val="00BE721E"/>
    <w:rPr>
      <w:sz w:val="18"/>
      <w:szCs w:val="18"/>
    </w:rPr>
  </w:style>
</w:styles>
</file>

<file path=word/webSettings.xml><?xml version="1.0" encoding="utf-8"?>
<w:webSettings xmlns:r="http://schemas.openxmlformats.org/officeDocument/2006/relationships" xmlns:w="http://schemas.openxmlformats.org/wordprocessingml/2006/main">
  <w:divs>
    <w:div w:id="862280880">
      <w:bodyDiv w:val="1"/>
      <w:marLeft w:val="0"/>
      <w:marRight w:val="0"/>
      <w:marTop w:val="0"/>
      <w:marBottom w:val="0"/>
      <w:divBdr>
        <w:top w:val="none" w:sz="0" w:space="0" w:color="auto"/>
        <w:left w:val="none" w:sz="0" w:space="0" w:color="auto"/>
        <w:bottom w:val="none" w:sz="0" w:space="0" w:color="auto"/>
        <w:right w:val="none" w:sz="0" w:space="0" w:color="auto"/>
      </w:divBdr>
      <w:divsChild>
        <w:div w:id="684021939">
          <w:marLeft w:val="0"/>
          <w:marRight w:val="0"/>
          <w:marTop w:val="0"/>
          <w:marBottom w:val="0"/>
          <w:divBdr>
            <w:top w:val="none" w:sz="0" w:space="0" w:color="auto"/>
            <w:left w:val="none" w:sz="0" w:space="0" w:color="auto"/>
            <w:bottom w:val="none" w:sz="0" w:space="0" w:color="auto"/>
            <w:right w:val="none" w:sz="0" w:space="0" w:color="auto"/>
          </w:divBdr>
          <w:divsChild>
            <w:div w:id="753359853">
              <w:marLeft w:val="0"/>
              <w:marRight w:val="0"/>
              <w:marTop w:val="0"/>
              <w:marBottom w:val="0"/>
              <w:divBdr>
                <w:top w:val="none" w:sz="0" w:space="0" w:color="auto"/>
                <w:left w:val="none" w:sz="0" w:space="0" w:color="auto"/>
                <w:bottom w:val="none" w:sz="0" w:space="0" w:color="auto"/>
                <w:right w:val="none" w:sz="0" w:space="0" w:color="auto"/>
              </w:divBdr>
            </w:div>
          </w:divsChild>
        </w:div>
        <w:div w:id="2047221149">
          <w:marLeft w:val="0"/>
          <w:marRight w:val="0"/>
          <w:marTop w:val="136"/>
          <w:marBottom w:val="136"/>
          <w:divBdr>
            <w:top w:val="none" w:sz="0" w:space="0" w:color="auto"/>
            <w:left w:val="none" w:sz="0" w:space="0" w:color="auto"/>
            <w:bottom w:val="none" w:sz="0" w:space="0" w:color="auto"/>
            <w:right w:val="none" w:sz="0" w:space="0" w:color="auto"/>
          </w:divBdr>
        </w:div>
        <w:div w:id="34161837">
          <w:marLeft w:val="0"/>
          <w:marRight w:val="0"/>
          <w:marTop w:val="0"/>
          <w:marBottom w:val="0"/>
          <w:divBdr>
            <w:top w:val="none" w:sz="0" w:space="0" w:color="auto"/>
            <w:left w:val="none" w:sz="0" w:space="0" w:color="auto"/>
            <w:bottom w:val="none" w:sz="0" w:space="0" w:color="auto"/>
            <w:right w:val="none" w:sz="0" w:space="0" w:color="auto"/>
          </w:divBdr>
          <w:divsChild>
            <w:div w:id="120151597">
              <w:marLeft w:val="0"/>
              <w:marRight w:val="340"/>
              <w:marTop w:val="0"/>
              <w:marBottom w:val="0"/>
              <w:divBdr>
                <w:top w:val="none" w:sz="0" w:space="0" w:color="auto"/>
                <w:left w:val="none" w:sz="0" w:space="0" w:color="auto"/>
                <w:bottom w:val="none" w:sz="0" w:space="0" w:color="auto"/>
                <w:right w:val="none" w:sz="0" w:space="0" w:color="auto"/>
              </w:divBdr>
              <w:divsChild>
                <w:div w:id="374888478">
                  <w:marLeft w:val="0"/>
                  <w:marRight w:val="0"/>
                  <w:marTop w:val="109"/>
                  <w:marBottom w:val="272"/>
                  <w:divBdr>
                    <w:top w:val="single" w:sz="12" w:space="7" w:color="1F286F"/>
                    <w:left w:val="none" w:sz="0" w:space="0" w:color="auto"/>
                    <w:bottom w:val="none" w:sz="0" w:space="0" w:color="auto"/>
                    <w:right w:val="none" w:sz="0" w:space="0" w:color="auto"/>
                  </w:divBdr>
                </w:div>
              </w:divsChild>
            </w:div>
            <w:div w:id="2773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eekly.caixin.com/2021-09-18/101774969.html?sourceEntityId=101813572" TargetMode="External"/><Relationship Id="rId13" Type="http://schemas.openxmlformats.org/officeDocument/2006/relationships/hyperlink" Target="http://www.caixin.com/2021-11-18/101806703.html?sourceEntityId=101813572"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eekly.caixin.com/2021-09-18/101774972.html?sourceEntityId=101813572" TargetMode="External"/><Relationship Id="rId12" Type="http://schemas.openxmlformats.org/officeDocument/2006/relationships/hyperlink" Target="http://www.caixin.com/2021-11-26/101810444.html?sourceEntityId=101813572"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finance.caixin.com/2021-12-03/101813572.html" TargetMode="External"/><Relationship Id="rId1" Type="http://schemas.openxmlformats.org/officeDocument/2006/relationships/styles" Target="styles.xml"/><Relationship Id="rId6" Type="http://schemas.openxmlformats.org/officeDocument/2006/relationships/hyperlink" Target="http://www.caixin.com/" TargetMode="External"/><Relationship Id="rId11" Type="http://schemas.openxmlformats.org/officeDocument/2006/relationships/hyperlink" Target="http://www.caixin.com/2021-11-25/101809967.html?sourceEntityId=101813572" TargetMode="External"/><Relationship Id="rId5" Type="http://schemas.openxmlformats.org/officeDocument/2006/relationships/endnotes" Target="endnotes.xml"/><Relationship Id="rId15" Type="http://schemas.openxmlformats.org/officeDocument/2006/relationships/hyperlink" Target="https://finance.caixin.com/2021-12-03/101813522.html" TargetMode="External"/><Relationship Id="rId10" Type="http://schemas.openxmlformats.org/officeDocument/2006/relationships/hyperlink" Target="http://finance.caixin.com/2021-12-03/101813522.html?sourceEntityId=101813572" TargetMode="External"/><Relationship Id="rId4" Type="http://schemas.openxmlformats.org/officeDocument/2006/relationships/footnotes" Target="footnotes.xml"/><Relationship Id="rId9" Type="http://schemas.openxmlformats.org/officeDocument/2006/relationships/hyperlink" Target="http://weekly.caixin.com/2021-09-17/101774442.html?sourceEntityId=101813572" TargetMode="External"/><Relationship Id="rId14" Type="http://schemas.openxmlformats.org/officeDocument/2006/relationships/hyperlink" Target="http://search.caixin.com/search/%E6%81%92%E5%A4%A7%E5%9C%B0%E4%BA%A7%E9%9B%86%E5%9B%A2%E5%85%AC%E5%8F%B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524</Words>
  <Characters>2989</Characters>
  <Application>Microsoft Office Word</Application>
  <DocSecurity>0</DocSecurity>
  <Lines>24</Lines>
  <Paragraphs>7</Paragraphs>
  <ScaleCrop>false</ScaleCrop>
  <Company>微软中国</Company>
  <LinksUpToDate>false</LinksUpToDate>
  <CharactersWithSpaces>3506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2021-12-04T01:27:00Z</dcterms:created>
  <dcterms:modified xsi:type="dcterms:W3CDTF">2021-12-04T01:28:00Z</dcterms:modified>
</cp:coreProperties>
</file>