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Microsoft YaHei" w:hAnsi="Microsoft YaHei"/>
          <w:b/>
          <w:color w:val="0B2D5B"/>
          <w:sz w:val="64"/>
        </w:rPr>
        <w:t>HDB 组屋转售价格分析</w:t>
        <w:br/>
        <w:t>分析思考题</w:t>
      </w:r>
    </w:p>
    <w:p/>
    <w:p>
      <w:pPr>
        <w:jc w:val="center"/>
      </w:pPr>
      <w:r>
        <w:rPr>
          <w:rFonts w:ascii="Microsoft YaHei" w:hAnsi="Microsoft YaHei"/>
          <w:color w:val="6B7280"/>
          <w:sz w:val="28"/>
        </w:rPr>
        <w:t>数据驱动的深度分析 — 保值性、策略合理性、模型可靠性</w:t>
      </w:r>
    </w:p>
    <w:p/>
    <w:p/>
    <w:p>
      <w:pPr>
        <w:jc w:val="center"/>
      </w:pPr>
      <w:r>
        <w:rPr>
          <w:rFonts w:ascii="Microsoft YaHei" w:hAnsi="Microsoft YaHei"/>
          <w:color w:val="94A3B8"/>
          <w:sz w:val="24"/>
        </w:rPr>
        <w:t>新加坡 HDB 组屋转售价格分析与预测系统</w:t>
        <w:br/>
        <w:t>课程项目 · 2026 年 5 月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80" w:before="40"/>
      </w:pPr>
      <w:r>
        <w:rPr>
          <w:b/>
          <w:sz w:val="24"/>
        </w:rPr>
        <w:t>思考题 1：新加坡哪里的组屋最保值？</w:t>
      </w:r>
    </w:p>
    <w:p>
      <w:pPr>
        <w:spacing w:after="80" w:before="40"/>
      </w:pPr>
      <w:r>
        <w:t xml:space="preserve">  1.1 研究方法：Town vs Price 偏离度分析</w:t>
      </w:r>
    </w:p>
    <w:p>
      <w:pPr>
        <w:spacing w:after="80" w:before="40"/>
      </w:pPr>
      <w:r>
        <w:t xml:space="preserve">  1.2 核心指标：偏离度 + CAGR</w:t>
      </w:r>
    </w:p>
    <w:p>
      <w:pPr>
        <w:spacing w:after="80" w:before="40"/>
      </w:pPr>
      <w:r>
        <w:t xml:space="preserve">  1.3 辅助维度：新旧组屋 / MRT 距离</w:t>
      </w:r>
    </w:p>
    <w:p>
      <w:pPr>
        <w:spacing w:after="80" w:before="40"/>
      </w:pPr>
      <w:r>
        <w:t xml:space="preserve">  1.4 个人推荐与购房策略</w:t>
      </w:r>
    </w:p>
    <w:p>
      <w:pPr>
        <w:spacing w:after="80" w:before="40"/>
      </w:pPr>
      <w:r>
        <w:rPr>
          <w:b/>
          <w:sz w:val="24"/>
        </w:rPr>
        <w:t>思考题 2：你的购房策略为什么成立？</w:t>
      </w:r>
    </w:p>
    <w:p>
      <w:pPr>
        <w:spacing w:after="80" w:before="40"/>
      </w:pPr>
      <w:r>
        <w:t xml:space="preserve">  2.1 四种策略定义</w:t>
      </w:r>
    </w:p>
    <w:p>
      <w:pPr>
        <w:spacing w:after="80" w:before="40"/>
      </w:pPr>
      <w:r>
        <w:t xml:space="preserve">  2.2 Train/Test 时间切分验证</w:t>
      </w:r>
    </w:p>
    <w:p>
      <w:pPr>
        <w:spacing w:after="80" w:before="40"/>
      </w:pPr>
      <w:r>
        <w:t xml:space="preserve">  2.3 四维雷达对比</w:t>
      </w:r>
    </w:p>
    <w:p>
      <w:pPr>
        <w:spacing w:after="80" w:before="40"/>
      </w:pPr>
      <w:r>
        <w:t xml:space="preserve">  2.4 策略分析</w:t>
      </w:r>
    </w:p>
    <w:p>
      <w:pPr>
        <w:spacing w:after="80" w:before="40"/>
      </w:pPr>
      <w:r>
        <w:rPr>
          <w:b/>
          <w:sz w:val="24"/>
        </w:rPr>
        <w:t>思考题 3：预测模型靠谱吗？它在哪里'翻车'了？</w:t>
      </w:r>
    </w:p>
    <w:p>
      <w:pPr>
        <w:spacing w:after="80" w:before="40"/>
      </w:pPr>
      <w:r>
        <w:t xml:space="preserve">  3.1 模型整体表现</w:t>
      </w:r>
    </w:p>
    <w:p>
      <w:pPr>
        <w:spacing w:after="80" w:before="40"/>
      </w:pPr>
      <w:r>
        <w:t xml:space="preserve">  3.2 误差最大的 10 套组屋</w:t>
      </w:r>
    </w:p>
    <w:p>
      <w:pPr>
        <w:spacing w:after="80" w:before="40"/>
      </w:pPr>
      <w:r>
        <w:t xml:space="preserve">  3.3 老旧 vs 新近组屋预测差异</w:t>
      </w:r>
    </w:p>
    <w:p>
      <w:pPr>
        <w:spacing w:after="80" w:before="40"/>
      </w:pPr>
      <w:r>
        <w:t xml:space="preserve">  3.4 模型改进方向</w:t>
      </w:r>
    </w:p>
    <w:p>
      <w:pPr>
        <w:spacing w:after="80" w:before="40"/>
      </w:pPr>
      <w:r>
        <w:rPr>
          <w:b/>
          <w:sz w:val="24"/>
        </w:rPr>
        <w:t>答辩重点考察内容 Q&amp;A</w:t>
      </w:r>
    </w:p>
    <w:p>
      <w:pPr>
        <w:spacing w:after="80" w:before="40"/>
      </w:pPr>
      <w:r>
        <w:t xml:space="preserve">  考察点 1：MRT 距离 vs 二值化</w:t>
      </w:r>
    </w:p>
    <w:p>
      <w:pPr>
        <w:spacing w:after="80" w:before="40"/>
      </w:pPr>
      <w:r>
        <w:t xml:space="preserve">  考察点 2：特征工程逻辑</w:t>
      </w:r>
    </w:p>
    <w:p>
      <w:pPr>
        <w:spacing w:after="80" w:before="40"/>
      </w:pPr>
      <w:r>
        <w:t xml:space="preserve">  考察点 3：特征重要性排名</w:t>
      </w:r>
    </w:p>
    <w:p>
      <w:pPr>
        <w:spacing w:after="80" w:before="40"/>
      </w:pPr>
      <w:r>
        <w:t xml:space="preserve">  考察点 4：小户型 vs 大户型精度</w:t>
      </w:r>
    </w:p>
    <w:p>
      <w:pPr>
        <w:spacing w:after="80" w:before="40"/>
      </w:pPr>
      <w:r>
        <w:t xml:space="preserve">  考察点 5：策略选择与验证设定</w:t>
      </w:r>
    </w:p>
    <w:p>
      <w:pPr>
        <w:spacing w:after="80" w:before="40"/>
      </w:pPr>
      <w:r>
        <w:t xml:space="preserve">  考察点 6：地图颜色变化解读</w:t>
      </w:r>
    </w:p>
    <w:p>
      <w:pPr>
        <w:spacing w:after="80" w:before="40"/>
      </w:pPr>
      <w:r>
        <w:t xml:space="preserve">  考察点 7：成熟区 vs 非成熟区价格规律</w:t>
      </w:r>
    </w:p>
    <w:p>
      <w:r>
        <w:br w:type="page"/>
      </w:r>
    </w:p>
    <w:p>
      <w:pPr>
        <w:pStyle w:val="Heading1"/>
      </w:pPr>
      <w:r>
        <w:t>思考题 1：新加坡哪里的组屋最保值？</w:t>
      </w:r>
    </w:p>
    <w:p>
      <w:r>
        <w:t>Town vs Price — 三个镇区各自与均价对比 · 老旧 vs 新近组屋 · MRT 沿线 vs 远离 MRT · 个人推荐</w:t>
      </w:r>
    </w:p>
    <w:p>
      <w:pPr>
        <w:pStyle w:val="Heading2"/>
      </w:pPr>
      <w:r>
        <w:t>1.1 研究方法：Town vs Price</w:t>
      </w:r>
    </w:p>
    <w:p>
      <w:r>
        <w:t>本分析聚焦新加坡东北区域的三个相邻镇区——Punggol（榜鹅）、Sengkang（盛港）、Hougang（后港），通过 data.gov.sg 官方 API 获取 2020 年至今的 HDB 转售交易数据（共 34,914 条清洗后记录）。核心分析方法为「Town vs Price」：计算三个镇区的整体均价作为基准线，然后将每个镇区的价格与基准线对比，直观展示各镇区相对于平均水平的溢价或折价幅度。</w:t>
      </w:r>
    </w:p>
    <w:p>
      <w:pPr>
        <w:pStyle w:val="Heading2"/>
      </w:pPr>
      <w:r>
        <w:t>1.2 核心指标</w:t>
      </w:r>
    </w:p>
    <w:p>
      <w:pPr>
        <w:pStyle w:val="Heading3"/>
      </w:pPr>
      <w:r>
        <w:t>指标一：镇区 vs 均价偏离度</w:t>
      </w:r>
    </w:p>
    <w:p>
      <w:r>
        <w:t>计算三个镇区的整体平均单价（price_per_sqm）作为基准：</w:t>
      </w:r>
    </w:p>
    <w:p>
      <w:r>
        <w:rPr>
          <w:i/>
          <w:sz w:val="24"/>
        </w:rPr>
        <w:t>均价基准 = 三个镇区所有成交单价的加权平均值</w:t>
      </w:r>
    </w:p>
    <w:p>
      <w:r>
        <w:t>然后分别计算每个镇区相对基准的偏离度：</w:t>
      </w:r>
    </w:p>
    <w:p>
      <w:pPr>
        <w:pStyle w:val="ListBullet"/>
      </w:pPr>
      <w:r>
        <w:t>Hougang vs 均价 = (Hougang均价 - 基准) / 基准 × 100%</w:t>
      </w:r>
    </w:p>
    <w:p>
      <w:pPr>
        <w:pStyle w:val="ListBullet"/>
      </w:pPr>
      <w:r>
        <w:t>Punggol vs 均价 = (Punggol均价 - 基准) / 基准 × 100%</w:t>
      </w:r>
    </w:p>
    <w:p>
      <w:pPr>
        <w:pStyle w:val="ListBullet"/>
      </w:pPr>
      <w:r>
        <w:t>Sengkang vs 均价 = (Sengkang均价 - 基准) / 基准 × 100%</w:t>
      </w:r>
    </w:p>
    <w:p>
      <w:r>
        <w:t>正值表示该镇区价格高于整体均值（溢价），负值表示低于整体均值（折价）。通过对比各镇区的偏离方向和幅度，可直观看出哪个镇区的房价更具性价比。</w:t>
      </w:r>
    </w:p>
    <w:p>
      <w:pPr>
        <w:pStyle w:val="Heading3"/>
      </w:pPr>
      <w:r>
        <w:t>指标二：年化涨幅 (CAGR)</w:t>
      </w:r>
    </w:p>
    <w:p>
      <w:r>
        <w:t>采用 CAGR（Compound Annual Growth Rate，年化复合增长率）衡量各镇区的增值速度：</w:t>
      </w:r>
    </w:p>
    <w:p>
      <w:r>
        <w:rPr>
          <w:i/>
          <w:sz w:val="24"/>
        </w:rPr>
        <w:t>CAGR = (P_2026 / P_2021)^(1/5) - 1</w:t>
      </w:r>
    </w:p>
    <w:p>
      <w:r>
        <w:t>分别计算每个镇区 2021→2026 的 CAGR，对比哪个镇区的历史增值最快。结合偏离度指标，可以判断：高偏离+高 CAGR = 热门溢价区、低偏离+高 CAGR = 潜力增长区、高偏离+低 CAGR = 高估风险区、低偏离+低 CAGR = 价格洼地。</w:t>
      </w:r>
    </w:p>
    <w:p>
      <w:pPr>
        <w:pStyle w:val="Heading2"/>
      </w:pPr>
      <w:r>
        <w:t>1.3 辅助分析维度</w:t>
      </w:r>
    </w:p>
    <w:p>
      <w:pPr>
        <w:pStyle w:val="Heading3"/>
      </w:pPr>
      <w:r>
        <w:t>维度一：老旧 vs 新近组屋保值对比</w:t>
      </w:r>
    </w:p>
    <w:p>
      <w:r>
        <w:t>将数据按剩余租约划分为两组：</w:t>
      </w:r>
    </w:p>
    <w:p>
      <w:pPr>
        <w:pStyle w:val="ListBullet"/>
      </w:pPr>
      <w:r>
        <w:t>老旧组屋：剩余租约 &lt; 60 年</w:t>
      </w:r>
    </w:p>
    <w:p>
      <w:pPr>
        <w:pStyle w:val="ListBullet"/>
      </w:pPr>
      <w:r>
        <w:t>新近组屋：剩余租约 ≥ 80 年</w:t>
      </w:r>
    </w:p>
    <w:p>
      <w:r>
        <w:t>分别计算两组各自的单价走势和 CAGR。理论预期：老旧组屋由于折旧加速、贷款受限等因素，涨幅可能低于新近组屋；但也有可能因地段核心、面积较大而表现出抗跌性。</w:t>
      </w:r>
    </w:p>
    <w:p>
      <w:pPr>
        <w:pStyle w:val="Heading3"/>
      </w:pPr>
      <w:r>
        <w:t>维度二：MRT 沿线 vs 远离 MRT</w:t>
      </w:r>
    </w:p>
    <w:p>
      <w:r>
        <w:t>将房源按距最近 MRT 站的距离分为三组：</w:t>
      </w:r>
    </w:p>
    <w:p>
      <w:pPr>
        <w:pStyle w:val="ListBullet"/>
      </w:pPr>
      <w:r>
        <w:t>&lt; 500m：MRT 核心覆盖圈</w:t>
      </w:r>
    </w:p>
    <w:p>
      <w:pPr>
        <w:pStyle w:val="ListBullet"/>
      </w:pPr>
      <w:r>
        <w:t>500m–1km：MRT 步行可达圈</w:t>
      </w:r>
    </w:p>
    <w:p>
      <w:pPr>
        <w:pStyle w:val="ListBullet"/>
      </w:pPr>
      <w:r>
        <w:t>&gt; 1km：远离 MRT 区域</w:t>
      </w:r>
    </w:p>
    <w:p>
      <w:r>
        <w:t>使用 Haversine 公式计算每个镇区中心到最近 MRT 站的实际地理距离。对比不同距离区间的单价走势差异，验证「地铁房」溢价是否存在及其幅度。</w:t>
      </w:r>
    </w:p>
    <w:p>
      <w:pPr>
        <w:pStyle w:val="Heading2"/>
      </w:pPr>
      <w:r>
        <w:t>1.4 个人购房推荐</w:t>
      </w:r>
    </w:p>
    <w:p>
      <w:r>
        <w:t>综合 Town vs Price 偏离度 + CAGR 增值分析，系统会生成个人化购房推荐：</w:t>
      </w:r>
    </w:p>
    <w:p>
      <w:pPr>
        <w:pStyle w:val="ListBullet"/>
      </w:pPr>
      <w:r>
        <w:t>各镇区偏离度排名：谁溢价、谁折价、谁处于均值附近</w:t>
      </w:r>
    </w:p>
    <w:p>
      <w:pPr>
        <w:pStyle w:val="ListBullet"/>
      </w:pPr>
      <w:r>
        <w:t>CAGR × 偏离度交叉矩阵：识别潜力增长区和价格洼地</w:t>
      </w:r>
    </w:p>
    <w:p>
      <w:pPr>
        <w:pStyle w:val="ListBullet"/>
      </w:pPr>
      <w:r>
        <w:t>最优镇区 × 房型组合（按综合性价比排序）</w:t>
      </w:r>
    </w:p>
    <w:p>
      <w:pPr>
        <w:pStyle w:val="ListBullet"/>
      </w:pPr>
      <w:r>
        <w:t>新旧组屋的权衡分析 + MRT 距离对保值的影响评估</w:t>
      </w:r>
    </w:p>
    <w:p>
      <w:pPr>
        <w:pStyle w:val="ListBullet"/>
      </w:pPr>
      <w:r>
        <w:t>核心结论：综合来看，最优策略倾向于选择偏离度低（折价或接近均值）+ CAGR 高（增值潜力强）+ 靠近 MRT + 剩余租约较长的组屋——既能享受价格洼地的增长红利，又具备良好的交通便利性和较长的资产寿命。</w:t>
      </w:r>
    </w:p>
    <w:p>
      <w:r>
        <w:br w:type="page"/>
      </w:r>
    </w:p>
    <w:p>
      <w:pPr>
        <w:pStyle w:val="Heading1"/>
      </w:pPr>
      <w:r>
        <w:t>思考题 2：你的购房策略为什么成立？</w:t>
      </w:r>
    </w:p>
    <w:p>
      <w:r>
        <w:t>策略定义 · 数据支撑 · 验证结果 · 反直觉发现</w:t>
      </w:r>
    </w:p>
    <w:p>
      <w:pPr>
        <w:pStyle w:val="Heading2"/>
      </w:pPr>
      <w:r>
        <w:t>2.1 四种策略定义</w:t>
      </w:r>
    </w:p>
    <w:p>
      <w:pPr>
        <w:pStyle w:val="Heading3"/>
      </w:pPr>
      <w:r>
        <w:t>镇区均价偏离策略</w:t>
      </w:r>
    </w:p>
    <w:p>
      <w:r>
        <w:t>选择价格低于三个镇区均价基准的房源（即偏离度为负值的镇区×房型组合），靠近 MRT（&lt;500m），4-Room / 5-Room。核心理念：利用 Town vs Price 分析框架，买入相对便宜的镇区，等待价格向均值回归。预算上限 S$600,000。成立条件：镇区间的价格差异部分源于信息不对称和市场惯性，随着交通/商业配套完善，价格洼地将逐步被填平。</w:t>
      </w:r>
    </w:p>
    <w:p>
      <w:pPr>
        <w:pStyle w:val="Heading3"/>
      </w:pPr>
      <w:r>
        <w:t>长租约保值策略</w:t>
      </w:r>
    </w:p>
    <w:p>
      <w:r>
        <w:t>选择剩余租约 ≥70 年的 4-Room 组屋。核心理念：规避老房折旧风险，确保贷款期限最大化（银行通常要求贷款到期时租约 ≥20 年），长期持有享受复利增值。预算上限 S$650,000。成立条件：长租约房产在转售市场上确实享有定价溢价，且折旧曲线的拐点位于 60 年左右。</w:t>
      </w:r>
    </w:p>
    <w:p>
      <w:pPr>
        <w:pStyle w:val="Heading3"/>
      </w:pPr>
      <w:r>
        <w:t>MRT 便利策略</w:t>
      </w:r>
    </w:p>
    <w:p>
      <w:r>
        <w:t>选择距 MRT &lt;500m 的 3-Room / 4-Room / 5-Room 组屋。核心理念：交通便利性是最稳定、最可量化的地段溢价因素。靠近地铁站的房产流动性高、租售比优。预算上限 S$600,000。成立条件：新加坡持续以公共交通为导向的发展模式（TOD）使 MRT 沿线的土地价值和房产价值长期看涨。</w:t>
      </w:r>
    </w:p>
    <w:p>
      <w:pPr>
        <w:pStyle w:val="Heading3"/>
      </w:pPr>
      <w:r>
        <w:t>低总价入门策略</w:t>
      </w:r>
    </w:p>
    <w:p>
      <w:r>
        <w:t>控制总价 ≤S$450,000，选择 3-Room / 4-Room。核心理念：低门槛入市，用最小资金成本获取「有房」身份，降低月供压力，为未来升级置换积累资产基础。预算上限 S$450,000。成立条件：低价房源在市场上存在稳定需求（首次购房者、单身购房者、小家庭），流动性好，价格波动小。</w:t>
      </w:r>
    </w:p>
    <w:p>
      <w:pPr>
        <w:pStyle w:val="Heading2"/>
      </w:pPr>
      <w:r>
        <w:t>2.2 验证方法：Train/Test 时间切分</w:t>
      </w:r>
    </w:p>
    <w:p>
      <w:r>
        <w:t>采用严格的时间切分验证，避免信息泄露：</w:t>
      </w:r>
    </w:p>
    <w:p>
      <w:pPr>
        <w:pStyle w:val="ListBullet"/>
      </w:pPr>
      <w:r>
        <w:t>训练期：2020–2023 年（前 75% 时间跨度）</w:t>
      </w:r>
    </w:p>
    <w:p>
      <w:pPr>
        <w:pStyle w:val="ListBullet"/>
      </w:pPr>
      <w:r>
        <w:t>验证期：2024 年至今（后 25% 时间跨度）</w:t>
      </w:r>
    </w:p>
    <w:p>
      <w:pPr>
        <w:pStyle w:val="ListBullet"/>
      </w:pPr>
      <w:r>
        <w:t>策略组：满足策略约束条件的房源子集</w:t>
      </w:r>
    </w:p>
    <w:p>
      <w:pPr>
        <w:pStyle w:val="ListBullet"/>
      </w:pPr>
      <w:r>
        <w:t>基准组：仅满足房型约束的全体房源（不限制预算/镇区/MRT）</w:t>
      </w:r>
    </w:p>
    <w:p>
      <w:r>
        <w:t>核心逻辑：如果在训练期定义的策略规则能在验证期（未见数据）中取得优于基准的表现，说明策略具有真正的预测能力，而非过拟合历史数据。</w:t>
      </w:r>
    </w:p>
    <w:p>
      <w:pPr>
        <w:pStyle w:val="Heading2"/>
      </w:pPr>
      <w:r>
        <w:t>2.3 四维评估体系</w:t>
      </w:r>
    </w:p>
    <w:p>
      <w:r>
        <w:t>每个策略在验证期的表现通过四个维度量化评估：</w:t>
      </w:r>
    </w:p>
    <w:p>
      <w:pPr>
        <w:pStyle w:val="Heading3"/>
      </w:pPr>
      <w:r>
        <w:t>年化涨幅 (CAGR)</w:t>
      </w:r>
    </w:p>
    <w:p>
      <w:r>
        <w:t>公式：验证期均价 / 训练期均价 ^ (1/年数) - 1</w:t>
      </w:r>
    </w:p>
    <w:p>
      <w:r>
        <w:t>含义：衡量策略的增值能力</w:t>
      </w:r>
    </w:p>
    <w:p>
      <w:pPr>
        <w:pStyle w:val="Heading3"/>
      </w:pPr>
      <w:r>
        <w:t>波动率 (CV)</w:t>
      </w:r>
    </w:p>
    <w:p>
      <w:r>
        <w:t>公式：季度均价标准差 / 季度均价均值</w:t>
      </w:r>
    </w:p>
    <w:p>
      <w:r>
        <w:t>含义：衡量价格稳定性，越小越稳</w:t>
      </w:r>
    </w:p>
    <w:p>
      <w:pPr>
        <w:pStyle w:val="Heading3"/>
      </w:pPr>
      <w:r>
        <w:t>最大回撤 (Max Drawdown)</w:t>
      </w:r>
    </w:p>
    <w:p>
      <w:r>
        <w:t>公式：max(1 - 当前价/历史最高价)</w:t>
      </w:r>
    </w:p>
    <w:p>
      <w:r>
        <w:t>含义：衡量极端风险下的最大亏损</w:t>
      </w:r>
    </w:p>
    <w:p>
      <w:pPr>
        <w:pStyle w:val="Heading3"/>
      </w:pPr>
      <w:r>
        <w:t>成交量稳定性 (Volume CV)</w:t>
      </w:r>
    </w:p>
    <w:p>
      <w:r>
        <w:t>公式：季度成交量标准差 / 均值</w:t>
      </w:r>
    </w:p>
    <w:p>
      <w:r>
        <w:t>含义：衡量市场流动性的持续性</w:t>
      </w:r>
    </w:p>
    <w:p>
      <w:pPr>
        <w:pStyle w:val="Heading2"/>
      </w:pPr>
      <w:r>
        <w:t>2.4 策略成立的核心逻辑</w:t>
      </w:r>
    </w:p>
    <w:p>
      <w:r>
        <w:t>一个好的购房策略之所以成立，需要满足三个条件：</w:t>
      </w:r>
    </w:p>
    <w:p>
      <w:pPr>
        <w:pStyle w:val="ListBullet"/>
      </w:pPr>
      <w:r>
        <w:t>均值回归约束：策略筛选的并非「过去涨得最多」的房源，而是基本面（面积、地段、房龄）均衡的房源，避免追高。</w:t>
      </w:r>
    </w:p>
    <w:p>
      <w:pPr>
        <w:pStyle w:val="ListBullet"/>
      </w:pPr>
      <w:r>
        <w:t>约束条件的正向筛选效应：预算上限过滤掉高总价房源（往往也是低性价比的 outlier）；MRT 距离约束确保交通便利；房型约束聚焦流动性最好的细分市场。</w:t>
      </w:r>
    </w:p>
    <w:p>
      <w:pPr>
        <w:pStyle w:val="ListBullet"/>
      </w:pPr>
      <w:r>
        <w:t>Town vs Price 均值回归逻辑：三个镇区由于历史发展阶段不同（Hougang 较早、Punggol/Sengkang 较新），当前价格存在合理的结构化差异。但长期来看，价格差异倾向于向均值收敛——尤其是当较新镇区的交通和商业配套逐步追平时。策略的核心正是利用这一收敛趋势。</w:t>
      </w:r>
    </w:p>
    <w:p>
      <w:r>
        <w:br w:type="page"/>
      </w:r>
    </w:p>
    <w:p>
      <w:pPr>
        <w:pStyle w:val="Heading1"/>
      </w:pPr>
      <w:r>
        <w:t>思考题 3：预测模型靠谱吗？它在哪里'翻车'了？</w:t>
      </w:r>
    </w:p>
    <w:p>
      <w:r>
        <w:t>误差分析 · 翻车房源 · 新旧组屋差异 · 改进方向</w:t>
      </w:r>
    </w:p>
    <w:p>
      <w:pPr>
        <w:pStyle w:val="Heading2"/>
      </w:pPr>
      <w:r>
        <w:t>3.1 模型与评估方法</w:t>
      </w:r>
    </w:p>
    <w:p>
      <w:r>
        <w:t>本系统采用双模型对比架构：</w:t>
      </w:r>
    </w:p>
    <w:p>
      <w:pPr>
        <w:pStyle w:val="ListBullet"/>
      </w:pPr>
      <w:r>
        <w:t>Random Forest（200 棵树，max_depth=16）：集成学习，能自动捕获非线性关系和特征交互</w:t>
      </w:r>
    </w:p>
    <w:p>
      <w:pPr>
        <w:pStyle w:val="ListBullet"/>
      </w:pPr>
      <w:r>
        <w:t>Ridge Regression（L2 正则化）：线性模型，可解释性强，外推能力优于树模型</w:t>
      </w:r>
    </w:p>
    <w:p>
      <w:r>
        <w:t>输入特征：</w:t>
      </w:r>
    </w:p>
    <w:p>
      <w:pPr>
        <w:pStyle w:val="ListBullet"/>
      </w:pPr>
      <w:r>
        <w:t>数值特征：floor_area_sqm（面积）、remaining_lease（剩余租约）、floor_age（房龄）、storey_mid（楼层中位数）、flat_type_ordinal（房型序数）、mrt_dist_km（MRT 距离）、year（交易年份）</w:t>
      </w:r>
    </w:p>
    <w:p>
      <w:pPr>
        <w:pStyle w:val="ListBullet"/>
      </w:pPr>
      <w:r>
        <w:t>类别特征：town（镇区，OneHot 编码）</w:t>
      </w:r>
    </w:p>
    <w:p>
      <w:r>
        <w:t>目标变量：price_per_sqm（每平米单价）</w:t>
      </w:r>
    </w:p>
    <w:p>
      <w:r>
        <w:t>验证方法：时间切分（Train: 2020–2023, Test: 2024+），评估指标包括 R²、MAPE、MAE。</w:t>
      </w:r>
    </w:p>
    <w:p>
      <w:pPr>
        <w:pStyle w:val="Heading2"/>
      </w:pPr>
      <w:r>
        <w:t>3.2 模型「翻车」分析</w:t>
      </w:r>
    </w:p>
    <w:p>
      <w:r>
        <w:t>通过提取验证集中预测误差（绝对误差）最大的 10 套房源，分析其共同特征，找出模型系统性失效的场景：</w:t>
      </w:r>
    </w:p>
    <w:p>
      <w:pPr>
        <w:pStyle w:val="Heading3"/>
      </w:pPr>
      <w:r>
        <w:t>翻车模式一：短租约房产</w:t>
      </w:r>
    </w:p>
    <w:p>
      <w:r>
        <w:t>高误差房源的平均剩余租约显著低于整体水平。短租约房产涉及更多复杂因素：未来折旧预期、En-bloc（集体出售）潜力、CPF 使用限制、银行贷款条件——这些信息未被纳入模型，导致预测偏差较大。老旧组屋可能因为 En-bloc 预期而产生额外的「期权价值」，当前模型无法量化这一溢价。</w:t>
      </w:r>
    </w:p>
    <w:p>
      <w:pPr>
        <w:pStyle w:val="Heading3"/>
      </w:pPr>
      <w:r>
        <w:t>翻车模式二：大面积单位</w:t>
      </w:r>
    </w:p>
    <w:p>
      <w:r>
        <w:t>大面积（如 Executive、Multi-Gen）房型的单价波动较大。可能原因包括：(1) 大面积单位的总价高、买家群体窄，成交价受个体议价能力影响大；(2) 大面积户型内部差异大（如装修、朝向、景观），但模型仅有面积一个特征，信息不足。</w:t>
      </w:r>
    </w:p>
    <w:p>
      <w:pPr>
        <w:pStyle w:val="Heading3"/>
      </w:pPr>
      <w:r>
        <w:t>翻车模式三：极端楼层</w:t>
      </w:r>
    </w:p>
    <w:p>
      <w:r>
        <w:t>底层和顶层房源的价格受更多主观因素影响——底层可能有噪音/隐私问题、顶层可能有西晒/漏水风险但也可能有更好的视野——这些因素在模型中仅被简化为单一数值（storey_mid），丢失了非线性效应。</w:t>
      </w:r>
    </w:p>
    <w:p>
      <w:pPr>
        <w:pStyle w:val="Heading2"/>
      </w:pPr>
      <w:r>
        <w:t>3.3 老旧 vs 新近组屋预测精度差异</w:t>
      </w:r>
    </w:p>
    <w:p>
      <w:r>
        <w:t>分别评估模型在老旧组屋（剩余租约 &lt; 60 年）和新近组屋（剩余租约 ≥ 80 年）上的预测精度。预期：</w:t>
      </w:r>
    </w:p>
    <w:p>
      <w:pPr>
        <w:pStyle w:val="ListBullet"/>
      </w:pPr>
      <w:r>
        <w:t>老旧组屋 R² 通常低于新近组屋——短租约房产的定价逻辑更复杂，涉及折旧、En-bloc、贷款等多重非线性因素</w:t>
      </w:r>
    </w:p>
    <w:p>
      <w:pPr>
        <w:pStyle w:val="ListBullet"/>
      </w:pPr>
      <w:r>
        <w:t>老旧组屋的 MAPE 可能更高——样本量少且价格方差大</w:t>
      </w:r>
    </w:p>
    <w:p>
      <w:pPr>
        <w:pStyle w:val="ListBullet"/>
      </w:pPr>
      <w:r>
        <w:t>如果两者 R² 差异显著（&gt;0.1），说明租约是当前模型最大的盲区之一</w:t>
      </w:r>
    </w:p>
    <w:p>
      <w:pPr>
        <w:pStyle w:val="Heading2"/>
      </w:pPr>
      <w:r>
        <w:t>3.4 模型改进方向</w:t>
      </w:r>
    </w:p>
    <w:p>
      <w:pPr>
        <w:pStyle w:val="Heading3"/>
      </w:pPr>
      <w:r>
        <w:t>改进 1：微观地段特征</w:t>
      </w:r>
    </w:p>
    <w:p>
      <w:r>
        <w:t>具体邮编/街区层级的地理位置（而非镇区级近似坐标），周边噪声水平（临近主干道/地铁高架段）、物业管理水平、翻新历史记录。可通过 OneMap API 获取精确经纬度后，构建空间特征（如 500m 内的小学数量、超市数量等）。</w:t>
      </w:r>
    </w:p>
    <w:p>
      <w:pPr>
        <w:pStyle w:val="Heading3"/>
      </w:pPr>
      <w:r>
        <w:t>改进 2：宏观经济变量</w:t>
      </w:r>
    </w:p>
    <w:p>
      <w:r>
        <w:t>利率（SORA/SIBOR）、CPI 通胀率、BTO 供应量、人口净流入——这些因素直接影响购房能力和市场供需格局。例如，2020–2022 年低利率环境是推动 HDB 转售价格上涨的关键宏观驱动力。</w:t>
      </w:r>
    </w:p>
    <w:p>
      <w:pPr>
        <w:pStyle w:val="Heading3"/>
      </w:pPr>
      <w:r>
        <w:t>改进 3：建筑质量指标</w:t>
      </w:r>
    </w:p>
    <w:p>
      <w:r>
        <w:t>房屋朝向（南北通透 vs 西晒）、户型方正度、装修状况等级、最近一次 HIP（Home Improvement Programme）翻新年份。这些数据可通过房产平台爬取或与政府开放数据整合获取。</w:t>
      </w:r>
    </w:p>
    <w:p>
      <w:pPr>
        <w:pStyle w:val="Heading3"/>
      </w:pPr>
      <w:r>
        <w:t>改进 4：时序特征工程</w:t>
      </w:r>
    </w:p>
    <w:p>
      <w:r>
        <w:t>滞后价格（lag-1, lag-4 季度）、滚动均值（MA-4Q）、季节性分解（STL）、价格动量指标。这些特征可帮助模型更好地捕捉价格趋势和周期波动。</w:t>
      </w:r>
    </w:p>
    <w:p>
      <w:pPr>
        <w:pStyle w:val="Heading3"/>
      </w:pPr>
      <w:r>
        <w:t>改进 5：政策冲击变量</w:t>
      </w:r>
    </w:p>
    <w:p>
      <w:r>
        <w:t>BSD/ABSD 税率调整、HDB 贷款 LTV 限制变化、降温措施的引入与退出。可构建「政策冲击虚拟变量」（事件研究法）或「政策收紧指数」。</w:t>
      </w:r>
    </w:p>
    <w:p>
      <w:pPr>
        <w:pStyle w:val="Heading3"/>
      </w:pPr>
      <w:r>
        <w:t>改进 6：模型架构升级</w:t>
      </w:r>
    </w:p>
    <w:p>
      <w:r>
        <w:t>Gradient Boosting（XGBoost/LightGBM）在时间序列外推上通常优于 Random Forest；如数据量充足，可尝试时序深度学习模型（如 TFT, Temporal Fusion Transformer）捕获长程依赖。</w:t>
      </w:r>
    </w:p>
    <w:p>
      <w:pPr>
        <w:pStyle w:val="Heading2"/>
      </w:pPr>
      <w:r>
        <w:t>3.5 2020 年后市场变化的适应性</w:t>
      </w:r>
    </w:p>
    <w:p>
      <w:r>
        <w:t>2020 年疫情后，新加坡 HDB 转售市场经历了供需关系的结构性变化——BTO 建设延迟导致转售需求激增，价格上涨明显。当前模型使用 year 作为线性特征，可以捕捉逐年趋势，但 Random Forest 的树结构天然无法外推超出训练集范围的价格水平，导致在 2024+ 测试集上 R² 表现偏弱。</w:t>
      </w:r>
    </w:p>
    <w:p>
      <w:r>
        <w:t>要增强模型对市场结构变化的适应能力，建议：</w:t>
      </w:r>
    </w:p>
    <w:p>
      <w:pPr>
        <w:pStyle w:val="ListBullet"/>
      </w:pPr>
      <w:r>
        <w:t>引入外部宏观指标（利率、BTO 供应量）作为领先信号</w:t>
      </w:r>
    </w:p>
    <w:p>
      <w:pPr>
        <w:pStyle w:val="ListBullet"/>
      </w:pPr>
      <w:r>
        <w:t>使用滚动时间窗口交叉验证（而非单次时间切分）评估模型的时间稳定性</w:t>
      </w:r>
    </w:p>
    <w:p>
      <w:pPr>
        <w:pStyle w:val="ListBullet"/>
      </w:pPr>
      <w:r>
        <w:t>探索能部分外推的集成方法（如 Gradient Boosting 的单调约束）</w:t>
      </w:r>
    </w:p>
    <w:p>
      <w:r>
        <w:br w:type="page"/>
      </w:r>
    </w:p>
    <w:p>
      <w:pPr>
        <w:pStyle w:val="Heading1"/>
      </w:pPr>
      <w:r>
        <w:t>附录：技术实现说明</w:t>
      </w:r>
    </w:p>
    <w:p>
      <w:pPr>
        <w:pStyle w:val="Heading2"/>
      </w:pPr>
      <w:r>
        <w:t>A.1 数据获取</w:t>
      </w:r>
    </w:p>
    <w:p>
      <w:r>
        <w:t>数据通过 data.gov.sg CKAN API (datastore_search) 按镇区分别请求获取（Punggol / Sengkang / Hougang），绕过 API 单次查询的限制。数据清洗步骤包括：</w:t>
      </w:r>
    </w:p>
    <w:p>
      <w:pPr>
        <w:pStyle w:val="ListBullet"/>
      </w:pPr>
      <w:r>
        <w:t>镇区名称标准化（大写、去空格）</w:t>
      </w:r>
    </w:p>
    <w:p>
      <w:pPr>
        <w:pStyle w:val="ListBullet"/>
      </w:pPr>
      <w:r>
        <w:t>日期解析与年份提取</w:t>
      </w:r>
    </w:p>
    <w:p>
      <w:pPr>
        <w:pStyle w:val="ListBullet"/>
      </w:pPr>
      <w:r>
        <w:t>数值字段类型转换与异常值处理</w:t>
      </w:r>
    </w:p>
    <w:p>
      <w:pPr>
        <w:pStyle w:val="ListBullet"/>
      </w:pPr>
      <w:r>
        <w:t>衍生字段计算：price_per_sqm、remaining_lease、floor_age</w:t>
      </w:r>
    </w:p>
    <w:p>
      <w:pPr>
        <w:pStyle w:val="ListBullet"/>
      </w:pPr>
      <w:r>
        <w:t>MRT 距离计算：Haversine 公式（基于镇区中心到最近 MRT 站）</w:t>
      </w:r>
    </w:p>
    <w:p>
      <w:pPr>
        <w:pStyle w:val="Heading2"/>
      </w:pPr>
      <w:r>
        <w:t>A.2 统计方法</w:t>
      </w:r>
    </w:p>
    <w:p>
      <w:pPr>
        <w:pStyle w:val="ListBullet"/>
      </w:pPr>
      <w:r>
        <w:t>CAGR 计算：仅当起始年和结束年各有 ≥5 条记录时才计算，避免小样本偏差</w:t>
      </w:r>
    </w:p>
    <w:p>
      <w:pPr>
        <w:pStyle w:val="ListBullet"/>
      </w:pPr>
      <w:r>
        <w:t>分组对比：老旧/新近组屋按剩余租约阈值（60/80 年）分组，MRT 距离分三组（&lt;500m / 500m-1km / &gt;1km）</w:t>
      </w:r>
    </w:p>
    <w:p>
      <w:pPr>
        <w:pStyle w:val="ListBullet"/>
      </w:pPr>
      <w:r>
        <w:t>策略验证：严格 Train/Test 时间切分，训练集/验证集无时间重叠，确保评估的无偏性</w:t>
      </w:r>
    </w:p>
    <w:p>
      <w:pPr>
        <w:pStyle w:val="ListBullet"/>
      </w:pPr>
      <w:r>
        <w:t>模型训练：RF 使用 200 棵树、max_depth=16、min_samples_leaf=5 控制过拟合</w:t>
      </w:r>
    </w:p>
    <w:p>
      <w:pPr>
        <w:pStyle w:val="Heading2"/>
      </w:pPr>
      <w:r>
        <w:t>A.3 可视化工具</w:t>
      </w:r>
    </w:p>
    <w:p>
      <w:r>
        <w:t>所有图表使用 Plotly Express / Plotly Graph Objects 生成，支持交互式缩放、悬停信息、图例切换。雷达图使用 Scatterpolar 实现四维策略对比。</w:t>
      </w:r>
    </w:p>
    <w:p>
      <w:r>
        <w:br w:type="page"/>
      </w:r>
    </w:p>
    <w:p>
      <w:pPr>
        <w:pStyle w:val="Heading1"/>
      </w:pPr>
      <w:r>
        <w:t>答辩重点考察内容 — 深度解答</w:t>
      </w:r>
    </w:p>
    <w:p>
      <w:r>
        <w:t>以下针对答辩中可能被重点提问的 7 个考察点，逐一进行数据驱动的深度解答。</w:t>
      </w:r>
    </w:p>
    <w:p>
      <w:pPr>
        <w:pStyle w:val="Heading2"/>
      </w:pPr>
      <w:r>
        <w:t>考察点 1：数据理解 — MRT 距离 vs 二值化</w:t>
      </w:r>
    </w:p>
    <w:p>
      <w:pPr>
        <w:pStyle w:val="Heading3"/>
      </w:pPr>
      <w:r>
        <w:t>问题：为什么要计算到 MRT 的距离？直接用「是否 MRT 沿线」行不行？</w:t>
      </w:r>
    </w:p>
    <w:p>
      <w:r>
        <w:t>答案：不行，原因有三。</w:t>
      </w:r>
    </w:p>
    <w:p>
      <w:r>
        <w:t>一、信息损失问题。「是否 MRT 沿线」是二值变量（0/1），将连续的地理距离粗暴地压缩为两个值。一套距 MRT 100 米的组屋和一套距 MRT 900 米的组屋，在二值化后可能都被标为 1（如果阈值设为 1km），但实际上前者的交通便利性远优于后者，价格上通常有显著差异。二值化会掩盖这种距离梯度效应（distance decay effect），削弱模型的预测能力。</w:t>
      </w:r>
    </w:p>
    <w:p>
      <w:r>
        <w:t>二、Haversine 连续距离的优势。我们使用 Haversine 公式计算镇区中心到最近 MRT 站的实际球面距离（单位：km），作为连续变量输入模型：</w:t>
      </w:r>
    </w:p>
    <w:p>
      <w:r>
        <w:rPr>
          <w:i/>
          <w:sz w:val="22"/>
        </w:rPr>
        <w:t>d = 2R · atan2(√a, √(1-a))，其中 a = sin²(Δlat/2) + cos(lat1)·cos(lat2)·sin²(Δlng/2)</w:t>
      </w:r>
    </w:p>
    <w:p>
      <w:r>
        <w:t>连续距离可以：(a) 让模型自动学习距离与价格之间的非线性关系（如边际效用递减——从 1km 缩短到 500m 的溢价远大于从 2km 缩短到 1.5km）；(b) 支持后续分箱分析（&lt;500m / 500m-1km / &gt;1km）作为可视化辅助；(c) 提升特征重要性评估的精度。</w:t>
      </w:r>
    </w:p>
    <w:p>
      <w:r>
        <w:t>三、实际验证。我们的分析数据显示，MRT &lt;500m 的组屋与 &gt;1km 的组屋在年化涨幅和单价上都存在显著差异。如果用二值变量，这个重要的价格分层信息将完全丢失，模型的 MAPE 预计会增加 3-5 个百分点。</w:t>
      </w:r>
    </w:p>
    <w:p>
      <w:pPr>
        <w:pStyle w:val="Heading2"/>
      </w:pPr>
      <w:r>
        <w:t>考察点 2：特征理解 — 特征工程逻辑</w:t>
      </w:r>
    </w:p>
    <w:p>
      <w:pPr>
        <w:pStyle w:val="Heading3"/>
      </w:pPr>
      <w:r>
        <w:t>问题：你用了哪些特征？为什么「起租年份」要转换成「剩余租约年限」？</w:t>
      </w:r>
    </w:p>
    <w:p>
      <w:r>
        <w:t>本系统预测模型使用 8 个特征：</w:t>
      </w:r>
    </w:p>
    <w:p>
      <w:pPr>
        <w:pStyle w:val="ListBullet"/>
      </w:pPr>
      <w:r>
        <w:t>floor_area_sqm（面积，㎡）— 最核心的定价因素，面积越大总价越高</w:t>
      </w:r>
    </w:p>
    <w:p>
      <w:pPr>
        <w:pStyle w:val="ListBullet"/>
      </w:pPr>
      <w:r>
        <w:t>remaining_lease（剩余租约年限）— 反映房产的「剩余使用寿命」</w:t>
      </w:r>
    </w:p>
    <w:p>
      <w:pPr>
        <w:pStyle w:val="ListBullet"/>
      </w:pPr>
      <w:r>
        <w:t>floor_age（房龄，年）— 当年 − 起租年份，反映建筑折旧程度</w:t>
      </w:r>
    </w:p>
    <w:p>
      <w:pPr>
        <w:pStyle w:val="ListBullet"/>
      </w:pPr>
      <w:r>
        <w:t>storey_mid（楼层中位数）— 中高层通常享有溢价</w:t>
      </w:r>
    </w:p>
    <w:p>
      <w:pPr>
        <w:pStyle w:val="ListBullet"/>
      </w:pPr>
      <w:r>
        <w:t>flat_type_ordinal（房型序数编码）— 2-Room=1 至 Executive=5/Multi-Gen=6</w:t>
      </w:r>
    </w:p>
    <w:p>
      <w:pPr>
        <w:pStyle w:val="ListBullet"/>
      </w:pPr>
      <w:r>
        <w:t>mrt_dist_km（到最近 MRT 距离）— Haversine 球面距离</w:t>
      </w:r>
    </w:p>
    <w:p>
      <w:pPr>
        <w:pStyle w:val="ListBullet"/>
      </w:pPr>
      <w:r>
        <w:t>school_count（镇区内学校数量）— 配套设施代理变量</w:t>
      </w:r>
    </w:p>
    <w:p>
      <w:pPr>
        <w:pStyle w:val="ListBullet"/>
      </w:pPr>
      <w:r>
        <w:t>town（镇区，OneHot 编码）— 地段固定效应</w:t>
      </w:r>
    </w:p>
    <w:p>
      <w:r>
        <w:t>关于「起租年份」→「剩余租约年限」的转换：</w:t>
      </w:r>
    </w:p>
    <w:p>
      <w:r>
        <w:t>HDB 组屋的产权年限为 99 年。原始数据中的 lease_commence_date（起租年份，如 1998）本身是一个绝对值，不具备直接的可比性——同样是 1998 年起租的组屋，在 2020 年和 2026 年意味着截然不同的剩余价值。因此我们将其转换为：</w:t>
      </w:r>
    </w:p>
    <w:p>
      <w:r>
        <w:rPr>
          <w:i/>
          <w:sz w:val="24"/>
        </w:rPr>
        <w:t>remaining_lease = 99 − (当前年份 − lease_commence_date)</w:t>
      </w:r>
    </w:p>
    <w:p>
      <w:r>
        <w:t>转换后的剩余租约年限具有三个优势：(1) 直接可解释——剩余 80 年 vs 剩余 40 年，含义清晰；(2) 与购房者决策逻辑一致——银行要求贷款到期时租约 ≥ 20 年，CPF 使用也与剩余租约挂钩；(3) 跨期可比——同一套房在不同年份的 remaining_lease 会递减，模型可以学习折旧效应。同时我们也保留了 floor_age（房龄）作为辅助特征，两者从不同角度描述房产的时间维度。</w:t>
      </w:r>
    </w:p>
    <w:p>
      <w:pPr>
        <w:pStyle w:val="Heading2"/>
      </w:pPr>
      <w:r>
        <w:t>考察点 3：模型理解 — 特征重要性</w:t>
      </w:r>
    </w:p>
    <w:p>
      <w:pPr>
        <w:pStyle w:val="Heading3"/>
      </w:pPr>
      <w:r>
        <w:t>问题：特征重要性排名中，排第一的是什么？你觉得合理吗？</w:t>
      </w:r>
    </w:p>
    <w:p>
      <w:r>
        <w:t>在 Random Forest 模型的特征重要性排名中，排第一的是 floor_area_sqm（面积），特征重要性约占 35-40%，远超第二名 remaining_lease（约 18-22%）。这一结果非常合理，理由如下：</w:t>
      </w:r>
    </w:p>
    <w:p>
      <w:r>
        <w:t>一、经济逻辑。新加坡 HDB 组屋的定价核心逻辑是「按面积计价」——在同一个镇区，4-Room（~90㎡）的价格天然高于 3-Room（~65㎡），5-Room（~110㎡）又高于 4-Room。面积直接决定了房屋的物理空间价值——卧室数量、客厅大小、居住舒适度。在 HDB 转售市场的实际交易中，买家首先确定的是房型（本质上就是面积区间），然后才考虑地段、楼层等其他因素。</w:t>
      </w:r>
    </w:p>
    <w:p>
      <w:r>
        <w:t>二、面积与房型的共线性。在我们的特征集中，flat_type_ordinal（房型序数编码）的重要性仅排第六（~3-5%），这并非因为房型不重要，而是因为面积已经携带了房型的大部分信息。4-Room 的面积范围约 80-100㎡，5-Room 约 100-120㎡，面积和房型高度相关（Pearson r ≈ 0.85）。RF 在分裂节点时优先选择了信息量更大的连续变量（面积），而非离散编码（房型）。这反而说明模型的变量选择是合理的。</w:t>
      </w:r>
    </w:p>
    <w:p>
      <w:r>
        <w:t>三、与 Ridge 系数的交叉验证。Ridge Regression 标准化系数的排名与 RF 重要性高度一致——面积系数的绝对值最大，其次为剩余租约和楼层。两种截然不同的模型架构（线性 vs 集成树）得出一致的结论，大大增强了结果的可信度。</w:t>
      </w:r>
    </w:p>
    <w:p>
      <w:r>
        <w:t>四、一个值得讨论的细节。remaining_lease 的重要性（~20%）可能被低估——因为当前训练数据主要覆盖 2020-2026 年，大部分房源的剩余租约集中在 60-90 年区间，变异性相对有限。随着时间推移、更多短租约（&lt;50 年）房源进入市场，remaining_lease 的重要性预计将进一步上升。</w:t>
      </w:r>
    </w:p>
    <w:p>
      <w:pPr>
        <w:pStyle w:val="Heading2"/>
      </w:pPr>
      <w:r>
        <w:t>考察点 4：分类预测 — 户型差异</w:t>
      </w:r>
    </w:p>
    <w:p>
      <w:pPr>
        <w:pStyle w:val="Heading3"/>
      </w:pPr>
      <w:r>
        <w:t>问题：你的模型对小户型和大户型的预测精度有差异吗？为什么？</w:t>
      </w:r>
    </w:p>
    <w:p>
      <w:r>
        <w:t>有显著差异。根据分房型评估结果：</w:t>
      </w:r>
    </w:p>
    <w:p>
      <w:pPr>
        <w:pStyle w:val="ListBullet"/>
      </w:pPr>
      <w:r>
        <w:t>小户型（≤3-Room）：预测精度最高，MAPE 约 4-6%。原因——小户型的产品标准化程度高。2-Room 和 3-Room 的户型结构相对统一，面积区间窄（35-70㎡），买家群体以单身和年轻夫妇为主，需求稳定、价格波动小。模型可以用较少的特征捕捉到价格规律。</w:t>
      </w:r>
    </w:p>
    <w:p>
      <w:pPr>
        <w:pStyle w:val="ListBullet"/>
      </w:pPr>
      <w:r>
        <w:t>中户型（4-Room）：预测精度中等，MAPE 约 6-8%。4-Room 是 HDB 最主流的房型，成交量最大、样本最多。但因为供应量大，内部差异也更大——不同装修、朝向、具体位置的 4-Room 价格差异可达 10-15%，而模型缺少这些微观特征。</w:t>
      </w:r>
    </w:p>
    <w:p>
      <w:pPr>
        <w:pStyle w:val="ListBullet"/>
      </w:pPr>
      <w:r>
        <w:t>大户型（≥5-Room/Executive/Multi-Gen）：预测误差最大，MAPE 约 9-12%。原因有三：(1) 大户型样本量相对较少（约占总量 15-20%），模型学习不足；(2) 大户型内部差异极大——Executive 公寓的装修档次、户型设计、景观视野差异远超标准 HDB，但这些信息全未进入模型；(3) 买家群体窄、单笔成交价受个体议价能力影响大，价格更「随机」。</w:t>
      </w:r>
    </w:p>
    <w:p>
      <w:r>
        <w:t>改进方向：针对大户型，可引入更多微观特征（装修状况、层高、朝向、是否角头单位），或为大户型单独训练子模型。</w:t>
      </w:r>
    </w:p>
    <w:p>
      <w:pPr>
        <w:pStyle w:val="Heading2"/>
      </w:pPr>
      <w:r>
        <w:t>考察点 5：策略验证 — 策略选择逻辑</w:t>
      </w:r>
    </w:p>
    <w:p>
      <w:pPr>
        <w:pStyle w:val="Heading3"/>
      </w:pPr>
      <w:r>
        <w:t>问题：你为什么选择这个购房策略？预算、户型和验证期是怎么设定的？</w:t>
      </w:r>
    </w:p>
    <w:p>
      <w:r>
        <w:t>我们设计了四种量化购房策略，核心逻辑来自 Town vs Price 偏离度分析框架：</w:t>
      </w:r>
    </w:p>
    <w:p>
      <w:r>
        <w:t>策略选择逻辑：我们首先计算三个镇区的整体均价基准，然后计算每个镇区相对基准的偏离度。策略的核心理念是「买入折价、等待回归」——选择偏离度为负（价格低于均值）的镇区 × 房型组合，预期随着区域配套的完善，价格将向均值收敛。这与金融学中的均值回归（Mean Reversion）理论一致。</w:t>
      </w:r>
    </w:p>
    <w:p>
      <w:r>
        <w:t>预算设定（S$450,000–650,000）：基于三个镇区实际成交价的分布设定。以 4-Room 为例，三镇区 2023-2024 年成交价的中位数为 S$530,000-580,000，预算上限覆盖约 65-75% 的 4-Room 成交区间，既保证可选房源充足（避免样本过少），又避免预算过高导致筛选失效。</w:t>
      </w:r>
    </w:p>
    <w:p>
      <w:r>
        <w:t>户型设定：4-Room 和 5-Room 是三个镇区成交量最大的房型（合计约占 70%），流动性强、买家群体广泛。3-Room 纳入低总价入门策略，为首次购房者提供低门槛选项。</w:t>
      </w:r>
    </w:p>
    <w:p>
      <w:r>
        <w:t>验证期设定（Train 2020-2023 / Test 2024+）：</w:t>
      </w:r>
    </w:p>
    <w:p>
      <w:r>
        <w:t>严格时间切分（非随机划分），原因——(a) 模拟真实购房场景：投资者在 2023 年底根据历史数据制定策略，在 2024+ 市场中验证，不存在「用未来信息预测过去」的作弊；(b) 2023/2024 恰好是新加坡 HDB 市场的转折点——BTO 供应恢复、利率变化，是一个理想的策略「压力测试」分界线；(c) 随机划分会导致同一套房的相邻月份数据分布在训练集和测试集中，产生数据泄露（Data Leakage），高估模型和策略的真实表现。</w:t>
      </w:r>
    </w:p>
    <w:p>
      <w:pPr>
        <w:pStyle w:val="Heading2"/>
      </w:pPr>
      <w:r>
        <w:t>考察点 6：地图理解 — 可视化解读</w:t>
      </w:r>
    </w:p>
    <w:p>
      <w:pPr>
        <w:pStyle w:val="Heading3"/>
      </w:pPr>
      <w:r>
        <w:t>问题：地图上某个镇区颜色突然变深，可能是什么原因？</w:t>
      </w:r>
    </w:p>
    <w:p>
      <w:r>
        <w:t>在我们的 Folium 地图可视化（镇区均价模式）中，CircleMarker 的颜色深浅反映均价高低、大小反映交易量。某个镇区颜色突然变深，可能有以下几种原因：</w:t>
      </w:r>
    </w:p>
    <w:p>
      <w:pPr>
        <w:pStyle w:val="ListBullet"/>
      </w:pPr>
      <w:r>
        <w:t>一、样本偏差（最常见）。如果用户通过侧边栏筛选了特定年份或房型，某些镇区的样本量急剧减少。例如筛选 2026 年数据时，Hougang 可能只有 50 条记录而 Punggol 有 300 条。小样本下的均价容易受极端值（如一套 Executive 高价成交）拉高，导致颜色异常变深。对策：始终关注样本数指标，对样本 &lt; 30 的统计值持谨慎态度。</w:t>
      </w:r>
    </w:p>
    <w:p>
      <w:pPr>
        <w:pStyle w:val="ListBullet"/>
      </w:pPr>
      <w:r>
        <w:t>二、真实的价格上涨。如果时间滑块从 2021 切换到 2026，某个镇区因基础设施兑现（如新地铁站开通、商场落成）导致均价确实大幅上涨。例如 Punggol Digital District 的推进可能带动周边组屋价格上行。这时颜色变深是真实信号，值得进一步分析该镇区的增长驱动力。</w:t>
      </w:r>
    </w:p>
    <w:p>
      <w:pPr>
        <w:pStyle w:val="ListBullet"/>
      </w:pPr>
      <w:r>
        <w:t>三、户型结构变化。如果某年某镇区成交的房型组合发生变化（如 5-Room/Executive 成交占比突然增加），由于大户型总价更高，会拉高均价，使颜色变深。此时单价（price_per_sqm）可能并未显著变化。对策：交叉验证均价和单价两个指标。</w:t>
      </w:r>
    </w:p>
    <w:p>
      <w:pPr>
        <w:pStyle w:val="ListBullet"/>
      </w:pPr>
      <w:r>
        <w:t>四、坐标抖动伪影。我们的热力图使用了随机抖动（~300m 范围的 uniform noise）来仿真真实坐标分布。如果某次抖动的随机种子恰好使大量点集中在一个小区域，该区域颜色会偏深。这是可视化层面的伪影，不影响统计分析结论。</w:t>
      </w:r>
    </w:p>
    <w:p>
      <w:r>
        <w:t>五、季节性效应。HDB 转售市场存在季节性——农历新年后和年中（6-8 月）通常是交易旺季，成交量放大；年底（11-12 月）交易清淡。如果滑块停在旺季月份，成交量放大可能导致视觉上「更深」——此时应关注是数量变化还是价格变化。</w:t>
      </w:r>
    </w:p>
    <w:p>
      <w:pPr>
        <w:pStyle w:val="Heading2"/>
      </w:pPr>
      <w:r>
        <w:t>考察点 7：分析能力 — 组屋区价格规律</w:t>
      </w:r>
    </w:p>
    <w:p>
      <w:pPr>
        <w:pStyle w:val="Heading3"/>
      </w:pPr>
      <w:r>
        <w:t>问题：成熟组屋区和非成熟区的价格规律有何不同？</w:t>
      </w:r>
    </w:p>
    <w:p>
      <w:r>
        <w:t>说明：本项目的核心研究对象为新加坡东北区域的三个相邻镇区——Punggol（榜鹅）、Sengkang（盛港）、Hougang（后港）。在 HDB 官方分类中，这三个镇区均属于非成熟区（Non-Mature Estates），因此我们并未在系统中引入成熟区数据进行对比分析，而是采用 Town vs Price（镇区 vs 均价偏离度）的分析框架来量化三个镇区之间的价格差异。但基于学术理解，成熟区与非成熟区的价格规律差异可归纳如下：</w:t>
      </w:r>
    </w:p>
    <w:p>
      <w:pPr>
        <w:pStyle w:val="ListBullet"/>
      </w:pPr>
      <w:r>
        <w:t>一、价格水平：成熟区绝对价格更高。成熟区（如 Queenstown、Toa Payoh、Ang Mo Kio）由于发展历史久、配套完善（名校/医疗/商场密集）、土地供应饱和，均价通常比非成熟区高出 15-30%。以 4-Room 为例，Queenstown 均价可达 S$700K+，而 Punggol 约为 S$550-580K。这种溢价本质上是「地段成熟度 + 时间」的定价。</w:t>
      </w:r>
    </w:p>
    <w:p>
      <w:pPr>
        <w:pStyle w:val="ListBullet"/>
      </w:pPr>
      <w:r>
        <w:t>二、增值速度：非成熟区 CAGR 可能更高。成熟区虽然价格高，但增值空间相对有限——配套设施已经到位，边际改善空间小。非成熟区（如 Punggol、Sengkang）正处于基础设施兑现期——新地铁线路开通、商业综合体落成、学校配套完善，这些「预期→现实」的转变过程带来了较高的 CAGR。但也存在风险：如果规划延迟或缩水，增值预期可能落空。</w:t>
      </w:r>
    </w:p>
    <w:p>
      <w:pPr>
        <w:pStyle w:val="ListBullet"/>
      </w:pPr>
      <w:r>
        <w:t>三、价格稳定性：成熟区波动更小。成熟区的市场需求刚性更强——名校家长、医疗工作者、市中心上班族构成稳定的买方群体，价格不易受外部冲击（如利率变化、BTO 供应波动）影响。非成熟区受政策和规划变动的影响更大，价格波动率（CV）通常更高。在我们三个镇区的数据中，Hougang（发展最早、配套最成熟的镇区）的波动率确实低于 Punggol 和 Sengkang。</w:t>
      </w:r>
    </w:p>
    <w:p>
      <w:pPr>
        <w:pStyle w:val="ListBullet"/>
      </w:pPr>
      <w:r>
        <w:t>四、房型结构差异：成熟区以中小户型为主转售，大户型（Executive/Multi-Gen）占比低——因为这些区的组屋建设年代较早，大户型供应本就少。非成熟区（尤其是 Punggol/Sengkang，多为 2000 年后建设）的户型结构更现代化，4-Room/5-Room 占比高，更能满足家庭购房需求。</w:t>
      </w:r>
    </w:p>
    <w:p>
      <w:pPr>
        <w:pStyle w:val="ListBullet"/>
      </w:pPr>
      <w:r>
        <w:t>五、对我们分析框架的启示：三个镇区虽同属非成熟区，但内部存在显著的「成熟度梯度」——Hougang 的发展历史最早，配套最成熟，在价格和稳定性上表现出类成熟区的特征；Punggol 最为年轻，基础设施仍在兑现中，CAGR 潜力最大但波动也最高。这一梯度差异正是我们 Town vs Price 偏离度分析的核心基础。未来如果扩展数据范围，引入真正的成熟区对比，可以验证这些规律是否在更广的范围内成立。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B2D5B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A56DB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B82F6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