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color w:val="6878A0"/>
          <w:spacing w:val="200"/>
          <w:sz w:val="20"/>
          <w:szCs w:val="20"/>
        </w:rPr>
        <w:t xml:space="preserve">EXECUTIVE SUMMARY</w:t>
      </w:r>
    </w:p>
    <w:p>
      <w:pPr>
        <w:spacing w:after="300"/>
        <w:jc w:val="center"/>
      </w:pPr>
      <w:r>
        <w:rPr>
          <w:b/>
          <w:bCs/>
          <w:color w:val="0A1628"/>
          <w:sz w:val="48"/>
          <w:szCs w:val="48"/>
        </w:rPr>
        <w:t xml:space="preserve">QNVM-GE Blueprint</w:t>
      </w:r>
    </w:p>
    <w:p>
      <w:pPr>
        <w:spacing w:after="200"/>
        <w:jc w:val="center"/>
      </w:pPr>
      <w:r>
        <w:rPr>
          <w:color w:val="6878A0"/>
          <w:sz w:val="22"/>
          <w:szCs w:val="22"/>
        </w:rPr>
        <w:t xml:space="preserve">48 Novel Approaches for Validating the G-Engine Framework</w:t>
      </w:r>
    </w:p>
    <w:p>
      <w:pPr>
        <w:jc w:val="center"/>
      </w:pPr>
      <w:r>
        <w:rPr>
          <w:color w:val="5B8DB8"/>
          <w:sz w:val="18"/>
          <w:szCs w:val="18"/>
        </w:rPr>
        <w:t xml:space="preserve">────────────────────────────────────────</w:t>
      </w:r>
    </w:p>
    <w:p>
      <w:pPr>
        <w:spacing w:before="400"/>
      </w:pPr>
    </w:p>
    <w:p>
      <w:pPr>
        <w:jc w:val="center"/>
      </w:pPr>
      <w:r>
        <w:rPr>
          <w:color w:val="6878A0"/>
          <w:sz w:val="20"/>
          <w:szCs w:val="20"/>
        </w:rPr>
        <w:t xml:space="preserve">Version 1.0 — June 2026</w:t>
      </w:r>
    </w:p>
    <w:p>
      <w:pPr>
        <w:sectPr>
          <w:pgSz w:w="11906" w:h="16838" w:orient="portrait"/>
          <w:pgMar w:top="0" w:right="0" w:bottom="0" w:left="0" w:header="708" w:footer="708" w:gutter="0"/>
          <w:pgNumType/>
          <w:docGrid w:linePitch="360"/>
        </w:sectPr>
      </w:pPr>
    </w:p>
    <w:p>
      <w:pPr>
        <w:pStyle w:val="Heading1"/>
        <w:spacing w:after="120" w:before="360"/>
      </w:pPr>
      <w:r>
        <w:rPr>
          <w:b/>
          <w:bCs/>
          <w:color w:val="0A1628"/>
          <w:sz w:val="28"/>
          <w:szCs w:val="28"/>
        </w:rPr>
        <w:t xml:space="preserve">1. Purpose</w:t>
      </w:r>
    </w:p>
    <w:p>
      <w:pPr>
        <w:spacing w:after="80" w:line="312"/>
        <w:jc w:val="both"/>
      </w:pPr>
      <w:r>
        <w:rPr>
          <w:color w:val="1A2B40"/>
          <w:sz w:val="22"/>
          <w:szCs w:val="22"/>
        </w:rPr>
        <w:t xml:space="preserve">The QNVM-GE (G-Engine edition) is a proposed computational framework that extends the existing QNVM v0.6 coherence ecology simulation to validate the G-Engine whitepaper’s claims of over-unity energy extraction and gravitational metric modulation. It incorporates 48 novel algorithms organized into six thematic groups covering vacuum conditioning, topological current extraction, gravitational modulation, cascade dynamics, numerical methods, and experimental validation.</w:t>
      </w:r>
    </w:p>
    <w:p>
      <w:pPr>
        <w:pStyle w:val="Heading1"/>
        <w:spacing w:after="120" w:before="360"/>
      </w:pPr>
      <w:r>
        <w:rPr>
          <w:b/>
          <w:bCs/>
          <w:color w:val="0A1628"/>
          <w:sz w:val="28"/>
          <w:szCs w:val="28"/>
        </w:rPr>
        <w:t xml:space="preserve">2. Architecture</w:t>
      </w:r>
    </w:p>
    <w:p>
      <w:pPr>
        <w:spacing w:after="80" w:line="312"/>
        <w:jc w:val="both"/>
      </w:pPr>
      <w:r>
        <w:rPr>
          <w:color w:val="1A2B40"/>
          <w:sz w:val="22"/>
          <w:szCs w:val="22"/>
        </w:rPr>
        <w:t xml:space="preserve">The simulation is organized into seven core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5B8DB8" w:val="clear"/>
            <w:tcMar>
              <w:top w:type="dxa" w:w="60"/>
              <w:left w:type="dxa" w:w="100"/>
              <w:bottom w:type="dxa" w:w="60"/>
              <w:right w:type="dxa" w:w="100"/>
            </w:tcMar>
          </w:tcPr>
          <w:p>
            <w:r>
              <w:rPr>
                <w:b/>
                <w:bCs/>
                <w:color w:val="FFFFFF"/>
                <w:sz w:val="18"/>
                <w:szCs w:val="18"/>
              </w:rPr>
              <w:t xml:space="preserve">Module</w:t>
            </w:r>
          </w:p>
        </w:tc>
        <w:tc>
          <w:tcPr>
            <w:shd w:fill="5B8DB8" w:val="clear"/>
            <w:tcMar>
              <w:top w:type="dxa" w:w="60"/>
              <w:left w:type="dxa" w:w="100"/>
              <w:bottom w:type="dxa" w:w="60"/>
              <w:right w:type="dxa" w:w="100"/>
            </w:tcMar>
          </w:tcPr>
          <w:p>
            <w:r>
              <w:rPr>
                <w:b/>
                <w:bCs/>
                <w:color w:val="FFFFFF"/>
                <w:sz w:val="18"/>
                <w:szCs w:val="18"/>
              </w:rPr>
              <w:t xml:space="preserve">Responsibility</w:t>
            </w:r>
          </w:p>
        </w:tc>
        <w:tc>
          <w:tcPr>
            <w:shd w:fill="5B8DB8" w:val="clear"/>
            <w:tcMar>
              <w:top w:type="dxa" w:w="60"/>
              <w:left w:type="dxa" w:w="100"/>
              <w:bottom w:type="dxa" w:w="60"/>
              <w:right w:type="dxa" w:w="100"/>
            </w:tcMar>
          </w:tcPr>
          <w:p>
            <w:r>
              <w:rPr>
                <w:b/>
                <w:bCs/>
                <w:color w:val="FFFFFF"/>
                <w:sz w:val="18"/>
                <w:szCs w:val="18"/>
              </w:rPr>
              <w:t xml:space="preserve">Key Approaches</w:t>
            </w:r>
          </w:p>
        </w:tc>
      </w:tr>
      <w:tr>
        <w:trPr>
          <w:tblHeader w:val="false"/>
        </w:trPr>
        <w:tc>
          <w:tcPr>
            <w:tcMar>
              <w:top w:type="dxa" w:w="60"/>
              <w:left w:type="dxa" w:w="100"/>
              <w:bottom w:type="dxa" w:w="60"/>
              <w:right w:type="dxa" w:w="100"/>
            </w:tcMar>
          </w:tcPr>
          <w:p>
            <w:r>
              <w:rPr>
                <w:b w:val="false"/>
                <w:bCs w:val="false"/>
                <w:color w:val="1A2B40"/>
                <w:sz w:val="18"/>
                <w:szCs w:val="18"/>
              </w:rPr>
              <w:t xml:space="preserve">VacuumField</w:t>
            </w:r>
          </w:p>
        </w:tc>
        <w:tc>
          <w:tcPr>
            <w:tcMar>
              <w:top w:type="dxa" w:w="60"/>
              <w:left w:type="dxa" w:w="100"/>
              <w:bottom w:type="dxa" w:w="60"/>
              <w:right w:type="dxa" w:w="100"/>
            </w:tcMar>
          </w:tcPr>
          <w:p>
            <w:r>
              <w:rPr>
                <w:b w:val="false"/>
                <w:bCs w:val="false"/>
                <w:color w:val="1A2B40"/>
                <w:sz w:val="18"/>
                <w:szCs w:val="18"/>
              </w:rPr>
              <w:t xml:space="preserve">3D SED grid of E_vac, B_vac, P_vac, u_ZPE</w:t>
            </w:r>
          </w:p>
        </w:tc>
        <w:tc>
          <w:tcPr>
            <w:tcMar>
              <w:top w:type="dxa" w:w="60"/>
              <w:left w:type="dxa" w:w="100"/>
              <w:bottom w:type="dxa" w:w="60"/>
              <w:right w:type="dxa" w:w="100"/>
            </w:tcMar>
          </w:tcPr>
          <w:p>
            <w:r>
              <w:rPr>
                <w:b w:val="false"/>
                <w:bCs w:val="false"/>
                <w:color w:val="1A2B40"/>
                <w:sz w:val="18"/>
                <w:szCs w:val="18"/>
              </w:rPr>
              <w:t xml:space="preserve">SED coloured noise, diffusion/decay</w:t>
            </w:r>
          </w:p>
        </w:tc>
      </w:tr>
      <w:tr>
        <w:trPr>
          <w:tblHeader w:val="false"/>
        </w:trPr>
        <w:tc>
          <w:tcPr>
            <w:tcMar>
              <w:top w:type="dxa" w:w="60"/>
              <w:left w:type="dxa" w:w="100"/>
              <w:bottom w:type="dxa" w:w="60"/>
              <w:right w:type="dxa" w:w="100"/>
            </w:tcMar>
          </w:tcPr>
          <w:p>
            <w:r>
              <w:rPr>
                <w:b w:val="false"/>
                <w:bCs w:val="false"/>
                <w:color w:val="1A2B40"/>
                <w:sz w:val="18"/>
                <w:szCs w:val="18"/>
              </w:rPr>
              <w:t xml:space="preserve">Stage1_Magnetron</w:t>
            </w:r>
          </w:p>
        </w:tc>
        <w:tc>
          <w:tcPr>
            <w:tcMar>
              <w:top w:type="dxa" w:w="60"/>
              <w:left w:type="dxa" w:w="100"/>
              <w:bottom w:type="dxa" w:w="60"/>
              <w:right w:type="dxa" w:w="100"/>
            </w:tcMar>
          </w:tcPr>
          <w:p>
            <w:r>
              <w:rPr>
                <w:b w:val="false"/>
                <w:bCs w:val="false"/>
                <w:color w:val="1A2B40"/>
                <w:sz w:val="18"/>
                <w:szCs w:val="18"/>
              </w:rPr>
              <w:t xml:space="preserve">H-magnetic lattice, super-permeability</w:t>
            </w:r>
          </w:p>
        </w:tc>
        <w:tc>
          <w:tcPr>
            <w:tcMar>
              <w:top w:type="dxa" w:w="60"/>
              <w:left w:type="dxa" w:w="100"/>
              <w:bottom w:type="dxa" w:w="60"/>
              <w:right w:type="dxa" w:w="100"/>
            </w:tcMar>
          </w:tcPr>
          <w:p>
            <w:r>
              <w:rPr>
                <w:b w:val="false"/>
                <w:bCs w:val="false"/>
                <w:color w:val="1A2B40"/>
                <w:sz w:val="18"/>
                <w:szCs w:val="18"/>
              </w:rPr>
              <w:t xml:space="preserve">Group A (Approaches 1–8)</w:t>
            </w:r>
          </w:p>
        </w:tc>
      </w:tr>
      <w:tr>
        <w:trPr>
          <w:tblHeader w:val="false"/>
        </w:trPr>
        <w:tc>
          <w:tcPr>
            <w:tcMar>
              <w:top w:type="dxa" w:w="60"/>
              <w:left w:type="dxa" w:w="100"/>
              <w:bottom w:type="dxa" w:w="60"/>
              <w:right w:type="dxa" w:w="100"/>
            </w:tcMar>
          </w:tcPr>
          <w:p>
            <w:r>
              <w:rPr>
                <w:b w:val="false"/>
                <w:bCs w:val="false"/>
                <w:color w:val="1A2B40"/>
                <w:sz w:val="18"/>
                <w:szCs w:val="18"/>
              </w:rPr>
              <w:t xml:space="preserve">Stage2_GreyMotor</w:t>
            </w:r>
          </w:p>
        </w:tc>
        <w:tc>
          <w:tcPr>
            <w:tcMar>
              <w:top w:type="dxa" w:w="60"/>
              <w:left w:type="dxa" w:w="100"/>
              <w:bottom w:type="dxa" w:w="60"/>
              <w:right w:type="dxa" w:w="100"/>
            </w:tcMar>
          </w:tcPr>
          <w:p>
            <w:r>
              <w:rPr>
                <w:b w:val="false"/>
                <w:bCs w:val="false"/>
                <w:color w:val="1A2B40"/>
                <w:sz w:val="18"/>
                <w:szCs w:val="18"/>
              </w:rPr>
              <w:t xml:space="preserve">Vector potential, topological current</w:t>
            </w:r>
          </w:p>
        </w:tc>
        <w:tc>
          <w:tcPr>
            <w:tcMar>
              <w:top w:type="dxa" w:w="60"/>
              <w:left w:type="dxa" w:w="100"/>
              <w:bottom w:type="dxa" w:w="60"/>
              <w:right w:type="dxa" w:w="100"/>
            </w:tcMar>
          </w:tcPr>
          <w:p>
            <w:r>
              <w:rPr>
                <w:b w:val="false"/>
                <w:bCs w:val="false"/>
                <w:color w:val="1A2B40"/>
                <w:sz w:val="18"/>
                <w:szCs w:val="18"/>
              </w:rPr>
              <w:t xml:space="preserve">Group B (Approaches 9–16)</w:t>
            </w:r>
          </w:p>
        </w:tc>
      </w:tr>
      <w:tr>
        <w:trPr>
          <w:tblHeader w:val="false"/>
        </w:trPr>
        <w:tc>
          <w:tcPr>
            <w:tcMar>
              <w:top w:type="dxa" w:w="60"/>
              <w:left w:type="dxa" w:w="100"/>
              <w:bottom w:type="dxa" w:w="60"/>
              <w:right w:type="dxa" w:w="100"/>
            </w:tcMar>
          </w:tcPr>
          <w:p>
            <w:r>
              <w:rPr>
                <w:b w:val="false"/>
                <w:bCs w:val="false"/>
                <w:color w:val="1A2B40"/>
                <w:sz w:val="18"/>
                <w:szCs w:val="18"/>
              </w:rPr>
              <w:t xml:space="preserve">Stage3_SweetVTA</w:t>
            </w:r>
          </w:p>
        </w:tc>
        <w:tc>
          <w:tcPr>
            <w:tcMar>
              <w:top w:type="dxa" w:w="60"/>
              <w:left w:type="dxa" w:w="100"/>
              <w:bottom w:type="dxa" w:w="60"/>
              <w:right w:type="dxa" w:w="100"/>
            </w:tcMar>
          </w:tcPr>
          <w:p>
            <w:r>
              <w:rPr>
                <w:b w:val="false"/>
                <w:bCs w:val="false"/>
                <w:color w:val="1A2B40"/>
                <w:sz w:val="18"/>
                <w:szCs w:val="18"/>
              </w:rPr>
              <w:t xml:space="preserve">Scalar potential, gravity coupling</w:t>
            </w:r>
          </w:p>
        </w:tc>
        <w:tc>
          <w:tcPr>
            <w:tcMar>
              <w:top w:type="dxa" w:w="60"/>
              <w:left w:type="dxa" w:w="100"/>
              <w:bottom w:type="dxa" w:w="60"/>
              <w:right w:type="dxa" w:w="100"/>
            </w:tcMar>
          </w:tcPr>
          <w:p>
            <w:r>
              <w:rPr>
                <w:b w:val="false"/>
                <w:bCs w:val="false"/>
                <w:color w:val="1A2B40"/>
                <w:sz w:val="18"/>
                <w:szCs w:val="18"/>
              </w:rPr>
              <w:t xml:space="preserve">Group C (Approaches 17–24)</w:t>
            </w:r>
          </w:p>
        </w:tc>
      </w:tr>
      <w:tr>
        <w:trPr>
          <w:tblHeader w:val="false"/>
        </w:trPr>
        <w:tc>
          <w:tcPr>
            <w:tcMar>
              <w:top w:type="dxa" w:w="60"/>
              <w:left w:type="dxa" w:w="100"/>
              <w:bottom w:type="dxa" w:w="60"/>
              <w:right w:type="dxa" w:w="100"/>
            </w:tcMar>
          </w:tcPr>
          <w:p>
            <w:r>
              <w:rPr>
                <w:b w:val="false"/>
                <w:bCs w:val="false"/>
                <w:color w:val="1A2B40"/>
                <w:sz w:val="18"/>
                <w:szCs w:val="18"/>
              </w:rPr>
              <w:t xml:space="preserve">CascadeEngine</w:t>
            </w:r>
          </w:p>
        </w:tc>
        <w:tc>
          <w:tcPr>
            <w:tcMar>
              <w:top w:type="dxa" w:w="60"/>
              <w:left w:type="dxa" w:w="100"/>
              <w:bottom w:type="dxa" w:w="60"/>
              <w:right w:type="dxa" w:w="100"/>
            </w:tcMar>
          </w:tcPr>
          <w:p>
            <w:r>
              <w:rPr>
                <w:b w:val="false"/>
                <w:bCs w:val="false"/>
                <w:color w:val="1A2B40"/>
                <w:sz w:val="18"/>
                <w:szCs w:val="18"/>
              </w:rPr>
              <w:t xml:space="preserve">Serial coupling, self-oscillation</w:t>
            </w:r>
          </w:p>
        </w:tc>
        <w:tc>
          <w:tcPr>
            <w:tcMar>
              <w:top w:type="dxa" w:w="60"/>
              <w:left w:type="dxa" w:w="100"/>
              <w:bottom w:type="dxa" w:w="60"/>
              <w:right w:type="dxa" w:w="100"/>
            </w:tcMar>
          </w:tcPr>
          <w:p>
            <w:r>
              <w:rPr>
                <w:b w:val="false"/>
                <w:bCs w:val="false"/>
                <w:color w:val="1A2B40"/>
                <w:sz w:val="18"/>
                <w:szCs w:val="18"/>
              </w:rPr>
              <w:t xml:space="preserve">Group D (Approaches 25–32)</w:t>
            </w:r>
          </w:p>
        </w:tc>
      </w:tr>
      <w:tr>
        <w:trPr>
          <w:tblHeader w:val="false"/>
        </w:trPr>
        <w:tc>
          <w:tcPr>
            <w:tcMar>
              <w:top w:type="dxa" w:w="60"/>
              <w:left w:type="dxa" w:w="100"/>
              <w:bottom w:type="dxa" w:w="60"/>
              <w:right w:type="dxa" w:w="100"/>
            </w:tcMar>
          </w:tcPr>
          <w:p>
            <w:r>
              <w:rPr>
                <w:b w:val="false"/>
                <w:bCs w:val="false"/>
                <w:color w:val="1A2B40"/>
                <w:sz w:val="18"/>
                <w:szCs w:val="18"/>
              </w:rPr>
              <w:t xml:space="preserve">OperatorModel</w:t>
            </w:r>
          </w:p>
        </w:tc>
        <w:tc>
          <w:tcPr>
            <w:tcMar>
              <w:top w:type="dxa" w:w="60"/>
              <w:left w:type="dxa" w:w="100"/>
              <w:bottom w:type="dxa" w:w="60"/>
              <w:right w:type="dxa" w:w="100"/>
            </w:tcMar>
          </w:tcPr>
          <w:p>
            <w:r>
              <w:rPr>
                <w:b w:val="false"/>
                <w:bCs w:val="false"/>
                <w:color w:val="1A2B40"/>
                <w:sz w:val="18"/>
                <w:szCs w:val="18"/>
              </w:rPr>
              <w:t xml:space="preserve">Heart-rate oscillator, biofield</w:t>
            </w:r>
          </w:p>
        </w:tc>
        <w:tc>
          <w:tcPr>
            <w:tcMar>
              <w:top w:type="dxa" w:w="60"/>
              <w:left w:type="dxa" w:w="100"/>
              <w:bottom w:type="dxa" w:w="60"/>
              <w:right w:type="dxa" w:w="100"/>
            </w:tcMar>
          </w:tcPr>
          <w:p>
            <w:r>
              <w:rPr>
                <w:b w:val="false"/>
                <w:bCs w:val="false"/>
                <w:color w:val="1A2B40"/>
                <w:sz w:val="18"/>
                <w:szCs w:val="18"/>
              </w:rPr>
              <w:t xml:space="preserve">Phase-lock via alpha</w:t>
            </w:r>
          </w:p>
        </w:tc>
      </w:tr>
      <w:tr>
        <w:trPr>
          <w:tblHeader w:val="false"/>
        </w:trPr>
        <w:tc>
          <w:tcPr>
            <w:tcMar>
              <w:top w:type="dxa" w:w="60"/>
              <w:left w:type="dxa" w:w="100"/>
              <w:bottom w:type="dxa" w:w="60"/>
              <w:right w:type="dxa" w:w="100"/>
            </w:tcMar>
          </w:tcPr>
          <w:p>
            <w:r>
              <w:rPr>
                <w:b w:val="false"/>
                <w:bCs w:val="false"/>
                <w:color w:val="1A2B40"/>
                <w:sz w:val="18"/>
                <w:szCs w:val="18"/>
              </w:rPr>
              <w:t xml:space="preserve">GeophysicalEmulator</w:t>
            </w:r>
          </w:p>
        </w:tc>
        <w:tc>
          <w:tcPr>
            <w:tcMar>
              <w:top w:type="dxa" w:w="60"/>
              <w:left w:type="dxa" w:w="100"/>
              <w:bottom w:type="dxa" w:w="60"/>
              <w:right w:type="dxa" w:w="100"/>
            </w:tcMar>
          </w:tcPr>
          <w:p>
            <w:r>
              <w:rPr>
                <w:b w:val="false"/>
                <w:bCs w:val="false"/>
                <w:color w:val="1A2B40"/>
                <w:sz w:val="18"/>
                <w:szCs w:val="18"/>
              </w:rPr>
              <w:t xml:space="preserve">Schumann, telluric, water table</w:t>
            </w:r>
          </w:p>
        </w:tc>
        <w:tc>
          <w:tcPr>
            <w:tcMar>
              <w:top w:type="dxa" w:w="60"/>
              <w:left w:type="dxa" w:w="100"/>
              <w:bottom w:type="dxa" w:w="60"/>
              <w:right w:type="dxa" w:w="100"/>
            </w:tcMar>
          </w:tcPr>
          <w:p>
            <w:r>
              <w:rPr>
                <w:b w:val="false"/>
                <w:bCs w:val="false"/>
                <w:color w:val="1A2B40"/>
                <w:sz w:val="18"/>
                <w:szCs w:val="18"/>
              </w:rPr>
              <w:t xml:space="preserve">Planetary anchor condition</w:t>
            </w:r>
          </w:p>
        </w:tc>
      </w:tr>
    </w:tbl>
    <w:p>
      <w:pPr>
        <w:pStyle w:val="Heading1"/>
        <w:spacing w:after="120" w:before="360"/>
      </w:pPr>
      <w:r>
        <w:rPr>
          <w:b/>
          <w:bCs/>
          <w:color w:val="0A1628"/>
          <w:sz w:val="28"/>
          <w:szCs w:val="28"/>
        </w:rPr>
        <w:t xml:space="preserve">3. 48 Approaches by Group</w:t>
      </w:r>
    </w:p>
    <w:p>
      <w:pPr>
        <w:spacing w:after="80" w:line="312"/>
        <w:jc w:val="both"/>
      </w:pPr>
      <w:r>
        <w:rPr>
          <w:b/>
          <w:bCs/>
          <w:color w:val="0A1628"/>
          <w:sz w:val="22"/>
          <w:szCs w:val="22"/>
        </w:rPr>
        <w:t xml:space="preserve">Group A – Vacuum Conditioning (8): </w:t>
      </w:r>
      <w:r>
        <w:rPr>
          <w:color w:val="1A2B40"/>
          <w:sz w:val="22"/>
          <w:szCs w:val="22"/>
        </w:rPr>
        <w:t xml:space="preserve">Lattice QED with magnetic domains, hyperfine resonance engine, muon-catalysed fusion without neutrons, vacuum DC offset, stochastic resonance conditioning, fractal domain-wall antenna, multiferroic coupling, super-permeability mean-field theory.</w:t>
      </w:r>
    </w:p>
    <w:p>
      <w:pPr>
        <w:spacing w:after="80" w:line="312"/>
        <w:jc w:val="both"/>
      </w:pPr>
      <w:r>
        <w:rPr>
          <w:b/>
          <w:bCs/>
          <w:color w:val="0A1628"/>
          <w:sz w:val="22"/>
          <w:szCs w:val="22"/>
        </w:rPr>
        <w:t xml:space="preserve">Group B – Topological Current (8): </w:t>
      </w:r>
      <w:r>
        <w:rPr>
          <w:color w:val="1A2B40"/>
          <w:sz w:val="22"/>
          <w:szCs w:val="22"/>
        </w:rPr>
        <w:t xml:space="preserve">Aharonov–Bohm current solver, three-reservoir Carnot engine, ballistic transport without drift, non-ohmic heatless conductor, cold electricity as fourth state, vector potential reality test, gain scaling via alpha, zero-temperature electron gas.</w:t>
      </w:r>
    </w:p>
    <w:p>
      <w:pPr>
        <w:spacing w:after="80" w:line="312"/>
        <w:jc w:val="both"/>
      </w:pPr>
      <w:r>
        <w:rPr>
          <w:b/>
          <w:bCs/>
          <w:color w:val="0A1628"/>
          <w:sz w:val="22"/>
          <w:szCs w:val="22"/>
        </w:rPr>
        <w:t xml:space="preserve">Group C – Metric Modulation (8): </w:t>
      </w:r>
      <w:r>
        <w:rPr>
          <w:color w:val="1A2B40"/>
          <w:sz w:val="22"/>
          <w:szCs w:val="22"/>
        </w:rPr>
        <w:t xml:space="preserve">Scalar wave superluminal propagation, gradient coupling to vacuum polarisation, fractal impedance matching, asymmetric anti-gravity, local de Sitter bubble, clock phase shift, operator heart-frequency coupling, vacuum maser.</w:t>
      </w:r>
    </w:p>
    <w:p>
      <w:pPr>
        <w:spacing w:after="80" w:line="312"/>
        <w:jc w:val="both"/>
      </w:pPr>
      <w:r>
        <w:rPr>
          <w:b/>
          <w:bCs/>
          <w:color w:val="0A1628"/>
          <w:sz w:val="22"/>
          <w:szCs w:val="22"/>
        </w:rPr>
        <w:t xml:space="preserve">Group D – Cascade Dynamics (8): </w:t>
      </w:r>
      <w:r>
        <w:rPr>
          <w:color w:val="1A2B40"/>
          <w:sz w:val="22"/>
          <w:szCs w:val="22"/>
        </w:rPr>
        <w:t xml:space="preserve">Serial cascade solver, planetary anchor emulation, golden-ratio cavity optimisation, multi-scale coupling via alpha, unified field equation solver, self-oscillation detection, phase diagram scanning, biofield memory persistence.</w:t>
      </w:r>
    </w:p>
    <w:p>
      <w:pPr>
        <w:spacing w:after="80" w:line="312"/>
        <w:jc w:val="both"/>
      </w:pPr>
      <w:r>
        <w:rPr>
          <w:b/>
          <w:bCs/>
          <w:color w:val="0A1628"/>
          <w:sz w:val="22"/>
          <w:szCs w:val="22"/>
        </w:rPr>
        <w:t xml:space="preserve">Group E – Numerical Methods (8): </w:t>
      </w:r>
      <w:r>
        <w:rPr>
          <w:color w:val="1A2B40"/>
          <w:sz w:val="22"/>
          <w:szCs w:val="22"/>
        </w:rPr>
        <w:t xml:space="preserve">Non-Hermitian quantum optics, SED with coloured noise, Lattice Boltzmann for ZPE, spectral radius proxy, adaptive mesh refinement, CUDA FDTD, evolutionary optimisation, polynomial chaos uncertainty quantification.</w:t>
      </w:r>
    </w:p>
    <w:p>
      <w:pPr>
        <w:spacing w:after="80" w:line="312"/>
        <w:jc w:val="both"/>
      </w:pPr>
      <w:r>
        <w:rPr>
          <w:b/>
          <w:bCs/>
          <w:color w:val="0A1628"/>
          <w:sz w:val="22"/>
          <w:szCs w:val="22"/>
        </w:rPr>
        <w:t xml:space="preserve">Group F – Validation (8): </w:t>
      </w:r>
      <w:r>
        <w:rPr>
          <w:color w:val="1A2B40"/>
          <w:sz w:val="22"/>
          <w:szCs w:val="22"/>
        </w:rPr>
        <w:t xml:space="preserve">Casimir force calibration, Aharonov–Bohm experiment, Johnson noise floor test, muon detector simulation, non-Hertzian communication test, consciousness-nulling control, suppression Boltzmann distribution, planetary anchor ablation.</w:t>
      </w:r>
    </w:p>
    <w:p>
      <w:pPr>
        <w:pStyle w:val="Heading1"/>
        <w:spacing w:after="120" w:before="360"/>
      </w:pPr>
      <w:r>
        <w:rPr>
          <w:b/>
          <w:bCs/>
          <w:color w:val="0A1628"/>
          <w:sz w:val="28"/>
          <w:szCs w:val="28"/>
        </w:rPr>
        <w:t xml:space="preserve">4. Virtual Experiments</w:t>
      </w:r>
    </w:p>
    <w:p>
      <w:pPr>
        <w:spacing w:after="80" w:line="312"/>
        <w:jc w:val="both"/>
      </w:pPr>
      <w:r>
        <w:rPr>
          <w:b/>
          <w:bCs/>
          <w:color w:val="0A1628"/>
          <w:sz w:val="22"/>
          <w:szCs w:val="22"/>
        </w:rPr>
        <w:t xml:space="preserve">Stage 1 Test: </w:t>
      </w:r>
      <w:r>
        <w:rPr>
          <w:color w:val="1A2B40"/>
          <w:sz w:val="22"/>
          <w:szCs w:val="22"/>
        </w:rPr>
        <w:t xml:space="preserve">H2 at 0.1 atm, 25 kV bias, 2.45 GHz cavity. Falsification: no 1.42 GHz gain.</w:t>
      </w:r>
    </w:p>
    <w:p>
      <w:pPr>
        <w:spacing w:after="80" w:line="312"/>
        <w:jc w:val="both"/>
      </w:pPr>
      <w:r>
        <w:rPr>
          <w:b/>
          <w:bCs/>
          <w:color w:val="0A1628"/>
          <w:sz w:val="22"/>
          <w:szCs w:val="22"/>
        </w:rPr>
        <w:t xml:space="preserve">Stage 2 Test: </w:t>
      </w:r>
      <w:r>
        <w:rPr>
          <w:color w:val="1A2B40"/>
          <w:sz w:val="22"/>
          <w:szCs w:val="22"/>
        </w:rPr>
        <w:t xml:space="preserve">26.8 W input, toroidal coil. Falsification: any measurable heat.</w:t>
      </w:r>
    </w:p>
    <w:p>
      <w:pPr>
        <w:spacing w:after="80" w:line="312"/>
        <w:jc w:val="both"/>
      </w:pPr>
      <w:r>
        <w:rPr>
          <w:b/>
          <w:bCs/>
          <w:color w:val="0A1628"/>
          <w:sz w:val="22"/>
          <w:szCs w:val="22"/>
        </w:rPr>
        <w:t xml:space="preserve">Stage 3 Test: </w:t>
      </w:r>
      <w:r>
        <w:rPr>
          <w:color w:val="1A2B40"/>
          <w:sz w:val="22"/>
          <w:szCs w:val="22"/>
        </w:rPr>
        <w:t xml:space="preserve">0.3 mW bias, conditioned magnet. Falsification: no weight change.</w:t>
      </w:r>
    </w:p>
    <w:p>
      <w:pPr>
        <w:spacing w:after="80" w:line="312"/>
        <w:jc w:val="both"/>
      </w:pPr>
      <w:r>
        <w:rPr>
          <w:b/>
          <w:bCs/>
          <w:color w:val="0A1628"/>
          <w:sz w:val="22"/>
          <w:szCs w:val="22"/>
        </w:rPr>
        <w:t xml:space="preserve">Full Cascade: </w:t>
      </w:r>
      <w:r>
        <w:rPr>
          <w:color w:val="1A2B40"/>
          <w:sz w:val="22"/>
          <w:szCs w:val="22"/>
        </w:rPr>
        <w:t xml:space="preserve">25 kV + 0.3 mW trigger. Falsification: output decays within 100 generations.</w:t>
      </w:r>
    </w:p>
    <w:p>
      <w:pPr>
        <w:spacing w:after="80" w:line="312"/>
        <w:jc w:val="both"/>
      </w:pPr>
      <w:r>
        <w:rPr>
          <w:b/>
          <w:bCs/>
          <w:color w:val="0A1628"/>
          <w:sz w:val="22"/>
          <w:szCs w:val="22"/>
        </w:rPr>
        <w:t xml:space="preserve">Anchor Ablation: </w:t>
      </w:r>
      <w:r>
        <w:rPr>
          <w:color w:val="1A2B40"/>
          <w:sz w:val="22"/>
          <w:szCs w:val="22"/>
        </w:rPr>
        <w:t xml:space="preserve">Disable geophysical emulator. Falsification: output stays high.</w:t>
      </w:r>
    </w:p>
    <w:p>
      <w:pPr>
        <w:pStyle w:val="Heading1"/>
        <w:spacing w:after="120" w:before="360"/>
      </w:pPr>
      <w:r>
        <w:rPr>
          <w:b/>
          <w:bCs/>
          <w:color w:val="0A1628"/>
          <w:sz w:val="28"/>
          <w:szCs w:val="28"/>
        </w:rPr>
        <w:t xml:space="preserve">5. QNVM v0.6 Integration</w:t>
      </w:r>
    </w:p>
    <w:p>
      <w:pPr>
        <w:spacing w:after="80" w:line="312"/>
        <w:jc w:val="both"/>
      </w:pPr>
      <w:r>
        <w:rPr>
          <w:color w:val="1A2B40"/>
          <w:sz w:val="22"/>
          <w:szCs w:val="22"/>
        </w:rPr>
        <w:t xml:space="preserve">The existing QNVM v0.6 simulates coherence ecology with entities possessing CI_B, CI_C, noise_sigma, spectral_radius, resurrection, and archetypes. These map to vacuum domains (CI_B/CI_C → EM coherence, noise_sigma → ZPE fluctuation, spectral_radius → ZPE efficiency, resurrection → domain recovery, archetypes → physics module roles). The upgrade path replaces abstract entities with explicit physics while preserving logging, checkpointing, and visualization infrastructure.</w:t>
      </w:r>
    </w:p>
    <w:p>
      <w:pPr>
        <w:pStyle w:val="Heading1"/>
        <w:spacing w:after="120" w:before="360"/>
      </w:pPr>
      <w:r>
        <w:rPr>
          <w:b/>
          <w:bCs/>
          <w:color w:val="0A1628"/>
          <w:sz w:val="28"/>
          <w:szCs w:val="28"/>
        </w:rPr>
        <w:t xml:space="preserve">6.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5B8DB8" w:val="clear"/>
            <w:tcMar>
              <w:top w:type="dxa" w:w="60"/>
              <w:left w:type="dxa" w:w="100"/>
              <w:bottom w:type="dxa" w:w="60"/>
              <w:right w:type="dxa" w:w="100"/>
            </w:tcMar>
          </w:tcPr>
          <w:p>
            <w:r>
              <w:rPr>
                <w:b/>
                <w:bCs/>
                <w:color w:val="FFFFFF"/>
                <w:sz w:val="18"/>
                <w:szCs w:val="18"/>
              </w:rPr>
              <w:t xml:space="preserve">KPI</w:t>
            </w:r>
          </w:p>
        </w:tc>
        <w:tc>
          <w:tcPr>
            <w:shd w:fill="5B8DB8" w:val="clear"/>
            <w:tcMar>
              <w:top w:type="dxa" w:w="60"/>
              <w:left w:type="dxa" w:w="100"/>
              <w:bottom w:type="dxa" w:w="60"/>
              <w:right w:type="dxa" w:w="100"/>
            </w:tcMar>
          </w:tcPr>
          <w:p>
            <w:r>
              <w:rPr>
                <w:b/>
                <w:bCs/>
                <w:color w:val="FFFFFF"/>
                <w:sz w:val="18"/>
                <w:szCs w:val="18"/>
              </w:rPr>
              <w:t xml:space="preserve">Definition</w:t>
            </w:r>
          </w:p>
        </w:tc>
        <w:tc>
          <w:tcPr>
            <w:shd w:fill="5B8DB8" w:val="clear"/>
            <w:tcMar>
              <w:top w:type="dxa" w:w="60"/>
              <w:left w:type="dxa" w:w="100"/>
              <w:bottom w:type="dxa" w:w="60"/>
              <w:right w:type="dxa" w:w="100"/>
            </w:tcMar>
          </w:tcPr>
          <w:p>
            <w:r>
              <w:rPr>
                <w:b/>
                <w:bCs/>
                <w:color w:val="FFFFFF"/>
                <w:sz w:val="18"/>
                <w:szCs w:val="18"/>
              </w:rPr>
              <w:t xml:space="preserve">Target</w:t>
            </w:r>
          </w:p>
        </w:tc>
      </w:tr>
      <w:tr>
        <w:trPr>
          <w:tblHeader w:val="false"/>
        </w:trPr>
        <w:tc>
          <w:tcPr>
            <w:tcMar>
              <w:top w:type="dxa" w:w="60"/>
              <w:left w:type="dxa" w:w="100"/>
              <w:bottom w:type="dxa" w:w="60"/>
              <w:right w:type="dxa" w:w="100"/>
            </w:tcMar>
          </w:tcPr>
          <w:p>
            <w:r>
              <w:rPr>
                <w:b w:val="false"/>
                <w:bCs w:val="false"/>
                <w:color w:val="1A2B40"/>
                <w:sz w:val="18"/>
                <w:szCs w:val="18"/>
              </w:rPr>
              <w:t xml:space="preserve">COP</w:t>
            </w:r>
          </w:p>
        </w:tc>
        <w:tc>
          <w:tcPr>
            <w:tcMar>
              <w:top w:type="dxa" w:w="60"/>
              <w:left w:type="dxa" w:w="100"/>
              <w:bottom w:type="dxa" w:w="60"/>
              <w:right w:type="dxa" w:w="100"/>
            </w:tcMar>
          </w:tcPr>
          <w:p>
            <w:r>
              <w:rPr>
                <w:b w:val="false"/>
                <w:bCs w:val="false"/>
                <w:color w:val="1A2B40"/>
                <w:sz w:val="18"/>
                <w:szCs w:val="18"/>
              </w:rPr>
              <w:t xml:space="preserve">P_out / P_in</w:t>
            </w:r>
          </w:p>
        </w:tc>
        <w:tc>
          <w:tcPr>
            <w:tcMar>
              <w:top w:type="dxa" w:w="60"/>
              <w:left w:type="dxa" w:w="100"/>
              <w:bottom w:type="dxa" w:w="60"/>
              <w:right w:type="dxa" w:w="100"/>
            </w:tcMar>
          </w:tcPr>
          <w:p>
            <w:r>
              <w:rPr>
                <w:b w:val="false"/>
                <w:bCs w:val="false"/>
                <w:color w:val="1A2B40"/>
                <w:sz w:val="18"/>
                <w:szCs w:val="18"/>
              </w:rPr>
              <w:t xml:space="preserve">&gt; 200 (Stage 2), &gt; 10^7 (Stage 3)</w:t>
            </w:r>
          </w:p>
        </w:tc>
      </w:tr>
      <w:tr>
        <w:trPr>
          <w:tblHeader w:val="false"/>
        </w:trPr>
        <w:tc>
          <w:tcPr>
            <w:tcMar>
              <w:top w:type="dxa" w:w="60"/>
              <w:left w:type="dxa" w:w="100"/>
              <w:bottom w:type="dxa" w:w="60"/>
              <w:right w:type="dxa" w:w="100"/>
            </w:tcMar>
          </w:tcPr>
          <w:p>
            <w:r>
              <w:rPr>
                <w:b w:val="false"/>
                <w:bCs w:val="false"/>
                <w:color w:val="1A2B40"/>
                <w:sz w:val="18"/>
                <w:szCs w:val="18"/>
              </w:rPr>
              <w:t xml:space="preserve">Mass reduction</w:t>
            </w:r>
          </w:p>
        </w:tc>
        <w:tc>
          <w:tcPr>
            <w:tcMar>
              <w:top w:type="dxa" w:w="60"/>
              <w:left w:type="dxa" w:w="100"/>
              <w:bottom w:type="dxa" w:w="60"/>
              <w:right w:type="dxa" w:w="100"/>
            </w:tcMar>
          </w:tcPr>
          <w:p>
            <w:r>
              <w:rPr>
                <w:b w:val="false"/>
                <w:bCs w:val="false"/>
                <w:color w:val="1A2B40"/>
                <w:sz w:val="18"/>
                <w:szCs w:val="18"/>
              </w:rPr>
              <w:t xml:space="preserve">Delta_m / m</w:t>
            </w:r>
          </w:p>
        </w:tc>
        <w:tc>
          <w:tcPr>
            <w:tcMar>
              <w:top w:type="dxa" w:w="60"/>
              <w:left w:type="dxa" w:w="100"/>
              <w:bottom w:type="dxa" w:w="60"/>
              <w:right w:type="dxa" w:w="100"/>
            </w:tcMar>
          </w:tcPr>
          <w:p>
            <w:r>
              <w:rPr>
                <w:b w:val="false"/>
                <w:bCs w:val="false"/>
                <w:color w:val="1A2B40"/>
                <w:sz w:val="18"/>
                <w:szCs w:val="18"/>
              </w:rPr>
              <w:t xml:space="preserve">-0.018 per kWh</w:t>
            </w:r>
          </w:p>
        </w:tc>
      </w:tr>
      <w:tr>
        <w:trPr>
          <w:tblHeader w:val="false"/>
        </w:trPr>
        <w:tc>
          <w:tcPr>
            <w:tcMar>
              <w:top w:type="dxa" w:w="60"/>
              <w:left w:type="dxa" w:w="100"/>
              <w:bottom w:type="dxa" w:w="60"/>
              <w:right w:type="dxa" w:w="100"/>
            </w:tcMar>
          </w:tcPr>
          <w:p>
            <w:r>
              <w:rPr>
                <w:b w:val="false"/>
                <w:bCs w:val="false"/>
                <w:color w:val="1A2B40"/>
                <w:sz w:val="18"/>
                <w:szCs w:val="18"/>
              </w:rPr>
              <w:t xml:space="preserve">Vacuum coherence length</w:t>
            </w:r>
          </w:p>
        </w:tc>
        <w:tc>
          <w:tcPr>
            <w:tcMar>
              <w:top w:type="dxa" w:w="60"/>
              <w:left w:type="dxa" w:w="100"/>
              <w:bottom w:type="dxa" w:w="60"/>
              <w:right w:type="dxa" w:w="100"/>
            </w:tcMar>
          </w:tcPr>
          <w:p>
            <w:r>
              <w:rPr>
                <w:b w:val="false"/>
                <w:bCs w:val="false"/>
                <w:color w:val="1A2B40"/>
                <w:sz w:val="18"/>
                <w:szCs w:val="18"/>
              </w:rPr>
              <w:t xml:space="preserve">l_coh from SED correlation</w:t>
            </w:r>
          </w:p>
        </w:tc>
        <w:tc>
          <w:tcPr>
            <w:tcMar>
              <w:top w:type="dxa" w:w="60"/>
              <w:left w:type="dxa" w:w="100"/>
              <w:bottom w:type="dxa" w:w="60"/>
              <w:right w:type="dxa" w:w="100"/>
            </w:tcMar>
          </w:tcPr>
          <w:p>
            <w:r>
              <w:rPr>
                <w:b w:val="false"/>
                <w:bCs w:val="false"/>
                <w:color w:val="1A2B40"/>
                <w:sz w:val="18"/>
                <w:szCs w:val="18"/>
              </w:rPr>
              <w:t xml:space="preserve">&gt; 1 um</w:t>
            </w:r>
          </w:p>
        </w:tc>
      </w:tr>
      <w:tr>
        <w:trPr>
          <w:tblHeader w:val="false"/>
        </w:trPr>
        <w:tc>
          <w:tcPr>
            <w:tcMar>
              <w:top w:type="dxa" w:w="60"/>
              <w:left w:type="dxa" w:w="100"/>
              <w:bottom w:type="dxa" w:w="60"/>
              <w:right w:type="dxa" w:w="100"/>
            </w:tcMar>
          </w:tcPr>
          <w:p>
            <w:r>
              <w:rPr>
                <w:b w:val="false"/>
                <w:bCs w:val="false"/>
                <w:color w:val="1A2B40"/>
                <w:sz w:val="18"/>
                <w:szCs w:val="18"/>
              </w:rPr>
              <w:t xml:space="preserve">Spectral radius</w:t>
            </w:r>
          </w:p>
        </w:tc>
        <w:tc>
          <w:tcPr>
            <w:tcMar>
              <w:top w:type="dxa" w:w="60"/>
              <w:left w:type="dxa" w:w="100"/>
              <w:bottom w:type="dxa" w:w="60"/>
              <w:right w:type="dxa" w:w="100"/>
            </w:tcMar>
          </w:tcPr>
          <w:p>
            <w:r>
              <w:rPr>
                <w:b w:val="false"/>
                <w:bCs w:val="false"/>
                <w:color w:val="1A2B40"/>
                <w:sz w:val="18"/>
                <w:szCs w:val="18"/>
              </w:rPr>
              <w:t xml:space="preserve">rho(J)</w:t>
            </w:r>
          </w:p>
        </w:tc>
        <w:tc>
          <w:tcPr>
            <w:tcMar>
              <w:top w:type="dxa" w:w="60"/>
              <w:left w:type="dxa" w:w="100"/>
              <w:bottom w:type="dxa" w:w="60"/>
              <w:right w:type="dxa" w:w="100"/>
            </w:tcMar>
          </w:tcPr>
          <w:p>
            <w:r>
              <w:rPr>
                <w:b w:val="false"/>
                <w:bCs w:val="false"/>
                <w:color w:val="1A2B40"/>
                <w:sz w:val="18"/>
                <w:szCs w:val="18"/>
              </w:rPr>
              <w:t xml:space="preserve">0.85–0.92</w:t>
            </w:r>
          </w:p>
        </w:tc>
      </w:tr>
      <w:tr>
        <w:trPr>
          <w:tblHeader w:val="false"/>
        </w:trPr>
        <w:tc>
          <w:tcPr>
            <w:tcMar>
              <w:top w:type="dxa" w:w="60"/>
              <w:left w:type="dxa" w:w="100"/>
              <w:bottom w:type="dxa" w:w="60"/>
              <w:right w:type="dxa" w:w="100"/>
            </w:tcMar>
          </w:tcPr>
          <w:p>
            <w:r>
              <w:rPr>
                <w:b w:val="false"/>
                <w:bCs w:val="false"/>
                <w:color w:val="1A2B40"/>
                <w:sz w:val="18"/>
                <w:szCs w:val="18"/>
              </w:rPr>
              <w:t xml:space="preserve">Noise floor</w:t>
            </w:r>
          </w:p>
        </w:tc>
        <w:tc>
          <w:tcPr>
            <w:tcMar>
              <w:top w:type="dxa" w:w="60"/>
              <w:left w:type="dxa" w:w="100"/>
              <w:bottom w:type="dxa" w:w="60"/>
              <w:right w:type="dxa" w:w="100"/>
            </w:tcMar>
          </w:tcPr>
          <w:p>
            <w:r>
              <w:rPr>
                <w:b w:val="false"/>
                <w:bCs w:val="false"/>
                <w:color w:val="1A2B40"/>
                <w:sz w:val="18"/>
                <w:szCs w:val="18"/>
              </w:rPr>
              <w:t xml:space="preserve">S_V(f) at 1 Hz</w:t>
            </w:r>
          </w:p>
        </w:tc>
        <w:tc>
          <w:tcPr>
            <w:tcMar>
              <w:top w:type="dxa" w:w="60"/>
              <w:left w:type="dxa" w:w="100"/>
              <w:bottom w:type="dxa" w:w="60"/>
              <w:right w:type="dxa" w:w="100"/>
            </w:tcMar>
          </w:tcPr>
          <w:p>
            <w:r>
              <w:rPr>
                <w:b w:val="false"/>
                <w:bCs w:val="false"/>
                <w:color w:val="1A2B40"/>
                <w:sz w:val="18"/>
                <w:szCs w:val="18"/>
              </w:rPr>
              <w:t xml:space="preserve">Below Johnson–Nyquist</w:t>
            </w:r>
          </w:p>
        </w:tc>
      </w:tr>
      <w:tr>
        <w:trPr>
          <w:tblHeader w:val="false"/>
        </w:trPr>
        <w:tc>
          <w:tcPr>
            <w:tcMar>
              <w:top w:type="dxa" w:w="60"/>
              <w:left w:type="dxa" w:w="100"/>
              <w:bottom w:type="dxa" w:w="60"/>
              <w:right w:type="dxa" w:w="100"/>
            </w:tcMar>
          </w:tcPr>
          <w:p>
            <w:r>
              <w:rPr>
                <w:b w:val="false"/>
                <w:bCs w:val="false"/>
                <w:color w:val="1A2B40"/>
                <w:sz w:val="18"/>
                <w:szCs w:val="18"/>
              </w:rPr>
              <w:t xml:space="preserve">Diversity</w:t>
            </w:r>
          </w:p>
        </w:tc>
        <w:tc>
          <w:tcPr>
            <w:tcMar>
              <w:top w:type="dxa" w:w="60"/>
              <w:left w:type="dxa" w:w="100"/>
              <w:bottom w:type="dxa" w:w="60"/>
              <w:right w:type="dxa" w:w="100"/>
            </w:tcMar>
          </w:tcPr>
          <w:p>
            <w:r>
              <w:rPr>
                <w:b w:val="false"/>
                <w:bCs w:val="false"/>
                <w:color w:val="1A2B40"/>
                <w:sz w:val="18"/>
                <w:szCs w:val="18"/>
              </w:rPr>
              <w:t xml:space="preserve">Shannon entropy over modes</w:t>
            </w:r>
          </w:p>
        </w:tc>
        <w:tc>
          <w:tcPr>
            <w:tcMar>
              <w:top w:type="dxa" w:w="60"/>
              <w:left w:type="dxa" w:w="100"/>
              <w:bottom w:type="dxa" w:w="60"/>
              <w:right w:type="dxa" w:w="100"/>
            </w:tcMar>
          </w:tcPr>
          <w:p>
            <w:r>
              <w:rPr>
                <w:b w:val="false"/>
                <w:bCs w:val="false"/>
                <w:color w:val="1A2B40"/>
                <w:sz w:val="18"/>
                <w:szCs w:val="18"/>
              </w:rPr>
              <w:t xml:space="preserve">&gt; 0.90</w:t>
            </w:r>
          </w:p>
        </w:tc>
      </w:tr>
    </w:tbl>
    <w:p>
      <w:pPr>
        <w:pStyle w:val="Heading1"/>
        <w:spacing w:after="120" w:before="360"/>
      </w:pPr>
      <w:r>
        <w:rPr>
          <w:b/>
          <w:bCs/>
          <w:color w:val="0A1628"/>
          <w:sz w:val="28"/>
          <w:szCs w:val="28"/>
        </w:rPr>
        <w:t xml:space="preserve">7. Implementation Roadmap</w:t>
      </w:r>
    </w:p>
    <w:p>
      <w:pPr>
        <w:spacing w:after="80" w:line="312"/>
        <w:jc w:val="both"/>
      </w:pPr>
      <w:r>
        <w:rPr>
          <w:color w:val="1A2B40"/>
          <w:sz w:val="22"/>
          <w:szCs w:val="22"/>
        </w:rPr>
        <w:t xml:space="preserve">28 weeks total: Phase 0 (2 wk, fork + SED), Phase 1 (4 wk, Stage 1), Phase 2 (4 wk, Stage 2), Phase 3 (6 wk, Stage 3), Phase 4 (3 wk, Cascade), Phase 5 (3 wk, Geo + Operator), Phase 6 (4 wk, Experiments), Phase 7 (2 wk, Release). Can be parallelized across a small team.</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6"/>
        <w:szCs w:val="16"/>
      </w:rPr>
      <w:t xml:space="preserve">QNVM-GE Executive Summary — Page </w:t>
    </w:r>
    <w:r>
      <w:rPr>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2026-06-11T16:07:11.574Z</dcterms:created>
  <dcterms:modified xsi:type="dcterms:W3CDTF">2026-06-11T16:07:11.574Z</dcterms:modified>
</cp:coreProperties>
</file>

<file path=docProps/custom.xml><?xml version="1.0" encoding="utf-8"?>
<Properties xmlns="http://schemas.openxmlformats.org/officeDocument/2006/custom-properties" xmlns:vt="http://schemas.openxmlformats.org/officeDocument/2006/docPropsVTypes"/>
</file>