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color w:val="6878A0"/>
          <w:spacing w:val="200"/>
          <w:sz w:val="20"/>
          <w:szCs w:val="20"/>
        </w:rPr>
        <w:t xml:space="preserve">SCIENTIFIC &amp; TECHNICAL ANALYSIS</w:t>
      </w:r>
    </w:p>
    <w:p>
      <w:pPr>
        <w:spacing w:after="300"/>
        <w:jc w:val="center"/>
      </w:pPr>
      <w:r>
        <w:rPr>
          <w:b/>
          <w:bCs/>
          <w:color w:val="0A1628"/>
          <w:sz w:val="48"/>
          <w:szCs w:val="48"/>
        </w:rPr>
        <w:t xml:space="preserve">QNVM-GE Blueprint</w:t>
      </w:r>
    </w:p>
    <w:p>
      <w:pPr>
        <w:spacing w:after="400"/>
        <w:jc w:val="center"/>
      </w:pPr>
      <w:r>
        <w:rPr>
          <w:color w:val="6878A0"/>
          <w:sz w:val="22"/>
          <w:szCs w:val="22"/>
        </w:rPr>
        <w:t xml:space="preserve">A Critical Assessment of 48 Novel Approaches for Validating the G-Engine</w:t>
      </w:r>
    </w:p>
    <w:p>
      <w:pPr>
        <w:jc w:val="center"/>
      </w:pPr>
      <w:r>
        <w:rPr>
          <w:color w:val="5B8DB8"/>
          <w:sz w:val="18"/>
          <w:szCs w:val="18"/>
        </w:rPr>
        <w:t xml:space="preserve">────────────────────────────────────────</w:t>
      </w:r>
    </w:p>
    <w:p>
      <w:pPr>
        <w:spacing w:before="400"/>
      </w:pPr>
    </w:p>
    <w:p>
      <w:pPr>
        <w:jc w:val="center"/>
      </w:pPr>
      <w:r>
        <w:rPr>
          <w:color w:val="6878A0"/>
          <w:sz w:val="20"/>
          <w:szCs w:val="20"/>
        </w:rPr>
        <w:t xml:space="preserve">Independent Technical Review — June 2026</w:t>
      </w:r>
    </w:p>
    <w:p>
      <w:pPr>
        <w:sectPr>
          <w:pgSz w:w="11906" w:h="16838" w:orient="portrait"/>
          <w:pgMar w:top="0" w:right="0" w:bottom="0" w:left="0" w:header="708" w:footer="708" w:gutter="0"/>
          <w:pgNumType/>
          <w:docGrid w:linePitch="360"/>
        </w:sectPr>
      </w:pPr>
    </w:p>
    <w:p>
      <w:pPr>
        <w:pStyle w:val="Heading1"/>
        <w:spacing w:after="120" w:before="360"/>
      </w:pPr>
      <w:r>
        <w:rPr>
          <w:b/>
          <w:bCs/>
          <w:color w:val="0A1628"/>
          <w:sz w:val="28"/>
          <w:szCs w:val="28"/>
        </w:rPr>
        <w:t xml:space="preserve">1. Overview</w:t>
      </w:r>
    </w:p>
    <w:p>
      <w:pPr>
        <w:spacing w:after="80" w:line="312"/>
        <w:jc w:val="both"/>
      </w:pPr>
      <w:r>
        <w:rPr>
          <w:color w:val="1A2B40"/>
          <w:sz w:val="22"/>
          <w:szCs w:val="22"/>
        </w:rPr>
        <w:t xml:space="preserve">This analysis evaluates the QNVM-GE blueprint, which proposes extending the existing QNVM v0.6 coherence ecology simulation with 48 novel computational approaches to validate the G-Engine framework. The assessment covers architectural design, physical model fidelity, computational feasibility, and scientific rigor.</w:t>
      </w:r>
    </w:p>
    <w:p>
      <w:pPr>
        <w:pStyle w:val="Heading1"/>
        <w:spacing w:after="120" w:before="360"/>
      </w:pPr>
      <w:r>
        <w:rPr>
          <w:b/>
          <w:bCs/>
          <w:color w:val="0A1628"/>
          <w:sz w:val="28"/>
          <w:szCs w:val="28"/>
        </w:rPr>
        <w:t xml:space="preserve">2. Architectural Strengths</w:t>
      </w:r>
    </w:p>
    <w:p>
      <w:pPr>
        <w:spacing w:after="80" w:line="312"/>
        <w:jc w:val="both"/>
      </w:pPr>
      <w:r>
        <w:rPr>
          <w:b/>
          <w:bCs/>
          <w:color w:val="0A1628"/>
          <w:sz w:val="22"/>
          <w:szCs w:val="22"/>
        </w:rPr>
        <w:t xml:space="preserve">Modularity: </w:t>
      </w:r>
      <w:r>
        <w:rPr>
          <w:color w:val="1A2B40"/>
          <w:sz w:val="22"/>
          <w:szCs w:val="22"/>
        </w:rPr>
        <w:t xml:space="preserve">The seven-module architecture (VacuumField, Stage1–3, CascadeEngine, OperatorModel, GeophysicalEmulator) is well-designed for ablation studies. Each stage can be independently enabled or disabled, allowing clean isolation of individual contributions to anomalous outputs. This is a significant methodological advantage over monolithic simulation approaches.</w:t>
      </w:r>
    </w:p>
    <w:p>
      <w:pPr>
        <w:spacing w:after="80" w:line="312"/>
        <w:jc w:val="both"/>
      </w:pPr>
      <w:r>
        <w:rPr>
          <w:b/>
          <w:bCs/>
          <w:color w:val="0A1628"/>
          <w:sz w:val="22"/>
          <w:szCs w:val="22"/>
        </w:rPr>
        <w:t xml:space="preserve">Falsification Framework: </w:t>
      </w:r>
      <w:r>
        <w:rPr>
          <w:color w:val="1A2B40"/>
          <w:sz w:val="22"/>
          <w:szCs w:val="22"/>
        </w:rPr>
        <w:t xml:space="preserve">The 8 virtual experiments in Group F provide clear null hypotheses and rejection criteria. The Casimir force calibration (Approach 41) and Aharonov–Bohm experiment (Approach 42) serve as essential sanity checks. If the simulation cannot reproduce known physics when ZPE extraction is disabled, the entire framework is invalidated.</w:t>
      </w:r>
    </w:p>
    <w:p>
      <w:pPr>
        <w:spacing w:after="80" w:line="312"/>
        <w:jc w:val="both"/>
      </w:pPr>
      <w:r>
        <w:rPr>
          <w:b/>
          <w:bCs/>
          <w:color w:val="0A1628"/>
          <w:sz w:val="22"/>
          <w:szCs w:val="22"/>
        </w:rPr>
        <w:t xml:space="preserve">Integration with QNVM v0.6: </w:t>
      </w:r>
      <w:r>
        <w:rPr>
          <w:color w:val="1A2B40"/>
          <w:sz w:val="22"/>
          <w:szCs w:val="22"/>
        </w:rPr>
        <w:t xml:space="preserve">The mapping from abstract ecological concepts (Entity, CI_B, CI_C, resurrection, archetypes) to physical quantities (vacuum domain, EM coherence, domain recovery) is creative and leverages existing validated code. This reduces implementation risk and provides a working baseline.</w:t>
      </w:r>
    </w:p>
    <w:p>
      <w:pPr>
        <w:pStyle w:val="Heading1"/>
        <w:spacing w:after="120" w:before="360"/>
      </w:pPr>
      <w:r>
        <w:rPr>
          <w:b/>
          <w:bCs/>
          <w:color w:val="0A1628"/>
          <w:sz w:val="28"/>
          <w:szCs w:val="28"/>
        </w:rPr>
        <w:t xml:space="preserve">3. Critical Concerns</w:t>
      </w:r>
    </w:p>
    <w:p>
      <w:pPr>
        <w:pStyle w:val="Heading2"/>
        <w:spacing w:after="120" w:before="360"/>
      </w:pPr>
      <w:r>
        <w:rPr>
          <w:b/>
          <w:bCs/>
          <w:color w:val="0A1628"/>
          <w:sz w:val="24"/>
          <w:szCs w:val="24"/>
        </w:rPr>
        <w:t xml:space="preserve">3.1 Garbage In, Garbage Out Risk</w:t>
      </w:r>
    </w:p>
    <w:p>
      <w:pPr>
        <w:spacing w:after="80" w:line="312"/>
        <w:jc w:val="both"/>
      </w:pPr>
      <w:r>
        <w:rPr>
          <w:color w:val="1A2B40"/>
          <w:sz w:val="22"/>
          <w:szCs w:val="22"/>
        </w:rPr>
        <w:t xml:space="preserve">The most fundamental concern is that a simulation can only validate its own internal consistency, not external reality. If the 48 approaches encode the same unphysical assumptions as the G-Engine whitepaper (e.g., the three-reservoir efficiency formula, the super-permeability equation with its 13-order-of-magnitude numerical error), the simulation will dutifully reproduce those errors as predictions. The QNVM-GE will then produce ‘falsifiable predictions’ that are mathematically consistent within the simulation but physically meaningless.</w:t>
      </w:r>
    </w:p>
    <w:p>
      <w:pPr>
        <w:spacing w:after="80" w:line="312"/>
        <w:jc w:val="both"/>
      </w:pPr>
      <w:r>
        <w:rPr>
          <w:color w:val="1A2B40"/>
          <w:sz w:val="22"/>
          <w:szCs w:val="22"/>
        </w:rPr>
        <w:t xml:space="preserve">Approach 8 (super-permeability mean-field theory) is a case in point. If the solver implements the equation as written in the whitepaper, it will produce mu_super/mu_0 ~ 10^6, but as the earlier scientific analysis demonstrated, the correct numerical evaluation gives ~1 + 6×10^(-13). The simulation would validate the wrong answer unless the underlying equation is corrected.</w:t>
      </w:r>
    </w:p>
    <w:p>
      <w:pPr>
        <w:pStyle w:val="Heading2"/>
        <w:spacing w:after="120" w:before="360"/>
      </w:pPr>
      <w:r>
        <w:rPr>
          <w:b/>
          <w:bCs/>
          <w:color w:val="0A1628"/>
          <w:sz w:val="24"/>
          <w:szCs w:val="24"/>
        </w:rPr>
        <w:t xml:space="preserve">3.2 Superluminal Propagation in FDTD</w:t>
      </w:r>
    </w:p>
    <w:p>
      <w:pPr>
        <w:spacing w:after="80" w:line="312"/>
        <w:jc w:val="both"/>
      </w:pPr>
      <w:r>
        <w:rPr>
          <w:color w:val="1A2B40"/>
          <w:sz w:val="22"/>
          <w:szCs w:val="22"/>
        </w:rPr>
        <w:t xml:space="preserve">Approach 17 (scalar wave superluminal propagation) and Approach 38 (CUDA-accelerated FDTD for scalar waves) propose solving a wave equation with v_s &gt; c. Standard FDTD methods require the Courant condition c*dt/dx &lt; 1 for numerical stability. If v_s &gt;&gt; c, the timestep must be reduced proportionally, making the simulation computationally infeasible for any reasonable spatial resolution. Furthermore, superluminal propagation violates causality in any Lorentz-invariant framework, which the simulation claims to respect as a limiting case. This creates an internal contradiction.</w:t>
      </w:r>
    </w:p>
    <w:p>
      <w:pPr>
        <w:pStyle w:val="Heading2"/>
        <w:spacing w:after="120" w:before="360"/>
      </w:pPr>
      <w:r>
        <w:rPr>
          <w:b/>
          <w:bCs/>
          <w:color w:val="0A1628"/>
          <w:sz w:val="24"/>
          <w:szCs w:val="24"/>
        </w:rPr>
        <w:t xml:space="preserve">3.3 Consciousness Modeling</w:t>
      </w:r>
    </w:p>
    <w:p>
      <w:pPr>
        <w:spacing w:after="80" w:line="312"/>
        <w:jc w:val="both"/>
      </w:pPr>
      <w:r>
        <w:rPr>
          <w:color w:val="1A2B40"/>
          <w:sz w:val="22"/>
          <w:szCs w:val="22"/>
        </w:rPr>
        <w:t xml:space="preserve">Approach 23 (operator heart-frequency coupling) and Approach 32 (biofield memory persistence) introduce a ‘consciousness’ module into a physics simulation. While the operator model is reduced to a simple oscillator, the claim that this oscillator phase-locks to the device via the fine structure constant alpha is not derived from any known physics. The consciousness-nulling control (Approach 46) is a good experimental design choice, but the underlying model lacks predictive power: any heartbeat frequency could be post-hoc rationalized as ‘in coherence’ or ‘out of coherence’ with the device.</w:t>
      </w:r>
    </w:p>
    <w:p>
      <w:pPr>
        <w:pStyle w:val="Heading2"/>
        <w:spacing w:after="120" w:before="360"/>
      </w:pPr>
      <w:r>
        <w:rPr>
          <w:b/>
          <w:bCs/>
          <w:color w:val="0A1628"/>
          <w:sz w:val="24"/>
          <w:szCs w:val="24"/>
        </w:rPr>
        <w:t xml:space="preserve">3.4 Non-Hermitian Quantum Optics</w:t>
      </w:r>
    </w:p>
    <w:p>
      <w:pPr>
        <w:spacing w:after="80" w:line="312"/>
        <w:jc w:val="both"/>
      </w:pPr>
      <w:r>
        <w:rPr>
          <w:color w:val="1A2B40"/>
          <w:sz w:val="22"/>
          <w:szCs w:val="22"/>
        </w:rPr>
        <w:t xml:space="preserve">Approach 33 proposes using PT-symmetric Hamiltonians to model gain/loss in the vacuum triode. While PT-symmetric quantum mechanics is a legitimate research area, it does not provide a mechanism for energy extraction from the vacuum. PT symmetry describes systems with balanced gain and loss; the total energy is conserved in the PT-unbroken regime and the system is unstable in the PT-broken regime. Neither regime produces net energy output from the vacuum. Applying PT-symmetric methods here appears to be a mathematical formalism in search of a physical mechanism.</w:t>
      </w:r>
    </w:p>
    <w:p>
      <w:pPr>
        <w:pStyle w:val="Heading2"/>
        <w:spacing w:after="120" w:before="360"/>
      </w:pPr>
      <w:r>
        <w:rPr>
          <w:b/>
          <w:bCs/>
          <w:color w:val="0A1628"/>
          <w:sz w:val="24"/>
          <w:szCs w:val="24"/>
        </w:rPr>
        <w:t xml:space="preserve">3.5 Lattice Boltzmann Method for ZPE</w:t>
      </w:r>
    </w:p>
    <w:p>
      <w:pPr>
        <w:spacing w:after="80" w:line="312"/>
        <w:jc w:val="both"/>
      </w:pPr>
      <w:r>
        <w:rPr>
          <w:color w:val="1A2B40"/>
          <w:sz w:val="22"/>
          <w:szCs w:val="22"/>
        </w:rPr>
        <w:t xml:space="preserve">Approach 35 proposes treating vacuum energy density as a fluid with negative viscosity. The Lattice Boltzmann Method (LBM) is well-established for fluid dynamics, but its application to quantum vacuum energy is unprecedented and unjustified. Negative viscosity introduces numerical instabilities in LBM (the scheme becomes ill-posed), and there is no known physical mechanism by which the vacuum exhibits fluid-like behavior with tunable viscosity. This approach appears to confuse mathematical analogy with physical correspondence.</w:t>
      </w:r>
    </w:p>
    <w:p>
      <w:pPr>
        <w:pStyle w:val="Heading1"/>
        <w:spacing w:after="120" w:before="360"/>
      </w:pPr>
      <w:r>
        <w:rPr>
          <w:b/>
          <w:bCs/>
          <w:color w:val="0A1628"/>
          <w:sz w:val="28"/>
          <w:szCs w:val="28"/>
        </w:rPr>
        <w:t xml:space="preserve">4. Computational Feasibility</w:t>
      </w:r>
    </w:p>
    <w:p>
      <w:pPr>
        <w:spacing w:after="80" w:line="312"/>
        <w:jc w:val="both"/>
      </w:pPr>
      <w:r>
        <w:rPr>
          <w:color w:val="1A2B40"/>
          <w:sz w:val="22"/>
          <w:szCs w:val="22"/>
        </w:rPr>
        <w:t xml:space="preserve">The 28-week timeline for a single developer is ambitious. Stage 3 alone (6 weeks) requires implementing a scalar wave FDTD solver, fractal impedance matching, Einstein field equation solver with time-dependent cosmological constant, and superluminal propagation — each of which is a substantial research software engineering project. The CUDA acceleration (Approach 38) adds GPU programming complexity. A realistic estimate for a production-quality implementation would be 2–3 years for a small team.</w:t>
      </w:r>
    </w:p>
    <w:p>
      <w:pPr>
        <w:pStyle w:val="Heading1"/>
        <w:spacing w:after="120" w:before="360"/>
      </w:pPr>
      <w:r>
        <w:rPr>
          <w:b/>
          <w:bCs/>
          <w:color w:val="0A1628"/>
          <w:sz w:val="28"/>
          <w:szCs w:val="28"/>
        </w:rPr>
        <w:t xml:space="preserve">5. Recommendations</w:t>
      </w:r>
    </w:p>
    <w:p>
      <w:pPr>
        <w:spacing w:after="60" w:line="312"/>
        <w:ind w:left="480"/>
        <w:jc w:val="left"/>
      </w:pPr>
      <w:r>
        <w:rPr>
          <w:color w:val="1A2B40"/>
          <w:sz w:val="22"/>
          <w:szCs w:val="22"/>
        </w:rPr>
        <w:t xml:space="preserve">• Correct the underlying G-Engine equations before implementing them. A simulation of incorrect physics produces incorrect predictions.</w:t>
      </w:r>
    </w:p>
    <w:p>
      <w:pPr>
        <w:spacing w:after="60" w:line="312"/>
        <w:ind w:left="480"/>
        <w:jc w:val="left"/>
      </w:pPr>
      <w:r>
        <w:rPr>
          <w:color w:val="1A2B40"/>
          <w:sz w:val="22"/>
          <w:szCs w:val="22"/>
        </w:rPr>
        <w:t xml:space="preserve">• Implement the Casimir calibration (Approach 41) and A-B experiment (Approach 42) first, before any anomalous physics modules, to validate the baseline simulation.</w:t>
      </w:r>
    </w:p>
    <w:p>
      <w:pPr>
        <w:spacing w:after="60" w:line="312"/>
        <w:ind w:left="480"/>
        <w:jc w:val="left"/>
      </w:pPr>
      <w:r>
        <w:rPr>
          <w:color w:val="1A2B40"/>
          <w:sz w:val="22"/>
          <w:szCs w:val="22"/>
        </w:rPr>
        <w:t xml:space="preserve">• Replace the superluminal FDTD (Approach 17/38) with a sub-luminal scalar wave model, or clearly label it as an unphysical parameter study.</w:t>
      </w:r>
    </w:p>
    <w:p>
      <w:pPr>
        <w:spacing w:after="60" w:line="312"/>
        <w:ind w:left="480"/>
        <w:jc w:val="left"/>
      </w:pPr>
      <w:r>
        <w:rPr>
          <w:color w:val="1A2B40"/>
          <w:sz w:val="22"/>
          <w:szCs w:val="22"/>
        </w:rPr>
        <w:t xml:space="preserve">• Decouple the consciousness model (Approaches 23, 32, 46) from the core physics. Run all experiments both with and without the operator module.</w:t>
      </w:r>
    </w:p>
    <w:p>
      <w:pPr>
        <w:spacing w:after="60" w:line="312"/>
        <w:ind w:left="480"/>
        <w:jc w:val="left"/>
      </w:pPr>
      <w:r>
        <w:rPr>
          <w:color w:val="1A2B40"/>
          <w:sz w:val="22"/>
          <w:szCs w:val="22"/>
        </w:rPr>
        <w:t xml:space="preserve">• Add a ‘known physics mode’ where xi_coupling = 0 (reducing to standard GR + Maxwell) as a continuous sanity check alongside the Casimir calibration.</w:t>
      </w:r>
    </w:p>
    <w:p>
      <w:pPr>
        <w:spacing w:after="60" w:line="312"/>
        <w:ind w:left="480"/>
        <w:jc w:val="left"/>
      </w:pPr>
      <w:r>
        <w:rPr>
          <w:color w:val="1A2B40"/>
          <w:sz w:val="22"/>
          <w:szCs w:val="22"/>
        </w:rPr>
        <w:t xml:space="preserve">• Implement uncertainty quantification (Approach 40) from Phase 0, not Phase 6. Parameter sensitivity should guide module development priority.</w:t>
      </w:r>
    </w:p>
    <w:p>
      <w:pPr>
        <w:spacing w:after="60" w:line="312"/>
        <w:ind w:left="480"/>
        <w:jc w:val="left"/>
      </w:pPr>
      <w:r>
        <w:rPr>
          <w:color w:val="1A2B40"/>
          <w:sz w:val="22"/>
          <w:szCs w:val="22"/>
        </w:rPr>
        <w:t xml:space="preserve">• Replace the LBM for ZPE (Approach 35) with a standard SED spectral integration, which is better established and numerically stable.</w:t>
      </w:r>
    </w:p>
    <w:p>
      <w:pPr>
        <w:pStyle w:val="Heading1"/>
        <w:spacing w:after="120" w:before="360"/>
      </w:pPr>
      <w:r>
        <w:rPr>
          <w:b/>
          <w:bCs/>
          <w:color w:val="0A1628"/>
          <w:sz w:val="28"/>
          <w:szCs w:val="28"/>
        </w:rPr>
        <w:t xml:space="preserve">6. Conclusion</w:t>
      </w:r>
    </w:p>
    <w:p>
      <w:pPr>
        <w:spacing w:after="80" w:line="312"/>
        <w:jc w:val="both"/>
      </w:pPr>
      <w:r>
        <w:rPr>
          <w:color w:val="1A2B40"/>
          <w:sz w:val="22"/>
          <w:szCs w:val="22"/>
        </w:rPr>
        <w:t xml:space="preserve">The QNVM-GE blueprint is methodologically stronger than the G-Engine whitepaper it seeks to validate. Its emphasis on falsification, ablation studies, and calibration against known physics represents genuine scientific thinking. However, the blueprint inherits and amplifies the whitepaper’s theoretical errors by proposing to implement them as computable modules. A simulation that faithfully reproduces an incorrect equation will produce confidently incorrect predictions. The greatest value of the QNVM-GE would be as a null-result generator: by running the simulation with corrected physics and showing that no anomalous outputs occur, it would provide computational evidence that the G-Engine framework’s claims are artifacts of its mathematical errors, not predictions of new physics.</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6"/>
        <w:szCs w:val="16"/>
      </w:rPr>
      <w:t xml:space="preserve">QNVM-GE Analysis — Page </w:t>
    </w:r>
    <w:r>
      <w:rPr>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2026-06-11T16:07:11.567Z</dcterms:created>
  <dcterms:modified xsi:type="dcterms:W3CDTF">2026-06-11T16:07:11.568Z</dcterms:modified>
</cp:coreProperties>
</file>

<file path=docProps/custom.xml><?xml version="1.0" encoding="utf-8"?>
<Properties xmlns="http://schemas.openxmlformats.org/officeDocument/2006/custom-properties" xmlns:vt="http://schemas.openxmlformats.org/officeDocument/2006/docPropsVTypes"/>
</file>