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E63C" w14:textId="45C6AFB5" w:rsidR="008D4A0E" w:rsidRPr="00E21984" w:rsidRDefault="008D4A0E" w:rsidP="008D4A0E">
      <w:pPr>
        <w:ind w:firstLineChars="0" w:firstLine="0"/>
        <w:jc w:val="center"/>
        <w:rPr>
          <w:b/>
          <w:sz w:val="28"/>
        </w:rPr>
      </w:pPr>
      <w:r w:rsidRPr="00E21984">
        <w:rPr>
          <w:rFonts w:hint="eastAsia"/>
          <w:b/>
          <w:sz w:val="28"/>
        </w:rPr>
        <w:t>D</w:t>
      </w:r>
      <w:r w:rsidRPr="00E21984">
        <w:rPr>
          <w:b/>
          <w:sz w:val="28"/>
        </w:rPr>
        <w:t>ocumentation</w:t>
      </w:r>
    </w:p>
    <w:p w14:paraId="209DB2AF" w14:textId="629E2B17" w:rsidR="00EF6BDD" w:rsidRPr="00E21984" w:rsidRDefault="00EF6BDD" w:rsidP="00EF6BDD">
      <w:pPr>
        <w:ind w:firstLine="420"/>
      </w:pPr>
      <w:r w:rsidRPr="00E21984">
        <w:t>This study conducts a quantitative comparison of the four existing decision-focused learning methods. Overall, they can be categorized into two types: indirect and direct. Th</w:t>
      </w:r>
      <w:r w:rsidRPr="00E21984">
        <w:rPr>
          <w:rFonts w:hint="eastAsia"/>
        </w:rPr>
        <w:t>ey</w:t>
      </w:r>
      <w:r w:rsidRPr="00E21984">
        <w:t xml:space="preserve"> can be further divided into gradient-free and gradient-based methods. </w:t>
      </w:r>
      <w:r w:rsidR="00005593" w:rsidRPr="00E21984">
        <w:t xml:space="preserve">The model section includes a load forecasting model and a decision-making model (day-ahead and real-time market). IEEE 118-node system is utilized as the test system. </w:t>
      </w:r>
      <w:r w:rsidRPr="00E21984">
        <w:t xml:space="preserve">The comparison dimensions include offline training time, online decision time, decision performance, and prediction accuracy. </w:t>
      </w:r>
      <w:r w:rsidR="00B61780" w:rsidRPr="00E21984">
        <w:t>The way prediction and decision-making are linked varies according to the four different decision-focused learning methods, with the data parameters and indicators used uniformly, as detailed below.</w:t>
      </w:r>
    </w:p>
    <w:p w14:paraId="102DF82C" w14:textId="2E0FFA2D" w:rsidR="004069CE" w:rsidRPr="00E21984" w:rsidRDefault="004069CE" w:rsidP="00EF6BDD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t>(</w:t>
      </w:r>
      <w:r w:rsidR="0055009B" w:rsidRPr="00E21984">
        <w:rPr>
          <w:b/>
          <w:sz w:val="24"/>
        </w:rPr>
        <w:t>1</w:t>
      </w:r>
      <w:r w:rsidRPr="00E21984">
        <w:rPr>
          <w:b/>
          <w:sz w:val="24"/>
        </w:rPr>
        <w:t xml:space="preserve">) </w:t>
      </w:r>
      <w:r w:rsidR="00D44B10" w:rsidRPr="00E21984">
        <w:rPr>
          <w:b/>
          <w:sz w:val="24"/>
        </w:rPr>
        <w:t>D</w:t>
      </w:r>
      <w:r w:rsidR="00D44B10" w:rsidRPr="00E21984">
        <w:rPr>
          <w:rFonts w:hint="eastAsia"/>
          <w:b/>
          <w:sz w:val="24"/>
        </w:rPr>
        <w:t>ecision</w:t>
      </w:r>
      <w:r w:rsidR="00D44B10" w:rsidRPr="00E21984">
        <w:rPr>
          <w:b/>
          <w:sz w:val="24"/>
        </w:rPr>
        <w:t>-</w:t>
      </w:r>
      <w:r w:rsidR="00D44B10" w:rsidRPr="00E21984">
        <w:rPr>
          <w:rFonts w:hint="eastAsia"/>
          <w:b/>
          <w:sz w:val="24"/>
        </w:rPr>
        <w:t>making</w:t>
      </w:r>
      <w:r w:rsidRPr="00E21984">
        <w:rPr>
          <w:b/>
          <w:sz w:val="24"/>
        </w:rPr>
        <w:t xml:space="preserve"> model</w:t>
      </w:r>
    </w:p>
    <w:p w14:paraId="3C7B9AB7" w14:textId="6C7DE205" w:rsidR="0055009B" w:rsidRPr="00E21984" w:rsidRDefault="0055009B" w:rsidP="0055009B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①</w:t>
      </w:r>
      <w:r w:rsidR="0030752C" w:rsidRPr="00E21984">
        <w:rPr>
          <w:rFonts w:ascii="宋体" w:hAnsi="宋体" w:cs="宋体" w:hint="eastAsia"/>
          <w:b/>
        </w:rPr>
        <w:t xml:space="preserve"> </w:t>
      </w:r>
      <w:r w:rsidRPr="00E21984">
        <w:rPr>
          <w:b/>
        </w:rPr>
        <w:t>Sets and Indices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6746"/>
      </w:tblGrid>
      <w:tr w:rsidR="00E21984" w:rsidRPr="00E21984" w14:paraId="2A7D712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2AC1" w14:textId="686694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80" w:dyaOrig="279" w14:anchorId="414794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5pt;height:14.4pt" o:ole="">
                  <v:imagedata r:id="rId8" o:title=""/>
                </v:shape>
                <o:OLEObject Type="Embed" ProgID="Equation.DSMT4" ShapeID="_x0000_i1025" DrawAspect="Content" ObjectID="_1806078542" r:id="rId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2AD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hours.</w:t>
            </w:r>
          </w:p>
        </w:tc>
      </w:tr>
      <w:tr w:rsidR="00E21984" w:rsidRPr="00E21984" w14:paraId="5D36530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9060" w14:textId="42681AC6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1020" w:dyaOrig="320" w14:anchorId="67498A16">
                <v:shape id="_x0000_i1026" type="#_x0000_t75" style="width:51.35pt;height:15.65pt" o:ole="">
                  <v:imagedata r:id="rId10" o:title=""/>
                </v:shape>
                <o:OLEObject Type="Embed" ProgID="Equation.DSMT4" ShapeID="_x0000_i1026" DrawAspect="Content" ObjectID="_1806078543" r:id="rId1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46BB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transmission lines.</w:t>
            </w:r>
          </w:p>
        </w:tc>
      </w:tr>
      <w:bookmarkStart w:id="0" w:name="MTBlankEqn"/>
      <w:tr w:rsidR="00E21984" w:rsidRPr="00E21984" w14:paraId="2966A6B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23AB" w14:textId="18B91E73" w:rsidR="0055009B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40" w:dyaOrig="279" w14:anchorId="527B12DB">
                <v:shape id="_x0000_i1027" type="#_x0000_t75" style="width:26.9pt;height:14.4pt" o:ole="">
                  <v:imagedata r:id="rId12" o:title=""/>
                </v:shape>
                <o:OLEObject Type="Embed" ProgID="Equation.DSMT4" ShapeID="_x0000_i1027" DrawAspect="Content" ObjectID="_1806078544" r:id="rId13"/>
              </w:object>
            </w:r>
            <w:bookmarkEnd w:id="0"/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E19F5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conventional generation units.</w:t>
            </w:r>
          </w:p>
        </w:tc>
      </w:tr>
      <w:tr w:rsidR="00E21984" w:rsidRPr="00E21984" w14:paraId="4F5AFB4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79F96" w14:textId="2E90EF0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600" w:dyaOrig="320" w14:anchorId="2AA1BE24">
                <v:shape id="_x0000_i1028" type="#_x0000_t75" style="width:30.05pt;height:15.65pt" o:ole="">
                  <v:imagedata r:id="rId14" o:title=""/>
                </v:shape>
                <o:OLEObject Type="Embed" ProgID="Equation.DSMT4" ShapeID="_x0000_i1028" DrawAspect="Content" ObjectID="_1806078545" r:id="rId1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3228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loads.</w:t>
            </w:r>
          </w:p>
        </w:tc>
      </w:tr>
      <w:tr w:rsidR="00E21984" w:rsidRPr="00E21984" w14:paraId="2BC9BC58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5B478" w14:textId="092DDE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680" w:dyaOrig="279" w14:anchorId="7C2B5F50">
                <v:shape id="_x0000_i1029" type="#_x0000_t75" style="width:33.8pt;height:14.4pt" o:ole="">
                  <v:imagedata r:id="rId16" o:title=""/>
                </v:shape>
                <o:OLEObject Type="Embed" ProgID="Equation.DSMT4" ShapeID="_x0000_i1029" DrawAspect="Content" ObjectID="_1806078546" r:id="rId1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940DB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nodes.</w:t>
            </w:r>
          </w:p>
        </w:tc>
      </w:tr>
      <w:tr w:rsidR="00E21984" w:rsidRPr="00E21984" w14:paraId="26E3C55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4AF1" w14:textId="3FC9CF84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60" w:dyaOrig="380" w14:anchorId="36FE5DB3">
                <v:shape id="_x0000_i1030" type="#_x0000_t75" style="width:17.55pt;height:18.8pt" o:ole="">
                  <v:imagedata r:id="rId18" o:title=""/>
                </v:shape>
                <o:OLEObject Type="Embed" ProgID="Equation.DSMT4" ShapeID="_x0000_i1030" DrawAspect="Content" ObjectID="_1806078547" r:id="rId1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EA9F" w14:textId="06E7713D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Day-ahead </w:t>
            </w:r>
            <w:r w:rsidR="007155CD" w:rsidRPr="00E21984">
              <w:t>voltage</w:t>
            </w:r>
            <w:r w:rsidRPr="00E21984">
              <w:t xml:space="preserve">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2A30D469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6131E" w14:textId="3C2AE1C1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39AF97F3">
                <v:shape id="_x0000_i1031" type="#_x0000_t75" style="width:18.8pt;height:18.8pt" o:ole="">
                  <v:imagedata r:id="rId20" o:title=""/>
                </v:shape>
                <o:OLEObject Type="Embed" ProgID="Equation.DSMT4" ShapeID="_x0000_i1031" DrawAspect="Content" ObjectID="_1806078548" r:id="rId2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1314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Real-time voltage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573FFB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19A6F" w14:textId="54238B0B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4"/>
              </w:rPr>
              <w:object w:dxaOrig="540" w:dyaOrig="300" w14:anchorId="04CCF888">
                <v:shape id="_x0000_i1032" type="#_x0000_t75" style="width:26.9pt;height:15.65pt" o:ole="">
                  <v:imagedata r:id="rId22" o:title=""/>
                </v:shape>
                <o:OLEObject Type="Embed" ProgID="Equation.DSMT4" ShapeID="_x0000_i1032" DrawAspect="Content" ObjectID="_1806078549" r:id="rId2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E6972" w14:textId="4B2C175A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Up-/Downward reserve requirement</w:t>
            </w:r>
            <w:r w:rsidR="007155CD" w:rsidRPr="00E21984">
              <w:t xml:space="preserve"> of power system</w:t>
            </w:r>
            <w:r w:rsidRPr="00E21984">
              <w:t xml:space="preserve"> [MW].</w:t>
            </w:r>
          </w:p>
        </w:tc>
      </w:tr>
      <w:tr w:rsidR="00E21984" w:rsidRPr="00E21984" w14:paraId="18547BB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05E8B" w14:textId="67C2839F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80" w14:anchorId="5C8D032B">
                <v:shape id="_x0000_i1033" type="#_x0000_t75" style="width:26.9pt;height:18.8pt" o:ole="">
                  <v:imagedata r:id="rId24" o:title=""/>
                </v:shape>
                <o:OLEObject Type="Embed" ProgID="Equation.DSMT4" ShapeID="_x0000_i1033" DrawAspect="Content" ObjectID="_1806078550" r:id="rId2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C02F" w14:textId="7B79593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Up-/Downward reserve capacity of unit i [MW].</w:t>
            </w:r>
          </w:p>
        </w:tc>
      </w:tr>
      <w:tr w:rsidR="00E21984" w:rsidRPr="00E21984" w14:paraId="03AA24BF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FFEBD" w14:textId="729A0E58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20" w14:anchorId="5B0E93F5">
                <v:shape id="_x0000_i1034" type="#_x0000_t75" style="width:15.65pt;height:21.3pt" o:ole="">
                  <v:imagedata r:id="rId26" o:title=""/>
                </v:shape>
                <o:OLEObject Type="Embed" ProgID="Equation.DSMT4" ShapeID="_x0000_i1034" DrawAspect="Content" ObjectID="_1806078551" r:id="rId2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C75A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Forecasting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08129EB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052C8" w14:textId="1B252EA5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380" w14:anchorId="2506C9F9">
                <v:shape id="_x0000_i1035" type="#_x0000_t75" style="width:15.65pt;height:18.8pt" o:ole="">
                  <v:imagedata r:id="rId28" o:title=""/>
                </v:shape>
                <o:OLEObject Type="Embed" ProgID="Equation.DSMT4" ShapeID="_x0000_i1035" DrawAspect="Content" ObjectID="_1806078552" r:id="rId2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A09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Actual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3AC3DA9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EFA6" w14:textId="7C7B405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00" w14:anchorId="377EDEB0">
                <v:shape id="_x0000_i1036" type="#_x0000_t75" style="width:15.65pt;height:20.65pt" o:ole="">
                  <v:imagedata r:id="rId30" o:title=""/>
                </v:shape>
                <o:OLEObject Type="Embed" ProgID="Equation.DSMT4" ShapeID="_x0000_i1036" DrawAspect="Content" ObjectID="_1806078553" r:id="rId3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9D1A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bookmarkStart w:id="1" w:name="_Hlk191633998"/>
            <w:r w:rsidRPr="00E21984">
              <w:t xml:space="preserve">Shedding of load </w:t>
            </w:r>
            <w:r w:rsidRPr="00E21984">
              <w:rPr>
                <w:rFonts w:hint="eastAsia"/>
                <w:i/>
              </w:rPr>
              <w:t>q</w:t>
            </w:r>
            <w:r w:rsidRPr="00E21984">
              <w:t xml:space="preserve"> [MW].</w:t>
            </w:r>
            <w:bookmarkEnd w:id="1"/>
          </w:p>
        </w:tc>
      </w:tr>
      <w:tr w:rsidR="00E21984" w:rsidRPr="00E21984" w14:paraId="15609E8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4CAA4" w14:textId="1F601FA0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4E082A84">
                <v:shape id="_x0000_i1037" type="#_x0000_t75" style="width:18.8pt;height:18.8pt" o:ole="">
                  <v:imagedata r:id="rId32" o:title=""/>
                </v:shape>
                <o:OLEObject Type="Embed" ProgID="Equation.DSMT4" ShapeID="_x0000_i1037" DrawAspect="Content" ObjectID="_1806078554" r:id="rId3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EA08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dispatch of conventional unit </w:t>
            </w:r>
            <w:r w:rsidRPr="00E21984">
              <w:rPr>
                <w:i/>
              </w:rPr>
              <w:t>i</w:t>
            </w:r>
            <w:r w:rsidRPr="00E21984">
              <w:t xml:space="preserve"> [MW].</w:t>
            </w:r>
          </w:p>
        </w:tc>
      </w:tr>
      <w:tr w:rsidR="00E21984" w:rsidRPr="00E21984" w14:paraId="05610D1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D7755" w14:textId="45AA04AE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60" w:dyaOrig="380" w14:anchorId="423B15D1">
                <v:shape id="_x0000_i1038" type="#_x0000_t75" style="width:23.15pt;height:18.8pt" o:ole="">
                  <v:imagedata r:id="rId34" o:title=""/>
                </v:shape>
                <o:OLEObject Type="Embed" ProgID="Equation.DSMT4" ShapeID="_x0000_i1038" DrawAspect="Content" ObjectID="_1806078555" r:id="rId3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7C1C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provision from unit </w:t>
            </w:r>
            <w:r w:rsidRPr="00E21984">
              <w:rPr>
                <w:i/>
              </w:rPr>
              <w:t>i</w:t>
            </w:r>
            <w:r w:rsidRPr="00E21984">
              <w:t xml:space="preserve"> [MW]</w:t>
            </w:r>
          </w:p>
        </w:tc>
      </w:tr>
      <w:tr w:rsidR="00E21984" w:rsidRPr="00E21984" w14:paraId="5F045C6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F3A1" w14:textId="268272F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20" w:dyaOrig="380" w14:anchorId="008800FE">
                <v:shape id="_x0000_i1039" type="#_x0000_t75" style="width:21.3pt;height:18.8pt" o:ole="">
                  <v:imagedata r:id="rId36" o:title=""/>
                </v:shape>
                <o:OLEObject Type="Embed" ProgID="Equation.DSMT4" ShapeID="_x0000_i1039" DrawAspect="Content" ObjectID="_1806078556" r:id="rId3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55901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deployment of unit </w:t>
            </w:r>
            <w:r w:rsidRPr="00E21984">
              <w:rPr>
                <w:i/>
              </w:rPr>
              <w:t>i</w:t>
            </w:r>
            <w:r w:rsidRPr="00E21984">
              <w:rPr>
                <w:rFonts w:hint="eastAsia"/>
              </w:rPr>
              <w:t xml:space="preserve"> </w:t>
            </w:r>
            <w:r w:rsidRPr="00E21984">
              <w:t>[MW].</w:t>
            </w:r>
          </w:p>
        </w:tc>
      </w:tr>
      <w:tr w:rsidR="00E21984" w:rsidRPr="00E21984" w14:paraId="7A4D991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97126" w14:textId="7581027C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40" w:dyaOrig="380" w14:anchorId="48186DB2">
                <v:shape id="_x0000_i1040" type="#_x0000_t75" style="width:16.9pt;height:18.8pt" o:ole="">
                  <v:imagedata r:id="rId38" o:title=""/>
                </v:shape>
                <o:OLEObject Type="Embed" ProgID="Equation.DSMT4" ShapeID="_x0000_i1040" DrawAspect="Content" ObjectID="_1806078557" r:id="rId3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68C3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price offer of unit </w:t>
            </w:r>
            <w:r w:rsidRPr="00E21984">
              <w:rPr>
                <w:i/>
              </w:rPr>
              <w:t>i</w:t>
            </w:r>
            <w:r w:rsidRPr="00E21984">
              <w:t xml:space="preserve"> [$/MW].</w:t>
            </w:r>
          </w:p>
        </w:tc>
      </w:tr>
      <w:tr w:rsidR="00E21984" w:rsidRPr="00E21984" w14:paraId="5448890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68D94" w14:textId="714934F2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80" w:dyaOrig="380" w14:anchorId="71C9B58F">
                <v:shape id="_x0000_i1041" type="#_x0000_t75" style="width:24.4pt;height:18.8pt" o:ole="">
                  <v:imagedata r:id="rId40" o:title=""/>
                </v:shape>
                <o:OLEObject Type="Embed" ProgID="Equation.DSMT4" ShapeID="_x0000_i1041" DrawAspect="Content" ObjectID="_1806078558" r:id="rId4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1D3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price offer of unit </w:t>
            </w:r>
            <w:r w:rsidRPr="00E21984">
              <w:rPr>
                <w:i/>
              </w:rPr>
              <w:t>i</w:t>
            </w:r>
            <w:r w:rsidRPr="00E21984">
              <w:t xml:space="preserve"> [$/MWh]</w:t>
            </w:r>
          </w:p>
        </w:tc>
      </w:tr>
      <w:tr w:rsidR="00E21984" w:rsidRPr="00E21984" w14:paraId="431C54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792D" w14:textId="20812951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60" w14:anchorId="1496364F">
                <v:shape id="_x0000_i1042" type="#_x0000_t75" style="width:26.9pt;height:17.55pt" o:ole="">
                  <v:imagedata r:id="rId42" o:title=""/>
                </v:shape>
                <o:OLEObject Type="Embed" ProgID="Equation.DSMT4" ShapeID="_x0000_i1042" DrawAspect="Content" ObjectID="_1806078559" r:id="rId4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EB6E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Value of lost load [$/MWh].</w:t>
            </w:r>
          </w:p>
        </w:tc>
      </w:tr>
      <w:tr w:rsidR="00E21984" w:rsidRPr="00E21984" w14:paraId="76564D3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C984" w14:textId="5188BA94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5F80102F">
                <v:shape id="_x0000_i1043" type="#_x0000_t75" style="width:15.05pt;height:17.55pt" o:ole="">
                  <v:imagedata r:id="rId44" o:title=""/>
                </v:shape>
                <o:OLEObject Type="Embed" ProgID="Equation.DSMT4" ShapeID="_x0000_i1043" DrawAspect="Content" ObjectID="_1806078560" r:id="rId4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FA5BE" w14:textId="4620A247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rFonts w:hint="eastAsia"/>
              </w:rPr>
              <w:t>Punishment cost of slack variable [</w:t>
            </w:r>
            <w:r w:rsidRPr="00E21984">
              <w:t>$/MWh</w:t>
            </w:r>
            <w:r w:rsidRPr="00E21984">
              <w:rPr>
                <w:rFonts w:hint="eastAsia"/>
              </w:rPr>
              <w:t>].</w:t>
            </w:r>
          </w:p>
        </w:tc>
      </w:tr>
      <w:tr w:rsidR="00E21984" w:rsidRPr="00E21984" w14:paraId="72C87B6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3CA9" w14:textId="161AD694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5490DFD1">
                <v:shape id="_x0000_i1044" type="#_x0000_t75" style="width:18.8pt;height:18.8pt" o:ole="">
                  <v:imagedata r:id="rId46" o:title=""/>
                </v:shape>
                <o:OLEObject Type="Embed" ProgID="Equation.DSMT4" ShapeID="_x0000_i1044" DrawAspect="Content" ObjectID="_1806078561" r:id="rId4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DFE7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Capacity of transmission line (</w:t>
            </w:r>
            <w:r w:rsidRPr="00E21984">
              <w:rPr>
                <w:i/>
              </w:rPr>
              <w:t>n</w:t>
            </w:r>
            <w:r w:rsidRPr="00E21984">
              <w:t xml:space="preserve">, </w:t>
            </w:r>
            <w:r w:rsidRPr="00E21984">
              <w:rPr>
                <w:i/>
              </w:rPr>
              <w:t>m</w:t>
            </w:r>
            <w:r w:rsidRPr="00E21984">
              <w:t>) [MW].</w:t>
            </w:r>
          </w:p>
        </w:tc>
      </w:tr>
      <w:tr w:rsidR="00E21984" w:rsidRPr="00E21984" w14:paraId="3AE1B062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37D55" w14:textId="1EA6B08D" w:rsidR="00AF0AA7" w:rsidRPr="00E21984" w:rsidRDefault="00AF0AA7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240" w:dyaOrig="380" w14:anchorId="6AF741C2">
                <v:shape id="_x0000_i1045" type="#_x0000_t75" style="width:12.5pt;height:18.8pt" o:ole="">
                  <v:imagedata r:id="rId48" o:title=""/>
                </v:shape>
                <o:OLEObject Type="Embed" ProgID="Equation.DSMT4" ShapeID="_x0000_i1045" DrawAspect="Content" ObjectID="_1806078562" r:id="rId4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BE80B" w14:textId="3CB2A28C" w:rsidR="00AF0AA7" w:rsidRPr="00E21984" w:rsidRDefault="00CB559F" w:rsidP="00702D02">
            <w:pPr>
              <w:spacing w:line="320" w:lineRule="exact"/>
              <w:ind w:firstLineChars="0" w:firstLine="0"/>
            </w:pPr>
            <w:r w:rsidRPr="00E21984">
              <w:t>Maximum d</w:t>
            </w:r>
            <w:r w:rsidR="00AF0AA7" w:rsidRPr="00E21984">
              <w:t xml:space="preserve">ay-ahead quantity offer of unit </w:t>
            </w:r>
            <w:r w:rsidR="00AF0AA7" w:rsidRPr="00E21984">
              <w:rPr>
                <w:i/>
              </w:rPr>
              <w:t>i</w:t>
            </w:r>
            <w:r w:rsidR="00AF0AA7" w:rsidRPr="00E21984">
              <w:t xml:space="preserve"> [MW].</w:t>
            </w:r>
          </w:p>
        </w:tc>
      </w:tr>
      <w:tr w:rsidR="00E21984" w:rsidRPr="00E21984" w14:paraId="36E6F2A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49DE2" w14:textId="206A7959" w:rsidR="00702D02" w:rsidRPr="00E21984" w:rsidRDefault="00BD46E9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68219152">
                <v:shape id="_x0000_i1046" type="#_x0000_t75" style="width:15.05pt;height:17.55pt" o:ole="">
                  <v:imagedata r:id="rId50" o:title=""/>
                </v:shape>
                <o:OLEObject Type="Embed" ProgID="Equation.DSMT4" ShapeID="_x0000_i1046" DrawAspect="Content" ObjectID="_1806078563" r:id="rId5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D181" w14:textId="6084B1CE" w:rsidR="00702D02" w:rsidRPr="00E21984" w:rsidRDefault="00702D02" w:rsidP="00702D02">
            <w:pPr>
              <w:spacing w:line="320" w:lineRule="exact"/>
              <w:ind w:firstLineChars="0" w:firstLine="0"/>
            </w:pPr>
            <w:r w:rsidRPr="00E21984">
              <w:t>Slack variable indicating the real-time stage generator output waste [MW].</w:t>
            </w:r>
          </w:p>
        </w:tc>
      </w:tr>
    </w:tbl>
    <w:p w14:paraId="3A88137D" w14:textId="14844793" w:rsidR="0030752C" w:rsidRPr="00E21984" w:rsidRDefault="0030752C" w:rsidP="0030752C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②</w:t>
      </w:r>
      <w:r w:rsidRPr="00E21984">
        <w:rPr>
          <w:b/>
        </w:rPr>
        <w:t xml:space="preserve"> Day-ahead market</w:t>
      </w:r>
    </w:p>
    <w:p w14:paraId="238A80AB" w14:textId="0EA80CDE" w:rsidR="004069CE" w:rsidRPr="00E21984" w:rsidRDefault="0030752C" w:rsidP="00FD6BBB">
      <w:pPr>
        <w:ind w:firstLine="420"/>
      </w:pPr>
      <w:r w:rsidRPr="00E21984">
        <w:rPr>
          <w:rFonts w:hint="eastAsia"/>
        </w:rPr>
        <w:t xml:space="preserve">The </w:t>
      </w:r>
      <w:r w:rsidRPr="00E21984">
        <w:t xml:space="preserve">typical </w:t>
      </w:r>
      <w:r w:rsidRPr="00E21984">
        <w:rPr>
          <w:rFonts w:hint="eastAsia"/>
        </w:rPr>
        <w:t xml:space="preserve">electricity market clearing model consists of the day-ahead market clearing model and the </w:t>
      </w:r>
      <w:r w:rsidRPr="00E21984">
        <w:t>real-time market</w:t>
      </w:r>
      <w:r w:rsidRPr="00E21984">
        <w:rPr>
          <w:rFonts w:hint="eastAsia"/>
        </w:rPr>
        <w:t xml:space="preserve"> clearing model</w:t>
      </w:r>
      <w:r w:rsidRPr="00E21984">
        <w:rPr>
          <w:vertAlign w:val="superscript"/>
        </w:rPr>
        <w:t>[1]</w:t>
      </w:r>
      <w:r w:rsidRPr="00E21984">
        <w:rPr>
          <w:rFonts w:hint="eastAsia"/>
        </w:rPr>
        <w:t>.</w:t>
      </w:r>
      <w:bookmarkStart w:id="2" w:name="_Hlk140273548"/>
      <w:r w:rsidRPr="00E21984">
        <w:rPr>
          <w:rFonts w:hint="eastAsia"/>
        </w:rPr>
        <w:t xml:space="preserve"> </w:t>
      </w:r>
      <w:r w:rsidR="004069CE" w:rsidRPr="00E21984">
        <w:rPr>
          <w:rFonts w:hint="eastAsia"/>
        </w:rPr>
        <w:t>The day-ahead energy schedule can be formulated as</w:t>
      </w:r>
      <w:bookmarkEnd w:id="2"/>
      <w:r w:rsidR="004069CE" w:rsidRPr="00E21984">
        <w:rPr>
          <w:rFonts w:hint="eastAsia"/>
        </w:rPr>
        <w:t xml:space="preserve"> </w:t>
      </w:r>
      <w:r w:rsidR="004069CE" w:rsidRPr="00E21984">
        <w:t>(2). The objective (2.1) is to minimize the total cost including generation costs and reserve procurement cost. The generator constraints include reserve requirements (2.2)</w:t>
      </w:r>
      <w:r w:rsidR="003D5A1A" w:rsidRPr="00E21984">
        <w:t xml:space="preserve"> </w:t>
      </w:r>
      <w:r w:rsidR="004069CE" w:rsidRPr="00E21984">
        <w:t>- (2.</w:t>
      </w:r>
      <w:r w:rsidR="003D5A1A" w:rsidRPr="00E21984">
        <w:t>6</w:t>
      </w:r>
      <w:r w:rsidR="004069CE" w:rsidRPr="00E21984">
        <w:t>) and generation limits (2.</w:t>
      </w:r>
      <w:r w:rsidR="003D5A1A" w:rsidRPr="00E21984">
        <w:t>7</w:t>
      </w:r>
      <w:r w:rsidR="004069CE" w:rsidRPr="00E21984">
        <w:t xml:space="preserve">), </w:t>
      </w:r>
      <w:r w:rsidR="004069CE" w:rsidRPr="00E21984">
        <w:lastRenderedPageBreak/>
        <w:t>power balance (2.</w:t>
      </w:r>
      <w:r w:rsidR="003D5A1A" w:rsidRPr="00E21984">
        <w:t>8</w:t>
      </w:r>
      <w:r w:rsidR="004069CE" w:rsidRPr="00E21984">
        <w:t>), transmission line capacity limits (2.</w:t>
      </w:r>
      <w:r w:rsidR="003D5A1A" w:rsidRPr="00E21984">
        <w:t>9</w:t>
      </w:r>
      <w:r w:rsidR="004069CE" w:rsidRPr="00E21984">
        <w:t>).</w:t>
      </w:r>
    </w:p>
    <w:p w14:paraId="1376ECDA" w14:textId="41BDC7EF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720" w:dyaOrig="540" w14:anchorId="20DF97A6">
          <v:shape id="_x0000_i1047" type="#_x0000_t75" style="width:185.95pt;height:26.9pt" o:ole="">
            <v:imagedata r:id="rId52" o:title=""/>
          </v:shape>
          <o:OLEObject Type="Embed" ProgID="Equation.DSMT4" ShapeID="_x0000_i1047" DrawAspect="Content" ObjectID="_1806078564" r:id="rId5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2E38DD" w:rsidRPr="00E21984">
        <w:t xml:space="preserve">     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54691AAC" w14:textId="77A34C79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10407DD">
          <v:shape id="_x0000_i1048" type="#_x0000_t75" style="width:120.85pt;height:21.3pt" o:ole="">
            <v:imagedata r:id="rId54" o:title=""/>
          </v:shape>
          <o:OLEObject Type="Embed" ProgID="Equation.DSMT4" ShapeID="_x0000_i1048" DrawAspect="Content" ObjectID="_1806078565" r:id="rId5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5F310A28" w14:textId="067B8014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56E41D8">
          <v:shape id="_x0000_i1049" type="#_x0000_t75" style="width:120.85pt;height:21.3pt" o:ole="">
            <v:imagedata r:id="rId56" o:title=""/>
          </v:shape>
          <o:OLEObject Type="Embed" ProgID="Equation.DSMT4" ShapeID="_x0000_i1049" DrawAspect="Content" ObjectID="_1806078566" r:id="rId5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5034D983" w14:textId="71A2793C" w:rsidR="00CC7090" w:rsidRPr="00E21984" w:rsidRDefault="00D31A76" w:rsidP="00CC7090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0CE1DCF4">
          <v:shape id="_x0000_i1050" type="#_x0000_t75" style="width:122.1pt;height:18.8pt" o:ole="">
            <v:imagedata r:id="rId58" o:title=""/>
          </v:shape>
          <o:OLEObject Type="Embed" ProgID="Equation.DSMT4" ShapeID="_x0000_i1050" DrawAspect="Content" ObjectID="_1806078567" r:id="rId59"/>
        </w:objec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</w:t>
      </w:r>
      <w:r w:rsidR="00CC7090" w:rsidRPr="00E21984">
        <w:rPr>
          <w:rFonts w:hint="eastAsia"/>
        </w:rPr>
        <w:t xml:space="preserve">  </w:t>
      </w:r>
      <w:r w:rsidR="00CC7090" w:rsidRPr="00E21984">
        <w:t xml:space="preserve"> </w:t>
      </w:r>
      <w:r w:rsidR="00CC7090"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   (</w:t>
      </w:r>
      <w:r w:rsidR="00CC7090" w:rsidRPr="00E21984">
        <w:rPr>
          <w:rFonts w:hint="eastAsia"/>
        </w:rPr>
        <w:t>2</w:t>
      </w:r>
      <w:r w:rsidR="00CC7090" w:rsidRPr="00E21984">
        <w:t>.</w:t>
      </w:r>
      <w:r w:rsidR="003D5A1A" w:rsidRPr="00E21984">
        <w:t>4</w:t>
      </w:r>
      <w:r w:rsidR="00CC7090" w:rsidRPr="00E21984">
        <w:t>)</w:t>
      </w:r>
    </w:p>
    <w:p w14:paraId="187CF579" w14:textId="29872E9B" w:rsidR="00CC7090" w:rsidRPr="00E21984" w:rsidRDefault="00D31A76" w:rsidP="00D31A76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14E14708">
          <v:shape id="_x0000_i1051" type="#_x0000_t75" style="width:122.1pt;height:18.8pt" o:ole="">
            <v:imagedata r:id="rId60" o:title=""/>
          </v:shape>
          <o:OLEObject Type="Embed" ProgID="Equation.DSMT4" ShapeID="_x0000_i1051" DrawAspect="Content" ObjectID="_1806078568" r:id="rId61"/>
        </w:object>
      </w:r>
      <w:r w:rsidRPr="00E21984">
        <w:rPr>
          <w:rFonts w:hint="eastAsia"/>
        </w:rPr>
        <w:t xml:space="preserve"> </w:t>
      </w:r>
      <w:r w:rsidRPr="00E21984">
        <w:t xml:space="preserve">  </w:t>
      </w:r>
      <w:r w:rsidRPr="00E21984">
        <w:rPr>
          <w:rFonts w:hint="eastAsia"/>
        </w:rPr>
        <w:t xml:space="preserve">  </w:t>
      </w:r>
      <w:r w:rsidRPr="00E21984">
        <w:t xml:space="preserve"> </w:t>
      </w:r>
      <w:r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Pr="00E21984">
        <w:rPr>
          <w:rFonts w:hint="eastAsia"/>
        </w:rPr>
        <w:t xml:space="preserve"> </w:t>
      </w:r>
      <w:r w:rsidRPr="00E21984">
        <w:t xml:space="preserve">     (</w:t>
      </w:r>
      <w:r w:rsidRPr="00E21984">
        <w:rPr>
          <w:rFonts w:hint="eastAsia"/>
        </w:rPr>
        <w:t>2</w:t>
      </w:r>
      <w:r w:rsidRPr="00E21984">
        <w:t>.</w:t>
      </w:r>
      <w:r w:rsidR="003D5A1A" w:rsidRPr="00E21984">
        <w:t>5</w:t>
      </w:r>
      <w:r w:rsidRPr="00E21984">
        <w:t>)</w:t>
      </w:r>
    </w:p>
    <w:p w14:paraId="775F79EB" w14:textId="557D44E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00" w:dyaOrig="420" w14:anchorId="0F0E75BD">
          <v:shape id="_x0000_i1052" type="#_x0000_t75" style="width:135.25pt;height:21.3pt" o:ole="">
            <v:imagedata r:id="rId62" o:title=""/>
          </v:shape>
          <o:OLEObject Type="Embed" ProgID="Equation.DSMT4" ShapeID="_x0000_i1052" DrawAspect="Content" ObjectID="_1806078569" r:id="rId6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6</w:t>
      </w:r>
      <w:r w:rsidR="004069CE" w:rsidRPr="00E21984">
        <w:t>)</w:t>
      </w:r>
    </w:p>
    <w:p w14:paraId="24D520F6" w14:textId="3FDC39FE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340" w:dyaOrig="380" w14:anchorId="45A0027F">
          <v:shape id="_x0000_i1053" type="#_x0000_t75" style="width:167.8pt;height:18.8pt" o:ole="">
            <v:imagedata r:id="rId64" o:title=""/>
          </v:shape>
          <o:OLEObject Type="Embed" ProgID="Equation.DSMT4" ShapeID="_x0000_i1053" DrawAspect="Content" ObjectID="_1806078570" r:id="rId6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7</w:t>
      </w:r>
      <w:r w:rsidR="004069CE" w:rsidRPr="00E21984">
        <w:t>)</w:t>
      </w:r>
    </w:p>
    <w:p w14:paraId="7F27F63C" w14:textId="7EEA3F5F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6440" w:dyaOrig="460" w14:anchorId="503753C2">
          <v:shape id="_x0000_i1054" type="#_x0000_t75" style="width:321.8pt;height:23.15pt" o:ole="">
            <v:imagedata r:id="rId66" o:title=""/>
          </v:shape>
          <o:OLEObject Type="Embed" ProgID="Equation.DSMT4" ShapeID="_x0000_i1054" DrawAspect="Content" ObjectID="_1806078571" r:id="rId6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8</w:t>
      </w:r>
      <w:r w:rsidR="004069CE" w:rsidRPr="00E21984">
        <w:t>)</w:t>
      </w:r>
    </w:p>
    <w:p w14:paraId="3B1E630B" w14:textId="1771B513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80" w:dyaOrig="440" w14:anchorId="0AF713C1">
          <v:shape id="_x0000_i1055" type="#_x0000_t75" style="width:199.1pt;height:21.9pt" o:ole="">
            <v:imagedata r:id="rId68" o:title=""/>
          </v:shape>
          <o:OLEObject Type="Embed" ProgID="Equation.DSMT4" ShapeID="_x0000_i1055" DrawAspect="Content" ObjectID="_1806078572" r:id="rId69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9</w:t>
      </w:r>
      <w:r w:rsidR="004069CE" w:rsidRPr="00E21984">
        <w:t>)</w:t>
      </w:r>
    </w:p>
    <w:p w14:paraId="17CA7198" w14:textId="01AB6810" w:rsidR="004069CE" w:rsidRPr="00E21984" w:rsidRDefault="004069CE" w:rsidP="00A771ED">
      <w:pPr>
        <w:spacing w:line="400" w:lineRule="exact"/>
        <w:ind w:firstLineChars="0" w:firstLine="0"/>
        <w:textAlignment w:val="center"/>
        <w:rPr>
          <w:rFonts w:hint="eastAsia"/>
        </w:rPr>
      </w:pPr>
      <w:r w:rsidRPr="00E21984">
        <w:t xml:space="preserve">where </w:t>
      </w:r>
      <w:r w:rsidR="006F1439" w:rsidRPr="00E21984">
        <w:object w:dxaOrig="2299" w:dyaOrig="380" w14:anchorId="516332C5">
          <v:shape id="_x0000_i1056" type="#_x0000_t75" style="width:114.55pt;height:18.8pt" o:ole="">
            <v:imagedata r:id="rId70" o:title=""/>
          </v:shape>
          <o:OLEObject Type="Embed" ProgID="Equation.DSMT4" ShapeID="_x0000_i1056" DrawAspect="Content" ObjectID="_1806078573" r:id="rId71"/>
        </w:object>
      </w:r>
      <w:r w:rsidRPr="00E21984">
        <w:t xml:space="preserve">is the set of optimization variables comprising </w:t>
      </w:r>
      <w:r w:rsidRPr="00E21984">
        <w:rPr>
          <w:rFonts w:hint="eastAsia"/>
        </w:rPr>
        <w:t>the</w:t>
      </w:r>
      <w:r w:rsidRPr="00E21984">
        <w:t xml:space="preserve"> output power of thermal units, the upward and downward reserve schedule, and voltage angles at each node.</w:t>
      </w:r>
      <w:r w:rsidRPr="00E21984">
        <w:rPr>
          <w:rFonts w:hint="eastAsia"/>
        </w:rPr>
        <w:t xml:space="preserve"> </w:t>
      </w:r>
      <w:r w:rsidR="00F20535" w:rsidRPr="00C6622C">
        <w:rPr>
          <w:position w:val="-6"/>
        </w:rPr>
        <w:object w:dxaOrig="279" w:dyaOrig="360" w14:anchorId="162A6278">
          <v:shape id="_x0000_i1070" type="#_x0000_t75" style="width:13.75pt;height:18.15pt" o:ole="">
            <v:imagedata r:id="rId72" o:title=""/>
          </v:shape>
          <o:OLEObject Type="Embed" ProgID="Equation.DSMT4" ShapeID="_x0000_i1070" DrawAspect="Content" ObjectID="_1806078574" r:id="rId73"/>
        </w:object>
      </w:r>
      <w:r w:rsidR="007C310C">
        <w:rPr>
          <w:rFonts w:hint="eastAsia"/>
        </w:rPr>
        <w:t>r</w:t>
      </w:r>
      <w:r w:rsidR="007C310C" w:rsidRPr="007C310C">
        <w:t>epresents the set of (n, m)</w:t>
      </w:r>
      <w:r w:rsidR="007C310C">
        <w:rPr>
          <w:rFonts w:hint="eastAsia"/>
        </w:rPr>
        <w:t xml:space="preserve"> transmission line</w:t>
      </w:r>
      <w:r w:rsidR="007C310C" w:rsidRPr="007C310C">
        <w:t xml:space="preserve"> pairs, where n is the node included in the transmission lines.</w:t>
      </w:r>
      <w:r w:rsidR="007C310C">
        <w:t xml:space="preserve"> </w:t>
      </w:r>
      <w:r w:rsidR="00F20535">
        <w:object w:dxaOrig="300" w:dyaOrig="360" w14:anchorId="3C7A673D">
          <v:shape id="_x0000_i1073" type="#_x0000_t75" style="width:15.05pt;height:18.15pt" o:ole="">
            <v:imagedata r:id="rId74" o:title=""/>
          </v:shape>
          <o:OLEObject Type="Embed" ProgID="Equation.DSMT4" ShapeID="_x0000_i1073" DrawAspect="Content" ObjectID="_1806078575" r:id="rId75"/>
        </w:object>
      </w:r>
      <w:r w:rsidR="007C310C">
        <w:rPr>
          <w:rFonts w:hint="eastAsia"/>
        </w:rPr>
        <w:t xml:space="preserve"> r</w:t>
      </w:r>
      <w:r w:rsidR="007C310C" w:rsidRPr="007C310C">
        <w:t xml:space="preserve">epresents the set of all generating units </w:t>
      </w:r>
      <w:r w:rsidR="007C310C" w:rsidRPr="007C310C">
        <w:rPr>
          <w:i/>
          <w:iCs/>
        </w:rPr>
        <w:t>i</w:t>
      </w:r>
      <w:r w:rsidR="007C310C" w:rsidRPr="007C310C">
        <w:t xml:space="preserve"> located at node </w:t>
      </w:r>
      <w:r w:rsidR="007C310C" w:rsidRPr="007C310C">
        <w:rPr>
          <w:i/>
          <w:iCs/>
        </w:rPr>
        <w:t>n</w:t>
      </w:r>
      <w:r w:rsidR="007C310C">
        <w:rPr>
          <w:rFonts w:hint="eastAsia"/>
        </w:rPr>
        <w:t xml:space="preserve">. </w:t>
      </w:r>
      <w:r w:rsidR="00F20535" w:rsidRPr="00C6622C">
        <w:rPr>
          <w:position w:val="-4"/>
        </w:rPr>
        <w:object w:dxaOrig="300" w:dyaOrig="360" w14:anchorId="21B2D74A">
          <v:shape id="_x0000_i1078" type="#_x0000_t75" style="width:15.05pt;height:18.15pt" o:ole="">
            <v:imagedata r:id="rId76" o:title=""/>
          </v:shape>
          <o:OLEObject Type="Embed" ProgID="Equation.DSMT4" ShapeID="_x0000_i1078" DrawAspect="Content" ObjectID="_1806078576" r:id="rId77"/>
        </w:object>
      </w:r>
      <w:r w:rsidR="007C310C">
        <w:rPr>
          <w:rFonts w:hint="eastAsia"/>
        </w:rPr>
        <w:t xml:space="preserve"> r</w:t>
      </w:r>
      <w:r w:rsidR="007C310C" w:rsidRPr="007C310C">
        <w:t xml:space="preserve">epresents the set of all loads </w:t>
      </w:r>
      <w:r w:rsidR="007C310C" w:rsidRPr="007C310C">
        <w:rPr>
          <w:i/>
          <w:iCs/>
        </w:rPr>
        <w:t>q</w:t>
      </w:r>
      <w:r w:rsidR="007C310C" w:rsidRPr="007C310C">
        <w:t xml:space="preserve"> located at node </w:t>
      </w:r>
      <w:r w:rsidR="007C310C" w:rsidRPr="007C310C">
        <w:rPr>
          <w:i/>
          <w:iCs/>
        </w:rPr>
        <w:t>n</w:t>
      </w:r>
      <w:r w:rsidR="007C310C" w:rsidRPr="007C310C">
        <w:t>.</w:t>
      </w:r>
    </w:p>
    <w:p w14:paraId="3FF7BA99" w14:textId="7BA43861" w:rsidR="00EE6E4A" w:rsidRPr="00E21984" w:rsidRDefault="00EE6E4A" w:rsidP="00EE6E4A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③</w:t>
      </w:r>
      <w:r w:rsidRPr="00E21984">
        <w:rPr>
          <w:b/>
        </w:rPr>
        <w:t xml:space="preserve"> Real-time market</w:t>
      </w:r>
    </w:p>
    <w:p w14:paraId="2DF0E48D" w14:textId="0D66C1AE" w:rsidR="004069CE" w:rsidRPr="00E21984" w:rsidRDefault="00DB290B" w:rsidP="00FD6BBB">
      <w:pPr>
        <w:ind w:firstLine="420"/>
      </w:pPr>
      <w:r w:rsidRPr="00E21984">
        <w:t>T</w:t>
      </w:r>
      <w:r w:rsidR="004069CE" w:rsidRPr="00E21984">
        <w:t>he real-time market is modelled solving the linear programming problem in (</w:t>
      </w:r>
      <w:r w:rsidR="004069CE" w:rsidRPr="00E21984">
        <w:rPr>
          <w:rFonts w:hint="eastAsia"/>
        </w:rPr>
        <w:t>3</w:t>
      </w:r>
      <w:r w:rsidR="004069CE" w:rsidRPr="00E21984">
        <w:t xml:space="preserve">),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⋆</m:t>
            </m:r>
          </m:sup>
        </m:sSup>
      </m:oMath>
      <w:r w:rsidR="004069CE" w:rsidRPr="00E21984">
        <w:t xml:space="preserve"> indicates the optimal solution from day-ahead</w:t>
      </w:r>
      <w:r w:rsidR="004069CE" w:rsidRPr="00E21984">
        <w:rPr>
          <w:rFonts w:hint="eastAsia"/>
        </w:rPr>
        <w:t xml:space="preserve"> </w:t>
      </w:r>
      <w:r w:rsidR="004069CE" w:rsidRPr="00E21984">
        <w:t>s</w:t>
      </w:r>
      <w:r w:rsidRPr="00E21984">
        <w:rPr>
          <w:rFonts w:hint="eastAsia"/>
        </w:rPr>
        <w:t>tage</w:t>
      </w:r>
      <w:r w:rsidR="004069CE" w:rsidRPr="00E21984">
        <w:t>. The objective function (</w:t>
      </w:r>
      <w:r w:rsidR="004069CE" w:rsidRPr="00E21984">
        <w:rPr>
          <w:rFonts w:hint="eastAsia"/>
        </w:rPr>
        <w:t>3</w:t>
      </w:r>
      <w:r w:rsidR="004069CE" w:rsidRPr="00E21984">
        <w:t xml:space="preserve">.1) </w:t>
      </w:r>
      <w:r w:rsidRPr="00E21984">
        <w:t xml:space="preserve">is </w:t>
      </w:r>
      <w:r w:rsidR="004069CE" w:rsidRPr="00E21984">
        <w:t>to minimized is the balancing cost. Constraints (</w:t>
      </w:r>
      <w:r w:rsidR="004069CE" w:rsidRPr="00E21984">
        <w:rPr>
          <w:rFonts w:hint="eastAsia"/>
        </w:rPr>
        <w:t>3</w:t>
      </w:r>
      <w:r w:rsidR="004069CE" w:rsidRPr="00E21984">
        <w:t>.2) and (</w:t>
      </w:r>
      <w:r w:rsidR="004069CE" w:rsidRPr="00E21984">
        <w:rPr>
          <w:rFonts w:hint="eastAsia"/>
        </w:rPr>
        <w:t>3</w:t>
      </w:r>
      <w:r w:rsidR="004069CE" w:rsidRPr="00E21984">
        <w:t xml:space="preserve">.3) ensure the real-time nodal power balance </w:t>
      </w:r>
      <w:r w:rsidR="004069CE" w:rsidRPr="00E21984">
        <w:rPr>
          <w:rFonts w:hint="eastAsia"/>
        </w:rPr>
        <w:t>and</w:t>
      </w:r>
      <w:r w:rsidR="004069CE" w:rsidRPr="00E21984">
        <w:t xml:space="preserve"> </w:t>
      </w:r>
      <w:r w:rsidR="004069CE" w:rsidRPr="00E21984">
        <w:rPr>
          <w:rFonts w:hint="eastAsia"/>
        </w:rPr>
        <w:t>a</w:t>
      </w:r>
      <w:r w:rsidR="004069CE" w:rsidRPr="00E21984">
        <w:t>ccount for the power capacity of transmission lines. Constraints (</w:t>
      </w:r>
      <w:r w:rsidR="004069CE" w:rsidRPr="00E21984">
        <w:rPr>
          <w:rFonts w:hint="eastAsia"/>
        </w:rPr>
        <w:t>3</w:t>
      </w:r>
      <w:r w:rsidR="004069CE" w:rsidRPr="00E21984">
        <w:t>.4) limit</w:t>
      </w:r>
      <w:r w:rsidR="004069CE" w:rsidRPr="00E21984">
        <w:rPr>
          <w:rFonts w:hint="eastAsia"/>
        </w:rPr>
        <w:t>s</w:t>
      </w:r>
      <w:r w:rsidR="004069CE" w:rsidRPr="00E21984">
        <w:t xml:space="preserve"> activation of upward and downward reserves considering the procured reserve quantities.</w:t>
      </w:r>
      <w:r w:rsidR="004069CE" w:rsidRPr="00E21984">
        <w:rPr>
          <w:rFonts w:hint="eastAsia"/>
        </w:rPr>
        <w:t xml:space="preserve"> </w:t>
      </w:r>
      <w:r w:rsidR="004069CE" w:rsidRPr="00E21984">
        <w:t>Constraints (</w:t>
      </w:r>
      <w:r w:rsidR="004069CE" w:rsidRPr="00E21984">
        <w:rPr>
          <w:rFonts w:hint="eastAsia"/>
        </w:rPr>
        <w:t>3</w:t>
      </w:r>
      <w:r w:rsidR="004069CE" w:rsidRPr="00E21984">
        <w:t xml:space="preserve">.5) limit load shedding actions. </w:t>
      </w:r>
    </w:p>
    <w:p w14:paraId="0D7CCF97" w14:textId="3E360561" w:rsidR="004069CE" w:rsidRPr="00E21984" w:rsidRDefault="000C215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120" w:dyaOrig="560" w14:anchorId="242664A2">
          <v:shape id="_x0000_i1057" type="#_x0000_t75" style="width:255.45pt;height:27.55pt" o:ole="">
            <v:imagedata r:id="rId78" o:title=""/>
          </v:shape>
          <o:OLEObject Type="Embed" ProgID="Equation.DSMT4" ShapeID="_x0000_i1057" DrawAspect="Content" ObjectID="_1806078577" r:id="rId79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08348995" w14:textId="57230A06" w:rsidR="004069CE" w:rsidRPr="00E21984" w:rsidRDefault="00CA111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539" w:dyaOrig="920" w14:anchorId="0640666F">
          <v:shape id="_x0000_i1058" type="#_x0000_t75" style="width:276.1pt;height:46.35pt" o:ole="">
            <v:imagedata r:id="rId80" o:title=""/>
          </v:shape>
          <o:OLEObject Type="Embed" ProgID="Equation.DSMT4" ShapeID="_x0000_i1058" DrawAspect="Content" ObjectID="_1806078578" r:id="rId81"/>
        </w:object>
      </w:r>
      <w:r w:rsidR="004069CE" w:rsidRPr="00E21984">
        <w:t xml:space="preserve">     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628ED5AB" w14:textId="6A1FB0E1" w:rsidR="004069CE" w:rsidRPr="00E21984" w:rsidRDefault="001812C2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4000" w:dyaOrig="440" w14:anchorId="2E0772A2">
          <v:shape id="_x0000_i1059" type="#_x0000_t75" style="width:200.35pt;height:21.9pt" o:ole="">
            <v:imagedata r:id="rId82" o:title=""/>
          </v:shape>
          <o:OLEObject Type="Embed" ProgID="Equation.DSMT4" ShapeID="_x0000_i1059" DrawAspect="Content" ObjectID="_1806078579" r:id="rId83"/>
        </w:object>
      </w:r>
      <w:r w:rsidR="004069CE" w:rsidRPr="00E21984">
        <w:t xml:space="preserve">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1CA7F856" w14:textId="6F6FD963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60" w:dyaOrig="380" w14:anchorId="00E04914">
          <v:shape id="_x0000_i1060" type="#_x0000_t75" style="width:198.45pt;height:18.8pt" o:ole="">
            <v:imagedata r:id="rId84" o:title=""/>
          </v:shape>
          <o:OLEObject Type="Embed" ProgID="Equation.DSMT4" ShapeID="_x0000_i1060" DrawAspect="Content" ObjectID="_1806078580" r:id="rId85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</w:t>
      </w:r>
      <w:r w:rsidR="009030F3" w:rsidRPr="00E21984">
        <w:t xml:space="preserve">  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4</w:t>
      </w:r>
      <w:r w:rsidR="004069CE" w:rsidRPr="00E21984">
        <w:t>)</w:t>
      </w:r>
    </w:p>
    <w:p w14:paraId="72EEAE57" w14:textId="0E454A7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60" w:dyaOrig="400" w14:anchorId="65AD72E9">
          <v:shape id="_x0000_i1061" type="#_x0000_t75" style="width:138.35pt;height:20.65pt" o:ole="">
            <v:imagedata r:id="rId86" o:title=""/>
          </v:shape>
          <o:OLEObject Type="Embed" ProgID="Equation.DSMT4" ShapeID="_x0000_i1061" DrawAspect="Content" ObjectID="_1806078581" r:id="rId87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 </w:t>
      </w:r>
      <w:r w:rsidR="009030F3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5</w:t>
      </w:r>
      <w:r w:rsidR="004069CE" w:rsidRPr="00E21984">
        <w:t>)</w:t>
      </w:r>
    </w:p>
    <w:p w14:paraId="49A33B29" w14:textId="78FDCEE4" w:rsidR="004069CE" w:rsidRPr="00E21984" w:rsidRDefault="004069CE" w:rsidP="00A85C10">
      <w:pPr>
        <w:ind w:firstLineChars="0" w:firstLine="0"/>
        <w:textAlignment w:val="center"/>
      </w:pPr>
      <w:r w:rsidRPr="00E21984">
        <w:t xml:space="preserve">where </w:t>
      </w:r>
      <w:r w:rsidR="000C215D" w:rsidRPr="00E21984">
        <w:object w:dxaOrig="2500" w:dyaOrig="400" w14:anchorId="1F8683D4">
          <v:shape id="_x0000_i1062" type="#_x0000_t75" style="width:125.85pt;height:20.65pt" o:ole="">
            <v:imagedata r:id="rId88" o:title=""/>
          </v:shape>
          <o:OLEObject Type="Embed" ProgID="Equation.DSMT4" ShapeID="_x0000_i1062" DrawAspect="Content" ObjectID="_1806078582" r:id="rId89"/>
        </w:object>
      </w:r>
      <w:r w:rsidRPr="00E21984">
        <w:t xml:space="preserve">is the set of re-dispatch decisions, i.e., </w:t>
      </w:r>
      <w:r w:rsidRPr="00E21984">
        <w:rPr>
          <w:rFonts w:hint="eastAsia"/>
        </w:rPr>
        <w:t>the</w:t>
      </w:r>
      <w:r w:rsidRPr="00E21984">
        <w:t xml:space="preserve"> activation of operating reserves, load shedding and real-time voltage angles.</w:t>
      </w:r>
    </w:p>
    <w:p w14:paraId="05F04E2C" w14:textId="113E85CE" w:rsidR="0038034B" w:rsidRPr="00E21984" w:rsidRDefault="0038034B" w:rsidP="001E5055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lastRenderedPageBreak/>
        <w:t>(</w:t>
      </w:r>
      <w:r w:rsidR="00001EBD" w:rsidRPr="00E21984">
        <w:rPr>
          <w:b/>
          <w:sz w:val="24"/>
        </w:rPr>
        <w:t>2</w:t>
      </w:r>
      <w:r w:rsidRPr="00E21984">
        <w:rPr>
          <w:b/>
          <w:sz w:val="24"/>
        </w:rPr>
        <w:t xml:space="preserve">) </w:t>
      </w:r>
      <w:r w:rsidR="00BC6795" w:rsidRPr="00E21984">
        <w:rPr>
          <w:b/>
          <w:sz w:val="24"/>
        </w:rPr>
        <w:t>F</w:t>
      </w:r>
      <w:r w:rsidR="00BB2237" w:rsidRPr="00E21984">
        <w:rPr>
          <w:b/>
          <w:sz w:val="24"/>
        </w:rPr>
        <w:t>orecasting</w:t>
      </w:r>
      <w:r w:rsidR="00BC6795" w:rsidRPr="00E21984">
        <w:rPr>
          <w:b/>
          <w:sz w:val="24"/>
        </w:rPr>
        <w:t xml:space="preserve"> </w:t>
      </w:r>
      <w:r w:rsidR="00BC6795" w:rsidRPr="00E21984">
        <w:rPr>
          <w:rFonts w:hint="eastAsia"/>
          <w:b/>
          <w:sz w:val="24"/>
        </w:rPr>
        <w:t>model</w:t>
      </w:r>
    </w:p>
    <w:p w14:paraId="6617C70A" w14:textId="77777777" w:rsidR="00622217" w:rsidRPr="00E21984" w:rsidRDefault="00622217" w:rsidP="00622217">
      <w:pPr>
        <w:ind w:firstLine="420"/>
      </w:pPr>
      <w:r w:rsidRPr="00E21984">
        <w:t>In load forecasting, the specific forecasting model can be freely selected based on the different decision-focused learning tasks. The datasets for training and testing, as well as the input and output, are uniformly defined as follows.</w:t>
      </w:r>
    </w:p>
    <w:p w14:paraId="70B99526" w14:textId="2FA49E7F" w:rsidR="00BC6795" w:rsidRPr="00E21984" w:rsidRDefault="00BC6795" w:rsidP="00C97DFD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rFonts w:hint="eastAsia"/>
          <w:b/>
        </w:rPr>
        <w:t xml:space="preserve"> </w:t>
      </w:r>
      <w:r w:rsidRPr="00E21984">
        <w:rPr>
          <w:b/>
        </w:rPr>
        <w:t>Training data of load forecasting</w:t>
      </w:r>
    </w:p>
    <w:p w14:paraId="6EF39F96" w14:textId="7746780B" w:rsidR="0038034B" w:rsidRPr="00E21984" w:rsidRDefault="0038034B" w:rsidP="00FD6BBB">
      <w:pPr>
        <w:ind w:firstLine="422"/>
      </w:pPr>
      <w:r w:rsidRPr="00E21984">
        <w:rPr>
          <w:b/>
        </w:rPr>
        <w:t xml:space="preserve">The folder named “train_data” contains two </w:t>
      </w:r>
      <w:r w:rsidR="00C97DFD" w:rsidRPr="00E21984">
        <w:rPr>
          <w:rFonts w:hint="eastAsia"/>
          <w:b/>
        </w:rPr>
        <w:t>file</w:t>
      </w:r>
      <w:r w:rsidRPr="00E21984">
        <w:rPr>
          <w:b/>
        </w:rPr>
        <w:t xml:space="preserve">s, </w:t>
      </w:r>
      <w:r w:rsidR="00C97DFD" w:rsidRPr="00E21984">
        <w:rPr>
          <w:rFonts w:hint="eastAsia"/>
          <w:b/>
        </w:rPr>
        <w:t>X_train and Y_train</w:t>
      </w:r>
      <w:r w:rsidRPr="00E21984">
        <w:rPr>
          <w:b/>
        </w:rPr>
        <w:t>, which represent the input features for the load forecasting model and the load output value labels, respectively.</w:t>
      </w:r>
      <w:r w:rsidRPr="00E21984">
        <w:t xml:space="preserve"> Specifically, in the </w:t>
      </w:r>
      <w:r w:rsidR="00C97DFD" w:rsidRPr="00E21984">
        <w:rPr>
          <w:rFonts w:hint="eastAsia"/>
        </w:rPr>
        <w:t>X_train file</w:t>
      </w:r>
      <w:r w:rsidRPr="00E21984">
        <w:t xml:space="preserve">, the load input features for </w:t>
      </w:r>
      <w:r w:rsidR="00C97DFD" w:rsidRPr="00E21984">
        <w:rPr>
          <w:rFonts w:hint="eastAsia"/>
        </w:rPr>
        <w:t>the whole system load</w:t>
      </w:r>
      <w:r w:rsidRPr="00E21984">
        <w:t xml:space="preserve"> are stored. </w:t>
      </w:r>
      <w:r w:rsidR="00C97DFD" w:rsidRPr="00E21984">
        <w:rPr>
          <w:rFonts w:hint="eastAsia"/>
        </w:rPr>
        <w:t>The</w:t>
      </w:r>
      <w:r w:rsidRPr="00E21984">
        <w:t xml:space="preserve"> input file contains 14 types of features, including trend, day_multiply_hour, month, and temperature data from 11 meteorological stations, named </w:t>
      </w:r>
      <w:r w:rsidR="00240EBB" w:rsidRPr="00E21984">
        <w:t>temperature</w:t>
      </w:r>
      <w:r w:rsidRPr="00E21984">
        <w:t xml:space="preserve">_1 to </w:t>
      </w:r>
      <w:r w:rsidR="00240EBB" w:rsidRPr="00E21984">
        <w:t>temperature</w:t>
      </w:r>
      <w:r w:rsidRPr="00E21984">
        <w:t>_11</w:t>
      </w:r>
      <w:r w:rsidR="003B05F9" w:rsidRPr="00E21984">
        <w:rPr>
          <w:rFonts w:hint="eastAsia"/>
        </w:rPr>
        <w:t>.</w:t>
      </w:r>
      <w:r w:rsidR="003B05F9" w:rsidRPr="00E21984">
        <w:t xml:space="preserve"> The input and output of the forecasting model are shown in Equation (4)</w:t>
      </w:r>
      <w:r w:rsidRPr="00E21984">
        <w:t>.</w:t>
      </w:r>
      <w:r w:rsidR="003B05F9" w:rsidRPr="00E21984">
        <w:t xml:space="preserve"> </w:t>
      </w:r>
      <w:r w:rsidRPr="00E21984">
        <w:t>All data comes from the Global Energy Forecasting Competition 2012</w:t>
      </w:r>
      <w:r w:rsidRPr="00E21984">
        <w:rPr>
          <w:vertAlign w:val="superscript"/>
        </w:rPr>
        <w:t>[</w:t>
      </w:r>
      <w:r w:rsidR="001B20FD" w:rsidRPr="00E21984">
        <w:rPr>
          <w:vertAlign w:val="superscript"/>
        </w:rPr>
        <w:t>2</w:t>
      </w:r>
      <w:r w:rsidRPr="00E21984">
        <w:rPr>
          <w:vertAlign w:val="superscript"/>
        </w:rPr>
        <w:t>]</w:t>
      </w:r>
      <w:r w:rsidRPr="00E21984">
        <w:t>.</w:t>
      </w:r>
    </w:p>
    <w:p w14:paraId="6C1CED89" w14:textId="4385B6C5" w:rsidR="00AD2A23" w:rsidRPr="00E21984" w:rsidRDefault="00293540" w:rsidP="00293540">
      <w:pPr>
        <w:adjustRightInd w:val="0"/>
        <w:snapToGrid w:val="0"/>
        <w:ind w:firstLine="420"/>
        <w:jc w:val="right"/>
        <w:textAlignment w:val="center"/>
      </w:pPr>
      <w:r w:rsidRPr="00E21984">
        <w:object w:dxaOrig="7160" w:dyaOrig="320" w14:anchorId="7EC3CE22">
          <v:shape id="_x0000_i1063" type="#_x0000_t75" style="width:358.1pt;height:15.65pt" o:ole="">
            <v:imagedata r:id="rId90" o:title=""/>
          </v:shape>
          <o:OLEObject Type="Embed" ProgID="Equation.DSMT4" ShapeID="_x0000_i1063" DrawAspect="Content" ObjectID="_1806078583" r:id="rId91"/>
        </w:object>
      </w:r>
      <w:r w:rsidRPr="00E21984">
        <w:t xml:space="preserve">   (4)</w:t>
      </w:r>
    </w:p>
    <w:p w14:paraId="133E20C6" w14:textId="6733944D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rFonts w:hint="eastAsia"/>
          <w:b/>
        </w:rPr>
        <w:t>Trend:</w:t>
      </w:r>
      <w:r w:rsidRPr="00E21984">
        <w:rPr>
          <w:rFonts w:hint="eastAsia"/>
        </w:rPr>
        <w:t xml:space="preserve"> </w:t>
      </w:r>
      <w:r w:rsidRPr="00E21984">
        <w:t>Trend</w:t>
      </w:r>
      <w:r w:rsidRPr="00E21984">
        <w:rPr>
          <w:rFonts w:hint="eastAsia"/>
        </w:rPr>
        <w:t xml:space="preserve"> is used to capture the locally increasing (or decreasing) trend by assigning a natural number to each hour in ascending order. For example, the Trend variable for the first hour in 2005 is 1, the second hour in 2005</w:t>
      </w:r>
      <w:r w:rsidRPr="00E21984">
        <w:t xml:space="preserve"> is 2, and the last hour of 2008 is 35064.</w:t>
      </w:r>
    </w:p>
    <w:p w14:paraId="517C1954" w14:textId="0A0168A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b/>
        </w:rPr>
        <w:t>D</w:t>
      </w:r>
      <w:r w:rsidRPr="00E21984">
        <w:rPr>
          <w:rFonts w:hint="eastAsia"/>
          <w:b/>
        </w:rPr>
        <w:t>ay_multiply_hour:</w:t>
      </w:r>
      <w:r w:rsidRPr="00E21984">
        <w:rPr>
          <w:rFonts w:hint="eastAsia"/>
        </w:rPr>
        <w:t xml:space="preserve"> The input feature includes the product of the day (1-31 of each month) and the hour (1-24 of each day) for the predicted load.</w:t>
      </w:r>
    </w:p>
    <w:p w14:paraId="20E49DB5" w14:textId="19450D60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b/>
        </w:rPr>
        <w:t>M</w:t>
      </w:r>
      <w:r w:rsidRPr="00E21984">
        <w:rPr>
          <w:rFonts w:hint="eastAsia"/>
          <w:b/>
        </w:rPr>
        <w:t>onth:</w:t>
      </w:r>
      <w:r w:rsidRPr="00E21984">
        <w:rPr>
          <w:rFonts w:hint="eastAsia"/>
        </w:rPr>
        <w:t xml:space="preserve"> The input feature includes the month (January to December) of the predicted load.</w:t>
      </w:r>
    </w:p>
    <w:p w14:paraId="7D82FBB2" w14:textId="235BE2E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b/>
        </w:rPr>
        <w:t>Temperature</w:t>
      </w:r>
      <w:r w:rsidRPr="00E21984">
        <w:rPr>
          <w:rFonts w:hint="eastAsia"/>
          <w:b/>
        </w:rPr>
        <w:t xml:space="preserve">_1 to </w:t>
      </w:r>
      <w:r w:rsidR="004944A9" w:rsidRPr="00E21984">
        <w:rPr>
          <w:b/>
        </w:rPr>
        <w:t>temperature</w:t>
      </w:r>
      <w:r w:rsidR="004944A9" w:rsidRPr="00E21984">
        <w:rPr>
          <w:rFonts w:hint="eastAsia"/>
          <w:b/>
        </w:rPr>
        <w:t xml:space="preserve"> </w:t>
      </w:r>
      <w:r w:rsidRPr="00E21984">
        <w:rPr>
          <w:rFonts w:hint="eastAsia"/>
          <w:b/>
        </w:rPr>
        <w:t>_11:</w:t>
      </w:r>
      <w:r w:rsidRPr="00E21984">
        <w:rPr>
          <w:rFonts w:hint="eastAsia"/>
        </w:rPr>
        <w:t xml:space="preserve"> The input feature includes the temperature data from 11 meteorological stations, which are randomly distributed across the 118 load locations.</w:t>
      </w:r>
    </w:p>
    <w:p w14:paraId="60B5C06D" w14:textId="44208870" w:rsidR="0038034B" w:rsidRPr="00E21984" w:rsidRDefault="0038034B" w:rsidP="00475D73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b/>
        </w:rPr>
        <w:t xml:space="preserve"> </w:t>
      </w:r>
      <w:r w:rsidR="000035A2" w:rsidRPr="00E21984">
        <w:rPr>
          <w:b/>
        </w:rPr>
        <w:t>T</w:t>
      </w:r>
      <w:r w:rsidRPr="00E21984">
        <w:rPr>
          <w:b/>
        </w:rPr>
        <w:t>esting data</w:t>
      </w:r>
      <w:r w:rsidR="000035A2" w:rsidRPr="00E21984">
        <w:rPr>
          <w:b/>
        </w:rPr>
        <w:t xml:space="preserve"> of load forecasting</w:t>
      </w:r>
    </w:p>
    <w:p w14:paraId="37A3F5A8" w14:textId="38F006C0" w:rsidR="0038034B" w:rsidRPr="00E21984" w:rsidRDefault="0038034B" w:rsidP="00FD6BBB">
      <w:pPr>
        <w:ind w:firstLine="420"/>
      </w:pPr>
      <w:r w:rsidRPr="00E21984">
        <w:t xml:space="preserve">Similarly, the file storage format in the “test_data” folder is consistent with that of the train_data folder. </w:t>
      </w:r>
      <w:r w:rsidRPr="00E21984">
        <w:rPr>
          <w:b/>
        </w:rPr>
        <w:t xml:space="preserve">The training data and test data are split in a </w:t>
      </w:r>
      <w:r w:rsidR="008A0A1A" w:rsidRPr="00E21984">
        <w:rPr>
          <w:rFonts w:hint="eastAsia"/>
          <w:b/>
        </w:rPr>
        <w:t>7</w:t>
      </w:r>
      <w:r w:rsidRPr="00E21984">
        <w:rPr>
          <w:b/>
        </w:rPr>
        <w:t>:</w:t>
      </w:r>
      <w:r w:rsidR="008A0A1A" w:rsidRPr="00E21984">
        <w:rPr>
          <w:rFonts w:hint="eastAsia"/>
          <w:b/>
        </w:rPr>
        <w:t>3</w:t>
      </w:r>
      <w:r w:rsidRPr="00E21984">
        <w:rPr>
          <w:b/>
        </w:rPr>
        <w:t xml:space="preserve"> ratio.</w:t>
      </w:r>
    </w:p>
    <w:p w14:paraId="3A02C78B" w14:textId="157646AF" w:rsidR="00745551" w:rsidRPr="00E21984" w:rsidRDefault="00745551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t>(</w:t>
      </w:r>
      <w:r w:rsidR="002B4D41" w:rsidRPr="00E21984">
        <w:rPr>
          <w:b/>
          <w:sz w:val="24"/>
        </w:rPr>
        <w:t>3</w:t>
      </w:r>
      <w:r w:rsidRPr="00E21984">
        <w:rPr>
          <w:b/>
          <w:sz w:val="24"/>
        </w:rPr>
        <w:t>) Test system: 118 Nodes System</w:t>
      </w:r>
    </w:p>
    <w:p w14:paraId="17ADFD62" w14:textId="77777777" w:rsidR="00745551" w:rsidRPr="00E21984" w:rsidRDefault="00745551" w:rsidP="00FD6BBB">
      <w:pPr>
        <w:ind w:firstLine="420"/>
      </w:pPr>
      <w:r w:rsidRPr="00E21984">
        <w:t>In the Excel file named “118nodes_system,” there are two sheets.</w:t>
      </w:r>
    </w:p>
    <w:p w14:paraId="08DE62EF" w14:textId="44CC3229" w:rsidR="00745551" w:rsidRPr="00E21984" w:rsidRDefault="00745551" w:rsidP="00FD6BBB">
      <w:pPr>
        <w:ind w:firstLine="422"/>
      </w:pPr>
      <w:r w:rsidRPr="00E21984">
        <w:rPr>
          <w:rFonts w:hint="eastAsia"/>
          <w:b/>
        </w:rPr>
        <w:t>①</w:t>
      </w:r>
      <w:r w:rsidRPr="00E21984">
        <w:rPr>
          <w:rFonts w:hint="eastAsia"/>
          <w:b/>
        </w:rPr>
        <w:t xml:space="preserve"> Sheet 1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topology,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electrical admittance parameters of the connecting lines in the 118-node system.</w:t>
      </w:r>
      <w:r w:rsidRPr="00E21984">
        <w:rPr>
          <w:rFonts w:hint="eastAsia"/>
        </w:rPr>
        <w:t xml:space="preserve"> This topology is in a 118</w:t>
      </w:r>
      <w:r w:rsidRPr="00E21984">
        <w:rPr>
          <w:rFonts w:hint="eastAsia"/>
        </w:rPr>
        <w:t>×</w:t>
      </w:r>
      <w:r w:rsidRPr="00E21984">
        <w:rPr>
          <w:rFonts w:hint="eastAsia"/>
        </w:rPr>
        <w:t>118 format, with diagonal elements representing the self-admittance of the lines and off-diagonal ele</w:t>
      </w:r>
      <w:r w:rsidRPr="00E21984">
        <w:t>ments representing the mutual admittance between line i and line j. The matrix is symmetric.</w:t>
      </w:r>
    </w:p>
    <w:p w14:paraId="5DC516CC" w14:textId="08054EA3" w:rsidR="00F42786" w:rsidRPr="00E21984" w:rsidRDefault="00745551" w:rsidP="00E61C01">
      <w:pPr>
        <w:ind w:firstLine="422"/>
      </w:pPr>
      <w:r w:rsidRPr="00E21984">
        <w:rPr>
          <w:rFonts w:hint="eastAsia"/>
          <w:b/>
        </w:rPr>
        <w:t>②</w:t>
      </w:r>
      <w:r w:rsidRPr="00E21984">
        <w:rPr>
          <w:rFonts w:hint="eastAsia"/>
          <w:b/>
        </w:rPr>
        <w:t xml:space="preserve"> Sheet 2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unit,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generator unit parameters for the 118-node system.</w:t>
      </w:r>
      <w:r w:rsidRPr="00E21984">
        <w:rPr>
          <w:rFonts w:hint="eastAsia"/>
        </w:rPr>
        <w:t xml:space="preserve"> The columns represent Bus, Installed capacity [MW], Day-ahead price offer [$/MW], Upward reserve capacity offer [MW], Downward reserve capacity offer [MW], Upwar</w:t>
      </w:r>
      <w:r w:rsidRPr="00E21984">
        <w:t xml:space="preserve">d reserve price offer [$/MWh], and Downward reserve price offer [$/MWh]. Each row represents a different </w:t>
      </w:r>
      <w:r w:rsidRPr="00E21984">
        <w:lastRenderedPageBreak/>
        <w:t>node, with rows where Installed capacity is 0 indicating no generator, and rows where Installed capacity is non-zero indicating a generator is present.</w:t>
      </w:r>
    </w:p>
    <w:p w14:paraId="1B264CF4" w14:textId="18763C11" w:rsidR="00F50BFF" w:rsidRPr="00E21984" w:rsidRDefault="00CE0276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t>(</w:t>
      </w:r>
      <w:r w:rsidR="00E96E54">
        <w:rPr>
          <w:rFonts w:hint="eastAsia"/>
          <w:b/>
          <w:sz w:val="24"/>
        </w:rPr>
        <w:t>4</w:t>
      </w:r>
      <w:r w:rsidRPr="00E21984">
        <w:rPr>
          <w:b/>
          <w:sz w:val="24"/>
        </w:rPr>
        <w:t>) Reference</w:t>
      </w:r>
    </w:p>
    <w:p w14:paraId="60125A8D" w14:textId="6CAD7213" w:rsidR="006E786D" w:rsidRPr="00E21984" w:rsidRDefault="00265A33" w:rsidP="0047632B">
      <w:pPr>
        <w:ind w:firstLineChars="0" w:firstLine="0"/>
      </w:pPr>
      <w:r w:rsidRPr="00E21984">
        <w:t>[1] Dvorkin, Vladimir, Stefanos Delikaraoglou, and Juan M. Morales. "Setting reserve requirements to approximate the efficiency of the stochastic dispatch." IEEE Transactions on Power Systems 34.2 (2018): 1524-1536.</w:t>
      </w:r>
    </w:p>
    <w:p w14:paraId="01A3E044" w14:textId="6B09A86D" w:rsidR="00283572" w:rsidRPr="00E21984" w:rsidRDefault="00265A33" w:rsidP="0047632B">
      <w:pPr>
        <w:ind w:firstLineChars="0" w:firstLine="0"/>
      </w:pPr>
      <w:r w:rsidRPr="00E21984">
        <w:t>[2] Hong T, Pinson P, Fan S. Global energy forecasting competition 2012[J]. International Journal of Forecasting, 2014, 30(2): 357-363.</w:t>
      </w:r>
    </w:p>
    <w:sectPr w:rsidR="00283572" w:rsidRPr="00E21984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F1E8D" w14:textId="77777777" w:rsidR="00670103" w:rsidRDefault="00670103" w:rsidP="00B17335">
      <w:pPr>
        <w:spacing w:line="240" w:lineRule="auto"/>
        <w:ind w:firstLine="420"/>
      </w:pPr>
      <w:r>
        <w:separator/>
      </w:r>
    </w:p>
  </w:endnote>
  <w:endnote w:type="continuationSeparator" w:id="0">
    <w:p w14:paraId="466EC1BB" w14:textId="77777777" w:rsidR="00670103" w:rsidRDefault="00670103" w:rsidP="00B173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7241" w14:textId="77777777" w:rsidR="00B17335" w:rsidRDefault="00B1733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CE4BA" w14:textId="77777777" w:rsidR="00B17335" w:rsidRDefault="00B1733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3DCF" w14:textId="77777777" w:rsidR="00B17335" w:rsidRDefault="00B1733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FF64B" w14:textId="77777777" w:rsidR="00670103" w:rsidRDefault="00670103" w:rsidP="00B17335">
      <w:pPr>
        <w:spacing w:line="240" w:lineRule="auto"/>
        <w:ind w:firstLine="420"/>
      </w:pPr>
      <w:r>
        <w:separator/>
      </w:r>
    </w:p>
  </w:footnote>
  <w:footnote w:type="continuationSeparator" w:id="0">
    <w:p w14:paraId="61561D53" w14:textId="77777777" w:rsidR="00670103" w:rsidRDefault="00670103" w:rsidP="00B1733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CD0E" w14:textId="77777777" w:rsidR="00B17335" w:rsidRDefault="00B1733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BE5E9" w14:textId="77777777" w:rsidR="00B17335" w:rsidRDefault="00B1733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EA3A4" w14:textId="77777777" w:rsidR="00B17335" w:rsidRDefault="00B17335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DD4"/>
    <w:multiLevelType w:val="hybridMultilevel"/>
    <w:tmpl w:val="182A8BF2"/>
    <w:lvl w:ilvl="0" w:tplc="C9A2CE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3D2D84"/>
    <w:multiLevelType w:val="hybridMultilevel"/>
    <w:tmpl w:val="C2A6E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C1F4D"/>
    <w:multiLevelType w:val="hybridMultilevel"/>
    <w:tmpl w:val="5682278A"/>
    <w:lvl w:ilvl="0" w:tplc="BC92C5A2">
      <w:start w:val="1"/>
      <w:numFmt w:val="decimalEnclosedCircle"/>
      <w:lvlText w:val="%1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6D966B2C"/>
    <w:multiLevelType w:val="hybridMultilevel"/>
    <w:tmpl w:val="D1F2D2D0"/>
    <w:lvl w:ilvl="0" w:tplc="DA2AF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0F7EFC"/>
    <w:multiLevelType w:val="hybridMultilevel"/>
    <w:tmpl w:val="D51626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5100567">
    <w:abstractNumId w:val="4"/>
  </w:num>
  <w:num w:numId="2" w16cid:durableId="1524904277">
    <w:abstractNumId w:val="2"/>
  </w:num>
  <w:num w:numId="3" w16cid:durableId="1221285387">
    <w:abstractNumId w:val="1"/>
  </w:num>
  <w:num w:numId="4" w16cid:durableId="632252708">
    <w:abstractNumId w:val="0"/>
  </w:num>
  <w:num w:numId="5" w16cid:durableId="34918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F7"/>
    <w:rsid w:val="00001EBD"/>
    <w:rsid w:val="000035A2"/>
    <w:rsid w:val="00005593"/>
    <w:rsid w:val="00032430"/>
    <w:rsid w:val="00040851"/>
    <w:rsid w:val="00040ECF"/>
    <w:rsid w:val="0004692C"/>
    <w:rsid w:val="00070E98"/>
    <w:rsid w:val="000916A5"/>
    <w:rsid w:val="000B0BC0"/>
    <w:rsid w:val="000B51EA"/>
    <w:rsid w:val="000C215D"/>
    <w:rsid w:val="000C2821"/>
    <w:rsid w:val="000D57D0"/>
    <w:rsid w:val="000E3EA7"/>
    <w:rsid w:val="000F32DD"/>
    <w:rsid w:val="000F5318"/>
    <w:rsid w:val="000F6D74"/>
    <w:rsid w:val="00103353"/>
    <w:rsid w:val="0015726B"/>
    <w:rsid w:val="001812C2"/>
    <w:rsid w:val="00182014"/>
    <w:rsid w:val="001B20FD"/>
    <w:rsid w:val="001C3822"/>
    <w:rsid w:val="001D689D"/>
    <w:rsid w:val="001E1D2A"/>
    <w:rsid w:val="001E5055"/>
    <w:rsid w:val="001F3301"/>
    <w:rsid w:val="00210EC8"/>
    <w:rsid w:val="0022156D"/>
    <w:rsid w:val="00226902"/>
    <w:rsid w:val="00240EBB"/>
    <w:rsid w:val="002568F4"/>
    <w:rsid w:val="00265A33"/>
    <w:rsid w:val="00283572"/>
    <w:rsid w:val="00293540"/>
    <w:rsid w:val="002B4D41"/>
    <w:rsid w:val="002D0C6B"/>
    <w:rsid w:val="002D643D"/>
    <w:rsid w:val="002E38DD"/>
    <w:rsid w:val="002F407F"/>
    <w:rsid w:val="00304050"/>
    <w:rsid w:val="0030752C"/>
    <w:rsid w:val="00313ADB"/>
    <w:rsid w:val="00321DFC"/>
    <w:rsid w:val="0032710B"/>
    <w:rsid w:val="003355FB"/>
    <w:rsid w:val="00357E82"/>
    <w:rsid w:val="00363C5E"/>
    <w:rsid w:val="00364F6E"/>
    <w:rsid w:val="00375581"/>
    <w:rsid w:val="0038034B"/>
    <w:rsid w:val="00396AFC"/>
    <w:rsid w:val="003B05F9"/>
    <w:rsid w:val="003C364D"/>
    <w:rsid w:val="003C57CA"/>
    <w:rsid w:val="003D20C5"/>
    <w:rsid w:val="003D5A1A"/>
    <w:rsid w:val="00403589"/>
    <w:rsid w:val="004069CE"/>
    <w:rsid w:val="00420BD5"/>
    <w:rsid w:val="00425A0C"/>
    <w:rsid w:val="004266B7"/>
    <w:rsid w:val="00441EA5"/>
    <w:rsid w:val="00457B06"/>
    <w:rsid w:val="0046411D"/>
    <w:rsid w:val="00475D73"/>
    <w:rsid w:val="0047632B"/>
    <w:rsid w:val="00492BDE"/>
    <w:rsid w:val="004944A9"/>
    <w:rsid w:val="00496DA8"/>
    <w:rsid w:val="004D00D3"/>
    <w:rsid w:val="004E1642"/>
    <w:rsid w:val="00507678"/>
    <w:rsid w:val="00521047"/>
    <w:rsid w:val="0055009B"/>
    <w:rsid w:val="00551EFB"/>
    <w:rsid w:val="005B6F0A"/>
    <w:rsid w:val="005C6AC4"/>
    <w:rsid w:val="005D2C29"/>
    <w:rsid w:val="005E35A4"/>
    <w:rsid w:val="005E40AF"/>
    <w:rsid w:val="005F740D"/>
    <w:rsid w:val="00601002"/>
    <w:rsid w:val="0061144E"/>
    <w:rsid w:val="00616100"/>
    <w:rsid w:val="00622217"/>
    <w:rsid w:val="00633DCA"/>
    <w:rsid w:val="006436F1"/>
    <w:rsid w:val="00655F29"/>
    <w:rsid w:val="00660AAF"/>
    <w:rsid w:val="00667097"/>
    <w:rsid w:val="00670103"/>
    <w:rsid w:val="00670942"/>
    <w:rsid w:val="006744D8"/>
    <w:rsid w:val="006800F7"/>
    <w:rsid w:val="00693645"/>
    <w:rsid w:val="00695EDF"/>
    <w:rsid w:val="006A75E8"/>
    <w:rsid w:val="006C11B0"/>
    <w:rsid w:val="006D3CD8"/>
    <w:rsid w:val="006E786D"/>
    <w:rsid w:val="006F1439"/>
    <w:rsid w:val="006F2F39"/>
    <w:rsid w:val="00702D02"/>
    <w:rsid w:val="007155CD"/>
    <w:rsid w:val="00745551"/>
    <w:rsid w:val="00747A51"/>
    <w:rsid w:val="00754951"/>
    <w:rsid w:val="00762B4F"/>
    <w:rsid w:val="00762BF5"/>
    <w:rsid w:val="007802E6"/>
    <w:rsid w:val="00784A27"/>
    <w:rsid w:val="00791825"/>
    <w:rsid w:val="007A4029"/>
    <w:rsid w:val="007B076F"/>
    <w:rsid w:val="007B07BA"/>
    <w:rsid w:val="007B788F"/>
    <w:rsid w:val="007C310C"/>
    <w:rsid w:val="007D7A31"/>
    <w:rsid w:val="007E5523"/>
    <w:rsid w:val="00824A47"/>
    <w:rsid w:val="00827197"/>
    <w:rsid w:val="008364D8"/>
    <w:rsid w:val="00836694"/>
    <w:rsid w:val="00857819"/>
    <w:rsid w:val="0087405A"/>
    <w:rsid w:val="0087558E"/>
    <w:rsid w:val="008804C8"/>
    <w:rsid w:val="008A0A1A"/>
    <w:rsid w:val="008D4A0E"/>
    <w:rsid w:val="008E0110"/>
    <w:rsid w:val="008F78EC"/>
    <w:rsid w:val="009030F3"/>
    <w:rsid w:val="00910F13"/>
    <w:rsid w:val="009235B1"/>
    <w:rsid w:val="00932A5D"/>
    <w:rsid w:val="0093300E"/>
    <w:rsid w:val="00935A32"/>
    <w:rsid w:val="0094697A"/>
    <w:rsid w:val="0095458F"/>
    <w:rsid w:val="009551BE"/>
    <w:rsid w:val="00955EE7"/>
    <w:rsid w:val="00993CD3"/>
    <w:rsid w:val="009A41B7"/>
    <w:rsid w:val="009D3255"/>
    <w:rsid w:val="009E1CF9"/>
    <w:rsid w:val="009F0F1D"/>
    <w:rsid w:val="00A02D0C"/>
    <w:rsid w:val="00A34500"/>
    <w:rsid w:val="00A55D8C"/>
    <w:rsid w:val="00A771ED"/>
    <w:rsid w:val="00A85C10"/>
    <w:rsid w:val="00AA4DF7"/>
    <w:rsid w:val="00AD2A23"/>
    <w:rsid w:val="00AF0AA7"/>
    <w:rsid w:val="00B017EE"/>
    <w:rsid w:val="00B17335"/>
    <w:rsid w:val="00B20C9C"/>
    <w:rsid w:val="00B32D5A"/>
    <w:rsid w:val="00B61780"/>
    <w:rsid w:val="00BA5BFF"/>
    <w:rsid w:val="00BB2237"/>
    <w:rsid w:val="00BC5480"/>
    <w:rsid w:val="00BC6795"/>
    <w:rsid w:val="00BD46E9"/>
    <w:rsid w:val="00BE4926"/>
    <w:rsid w:val="00BF583B"/>
    <w:rsid w:val="00C370F7"/>
    <w:rsid w:val="00C4148F"/>
    <w:rsid w:val="00C55D1B"/>
    <w:rsid w:val="00C629AB"/>
    <w:rsid w:val="00C74275"/>
    <w:rsid w:val="00C91D6A"/>
    <w:rsid w:val="00C97DFD"/>
    <w:rsid w:val="00CA111D"/>
    <w:rsid w:val="00CA6BFC"/>
    <w:rsid w:val="00CB2C28"/>
    <w:rsid w:val="00CB559F"/>
    <w:rsid w:val="00CC0250"/>
    <w:rsid w:val="00CC7090"/>
    <w:rsid w:val="00CE0276"/>
    <w:rsid w:val="00CE5E14"/>
    <w:rsid w:val="00CF7F56"/>
    <w:rsid w:val="00D31A76"/>
    <w:rsid w:val="00D42D5C"/>
    <w:rsid w:val="00D44B10"/>
    <w:rsid w:val="00D51135"/>
    <w:rsid w:val="00D6412A"/>
    <w:rsid w:val="00D652E3"/>
    <w:rsid w:val="00D661B5"/>
    <w:rsid w:val="00DB290B"/>
    <w:rsid w:val="00DC2841"/>
    <w:rsid w:val="00E11FCD"/>
    <w:rsid w:val="00E128CC"/>
    <w:rsid w:val="00E14554"/>
    <w:rsid w:val="00E157D3"/>
    <w:rsid w:val="00E20751"/>
    <w:rsid w:val="00E21984"/>
    <w:rsid w:val="00E34D10"/>
    <w:rsid w:val="00E51A90"/>
    <w:rsid w:val="00E56CEF"/>
    <w:rsid w:val="00E61C01"/>
    <w:rsid w:val="00E72FB4"/>
    <w:rsid w:val="00E847BA"/>
    <w:rsid w:val="00E93A48"/>
    <w:rsid w:val="00E96E54"/>
    <w:rsid w:val="00EC6FCE"/>
    <w:rsid w:val="00ED6C6D"/>
    <w:rsid w:val="00EE2DE0"/>
    <w:rsid w:val="00EE6E4A"/>
    <w:rsid w:val="00EF0E36"/>
    <w:rsid w:val="00EF142B"/>
    <w:rsid w:val="00EF6BDD"/>
    <w:rsid w:val="00EF6E96"/>
    <w:rsid w:val="00F20535"/>
    <w:rsid w:val="00F27AED"/>
    <w:rsid w:val="00F33C97"/>
    <w:rsid w:val="00F35DAE"/>
    <w:rsid w:val="00F42786"/>
    <w:rsid w:val="00F50BFF"/>
    <w:rsid w:val="00F627F6"/>
    <w:rsid w:val="00F67C32"/>
    <w:rsid w:val="00F72BD6"/>
    <w:rsid w:val="00FB5A92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D5B6"/>
  <w15:chartTrackingRefBased/>
  <w15:docId w15:val="{D30C063B-9872-44EF-A401-07571B8F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E3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F0E36"/>
    <w:pPr>
      <w:keepNext/>
      <w:keepLines/>
      <w:spacing w:before="240" w:after="240" w:line="360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EF0E36"/>
    <w:pPr>
      <w:keepNext/>
      <w:keepLines/>
      <w:spacing w:before="120" w:line="415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F0E36"/>
    <w:pPr>
      <w:keepNext/>
      <w:keepLines/>
      <w:spacing w:before="120" w:line="360" w:lineRule="auto"/>
      <w:ind w:firstLine="641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EF0E36"/>
    <w:pPr>
      <w:keepNext/>
      <w:keepLines/>
      <w:spacing w:before="280" w:after="290" w:line="376" w:lineRule="auto"/>
      <w:ind w:firstLine="5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56CEF"/>
    <w:pPr>
      <w:keepNext/>
      <w:keepLines/>
      <w:spacing w:before="280" w:after="290" w:line="360" w:lineRule="auto"/>
      <w:outlineLvl w:val="4"/>
    </w:pPr>
    <w:rPr>
      <w:rFonts w:eastAsia="仿宋_GB2312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EF0E36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qFormat/>
    <w:rsid w:val="00E56C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E56CEF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rsid w:val="00E56CEF"/>
    <w:rPr>
      <w:rFonts w:ascii="黑体" w:eastAsia="黑体"/>
      <w:b/>
      <w:kern w:val="44"/>
      <w:sz w:val="28"/>
      <w:lang w:val="en-US" w:eastAsia="zh-CN" w:bidi="ar-SA"/>
    </w:rPr>
  </w:style>
  <w:style w:type="character" w:customStyle="1" w:styleId="20">
    <w:name w:val="标题 2 字符"/>
    <w:basedOn w:val="a0"/>
    <w:link w:val="2"/>
    <w:qFormat/>
    <w:rsid w:val="00EF0E36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EF0E3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qFormat/>
    <w:rsid w:val="00EF0E3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56CEF"/>
    <w:rPr>
      <w:rFonts w:ascii="Times New Roman" w:eastAsia="仿宋_GB2312" w:hAnsi="Times New Roman" w:cs="Times New Roman"/>
      <w:bCs/>
      <w:sz w:val="24"/>
      <w:szCs w:val="28"/>
    </w:rPr>
  </w:style>
  <w:style w:type="paragraph" w:styleId="21">
    <w:name w:val="Body Text Indent 2"/>
    <w:basedOn w:val="a"/>
    <w:link w:val="22"/>
    <w:uiPriority w:val="99"/>
    <w:unhideWhenUsed/>
    <w:rsid w:val="00E56CEF"/>
    <w:pPr>
      <w:spacing w:line="400" w:lineRule="exact"/>
      <w:ind w:firstLine="2320"/>
    </w:pPr>
    <w:rPr>
      <w:kern w:val="0"/>
      <w:sz w:val="24"/>
      <w:szCs w:val="20"/>
    </w:rPr>
  </w:style>
  <w:style w:type="character" w:customStyle="1" w:styleId="22">
    <w:name w:val="正文文本缩进 2 字符"/>
    <w:link w:val="21"/>
    <w:uiPriority w:val="99"/>
    <w:rsid w:val="00E56CE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10">
    <w:name w:val="正文文本缩进 2 字符1"/>
    <w:basedOn w:val="a0"/>
    <w:semiHidden/>
    <w:rsid w:val="00E56CEF"/>
    <w:rPr>
      <w:kern w:val="2"/>
      <w:sz w:val="21"/>
      <w:szCs w:val="24"/>
    </w:rPr>
  </w:style>
  <w:style w:type="paragraph" w:customStyle="1" w:styleId="a5">
    <w:name w:val="公式处理"/>
    <w:basedOn w:val="a"/>
    <w:next w:val="a"/>
    <w:qFormat/>
    <w:rsid w:val="007B07BA"/>
    <w:pPr>
      <w:tabs>
        <w:tab w:val="center" w:pos="4673"/>
        <w:tab w:val="right" w:pos="9345"/>
      </w:tabs>
      <w:ind w:firstLineChars="0" w:firstLine="0"/>
    </w:pPr>
    <w:rPr>
      <w:rFonts w:eastAsiaTheme="minorEastAsia"/>
      <w:sz w:val="24"/>
    </w:rPr>
  </w:style>
  <w:style w:type="table" w:customStyle="1" w:styleId="a6">
    <w:name w:val="三线表"/>
    <w:basedOn w:val="a1"/>
    <w:uiPriority w:val="99"/>
    <w:rsid w:val="006744D8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公式"/>
    <w:basedOn w:val="a"/>
    <w:next w:val="a"/>
    <w:qFormat/>
    <w:rsid w:val="00E93A48"/>
    <w:pPr>
      <w:tabs>
        <w:tab w:val="center" w:pos="2199"/>
        <w:tab w:val="right" w:pos="4395"/>
      </w:tabs>
      <w:spacing w:line="280" w:lineRule="exact"/>
      <w:ind w:firstLineChars="0" w:firstLine="0"/>
    </w:pPr>
    <w:rPr>
      <w:sz w:val="24"/>
    </w:rPr>
  </w:style>
  <w:style w:type="paragraph" w:customStyle="1" w:styleId="Text">
    <w:name w:val="Text"/>
    <w:basedOn w:val="a"/>
    <w:link w:val="TextChar"/>
    <w:qFormat/>
    <w:rsid w:val="00E93A48"/>
    <w:pPr>
      <w:autoSpaceDE w:val="0"/>
      <w:autoSpaceDN w:val="0"/>
      <w:spacing w:line="252" w:lineRule="auto"/>
      <w:ind w:firstLineChars="0" w:firstLine="202"/>
    </w:pPr>
    <w:rPr>
      <w:rFonts w:eastAsia="等线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qFormat/>
    <w:rsid w:val="00E93A48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fontstyle31">
    <w:name w:val="fontstyle31"/>
    <w:basedOn w:val="a0"/>
    <w:rsid w:val="00E93A48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a8">
    <w:name w:val="Table Grid"/>
    <w:basedOn w:val="a1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C11B0"/>
    <w:pPr>
      <w:ind w:firstLine="420"/>
    </w:pPr>
  </w:style>
  <w:style w:type="paragraph" w:styleId="aa">
    <w:name w:val="header"/>
    <w:basedOn w:val="a"/>
    <w:link w:val="ab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7335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73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oter" Target="footer1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header" Target="header2.xm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A4E6-E271-4822-97B8-032F45CA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君奕</dc:creator>
  <cp:keywords/>
  <dc:description/>
  <cp:lastModifiedBy>junyitao@foxmail.com</cp:lastModifiedBy>
  <cp:revision>8</cp:revision>
  <dcterms:created xsi:type="dcterms:W3CDTF">2025-04-13T06:27:00Z</dcterms:created>
  <dcterms:modified xsi:type="dcterms:W3CDTF">2025-04-13T11:40:00Z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