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Exercise 5 - Magnetic exchange coupling in a Cu(II) dimer from broken-symmetry DFT</w:t>
      </w:r>
    </w:p>
    <w:p>
      <w:r>
        <w:t>The compound is a paddle-wheel dimer: four trifluoroacetate bridges between the two Cu(II) ions (Cu–Cu 2.73 Å) and one alkoxide-type O donor on each axial position; total charge −2 as given. Each Cu(II) is d</w:t>
      </w:r>
      <w:r>
        <w:rPr>
          <w:vertAlign w:val="superscript"/>
        </w:rPr>
        <w:t>9</w:t>
      </w:r>
      <w:r>
        <w:t xml:space="preserve"> with S = 1/2. Keywords: ! UKS B3LYP &lt;basis&gt; &lt;auxiliary basis&gt; RIJCOSX TightSCF SlowConv with %scf BrokenSym 1,1 end and the coordinate line * xyzfile −2 3, i.e. the high-spin multiplicity. ORCA first converges the high-spin state (HS, both spins parallel), then flips the spin on one Cu and converges the broken-symmetry state (BS). The three runs differ only in the relativistic treatment: non-relativistic (def2-SVP, def2/J), DKH (DKH-def2-SVP, SARC/J) and ZORA (ZORA-def2-SVP, SARC/J); the functional and the basis-set size are the same in all three, so the table isolates the relativistic effect. The assignment does not prescribe the non-relativistic level, so B3LYP/def2-SVP was chosen to match the other two.</w:t>
      </w:r>
    </w:p>
    <w:p>
      <w:pPr>
        <w:pStyle w:val="Heading1"/>
      </w:pPr>
      <w:r>
        <w:t>Results</w:t>
      </w:r>
    </w:p>
    <w:p>
      <w:pPr>
        <w:keepNext/>
        <w:jc w:val="center"/>
      </w:pPr>
      <w:r>
        <w:rPr>
          <w:i/>
          <w:sz w:val="18"/>
        </w:rPr>
        <w:t>Table 1. Total energies of the high-spin and broken-symmetry states, their spin expectation values and the exchange coupling constants in cm</w:t>
      </w:r>
      <w:r>
        <w:rPr>
          <w:i/>
          <w:sz w:val="18"/>
          <w:vertAlign w:val="superscript"/>
        </w:rPr>
        <w:t>−1</w:t>
      </w:r>
      <w:r>
        <w:rPr>
          <w:i/>
          <w:sz w:val="18"/>
        </w:rPr>
        <w:t>. ORCA uses H = −2J S</w:t>
      </w:r>
      <w:r>
        <w:rPr>
          <w:i/>
          <w:sz w:val="18"/>
          <w:vertAlign w:val="subscript"/>
        </w:rPr>
        <w:t>A</w:t>
      </w:r>
      <w:r>
        <w:rPr>
          <w:i/>
          <w:sz w:val="18"/>
        </w:rPr>
        <w:t>·S</w:t>
      </w:r>
      <w:r>
        <w:rPr>
          <w:i/>
          <w:sz w:val="18"/>
          <w:vertAlign w:val="subscript"/>
        </w:rPr>
        <w:t>B</w:t>
      </w:r>
      <w:r>
        <w:rPr>
          <w:i/>
          <w:sz w:val="18"/>
        </w:rPr>
        <w:t>, so J &lt; 0 means antiferromagnetic coupling. J(1) is the Ginsberg–Noodleman expression, J(2) the Bencini–Gatteschi one and J(3) the Yamaguchi expression J = (E</w:t>
      </w:r>
      <w:r>
        <w:rPr>
          <w:i/>
          <w:sz w:val="18"/>
          <w:vertAlign w:val="subscript"/>
        </w:rPr>
        <w:t>BS</w:t>
      </w:r>
      <w:r>
        <w:rPr>
          <w:i/>
          <w:sz w:val="18"/>
        </w:rPr>
        <w:t xml:space="preserve"> − E</w:t>
      </w:r>
      <w:r>
        <w:rPr>
          <w:i/>
          <w:sz w:val="18"/>
          <w:vertAlign w:val="subscript"/>
        </w:rPr>
        <w:t>HS</w:t>
      </w:r>
      <w:r>
        <w:rPr>
          <w:i/>
          <w:sz w:val="18"/>
        </w:rPr>
        <w:t>)/(⟨S²⟩</w:t>
      </w:r>
      <w:r>
        <w:rPr>
          <w:i/>
          <w:sz w:val="18"/>
          <w:vertAlign w:val="subscript"/>
        </w:rPr>
        <w:t>HS</w:t>
      </w:r>
      <w:r>
        <w:rPr>
          <w:i/>
          <w:sz w:val="18"/>
        </w:rPr>
        <w:t xml:space="preserve"> − ⟨S²⟩</w:t>
      </w:r>
      <w:r>
        <w:rPr>
          <w:i/>
          <w:sz w:val="18"/>
          <w:vertAlign w:val="subscript"/>
        </w:rPr>
        <w:t>BS</w:t>
      </w:r>
      <w:r>
        <w:rPr>
          <w:i/>
          <w:sz w:val="18"/>
        </w:rPr>
        <w:t>). The last three rows repeat the calculations with a finer integration grid (DefGrid3) and VeryTightSCF.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1304"/>
        <w:gridCol w:w="1304"/>
        <w:gridCol w:w="794"/>
        <w:gridCol w:w="794"/>
        <w:gridCol w:w="1077"/>
        <w:gridCol w:w="652"/>
        <w:gridCol w:w="652"/>
        <w:gridCol w:w="652"/>
      </w:tblGrid>
      <w:tr>
        <w:trPr>
          <w:cantSplit/>
        </w:trPr>
        <w:tc>
          <w:tcPr>
            <w:tcW w:type="dxa" w:w="1531"/>
          </w:tcPr>
          <w:p>
            <w:pPr>
              <w:jc w:val="center"/>
            </w:pPr>
            <w:r>
              <w:rPr>
                <w:b/>
                <w:sz w:val="17"/>
              </w:rPr>
              <w:t>Run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7"/>
              </w:rPr>
              <w:t>E(HS) / E</w:t>
            </w:r>
            <w:r>
              <w:rPr>
                <w:b/>
                <w:sz w:val="17"/>
                <w:vertAlign w:val="subscript"/>
              </w:rPr>
              <w:t>h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17"/>
              </w:rPr>
              <w:t>E(BS) / E</w:t>
            </w:r>
            <w:r>
              <w:rPr>
                <w:b/>
                <w:sz w:val="17"/>
                <w:vertAlign w:val="subscript"/>
              </w:rPr>
              <w:t>h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b/>
                <w:sz w:val="17"/>
              </w:rPr>
              <w:t>⟨S²⟩</w:t>
            </w:r>
            <w:r>
              <w:rPr>
                <w:b/>
                <w:sz w:val="17"/>
                <w:vertAlign w:val="subscript"/>
              </w:rPr>
              <w:t>HS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b/>
                <w:sz w:val="17"/>
              </w:rPr>
              <w:t>⟨S²⟩</w:t>
            </w:r>
            <w:r>
              <w:rPr>
                <w:b/>
                <w:sz w:val="17"/>
                <w:vertAlign w:val="subscript"/>
              </w:rPr>
              <w:t>BS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b/>
                <w:sz w:val="17"/>
              </w:rPr>
              <w:t>E(HS)−E(BS) / cm</w:t>
            </w:r>
            <w:r>
              <w:rPr>
                <w:b/>
                <w:sz w:val="17"/>
                <w:vertAlign w:val="superscript"/>
              </w:rPr>
              <w:t>−1</w:t>
            </w:r>
          </w:p>
        </w:tc>
        <w:tc>
          <w:tcPr>
            <w:tcW w:type="dxa" w:w="652"/>
          </w:tcPr>
          <w:p>
            <w:pPr>
              <w:jc w:val="center"/>
            </w:pPr>
            <w:r>
              <w:rPr>
                <w:b/>
                <w:sz w:val="17"/>
              </w:rPr>
              <w:t>J(1)</w:t>
            </w:r>
          </w:p>
        </w:tc>
        <w:tc>
          <w:tcPr>
            <w:tcW w:type="dxa" w:w="652"/>
          </w:tcPr>
          <w:p>
            <w:pPr>
              <w:jc w:val="center"/>
            </w:pPr>
            <w:r>
              <w:rPr>
                <w:b/>
                <w:sz w:val="17"/>
              </w:rPr>
              <w:t>J(2)</w:t>
            </w:r>
          </w:p>
        </w:tc>
        <w:tc>
          <w:tcPr>
            <w:tcW w:type="dxa" w:w="652"/>
          </w:tcPr>
          <w:p>
            <w:pPr>
              <w:jc w:val="center"/>
            </w:pPr>
            <w:r>
              <w:rPr>
                <w:b/>
                <w:sz w:val="17"/>
              </w:rPr>
              <w:t>J(3)</w:t>
            </w:r>
          </w:p>
        </w:tc>
      </w:tr>
      <w:tr>
        <w:trPr>
          <w:cantSplit/>
        </w:trPr>
        <w:tc>
          <w:tcPr>
            <w:tcW w:type="dxa" w:w="1531"/>
          </w:tcPr>
          <w:p>
            <w:r>
              <w:rPr>
                <w:b/>
                <w:sz w:val="17"/>
              </w:rPr>
              <w:t>non-relativistic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sz w:val="17"/>
              </w:rPr>
              <w:t>−6076.975267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sz w:val="17"/>
              </w:rPr>
              <w:t>−6076.975094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7"/>
              </w:rPr>
              <w:t>2.0050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7"/>
              </w:rPr>
              <w:t>1.0006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17"/>
              </w:rPr>
              <w:t>−38.0</w:t>
            </w:r>
          </w:p>
        </w:tc>
        <w:tc>
          <w:tcPr>
            <w:tcW w:type="dxa" w:w="652"/>
          </w:tcPr>
          <w:p>
            <w:pPr>
              <w:jc w:val="center"/>
            </w:pPr>
            <w:r>
              <w:rPr>
                <w:sz w:val="17"/>
              </w:rPr>
              <w:t>+38.0</w:t>
            </w:r>
          </w:p>
        </w:tc>
        <w:tc>
          <w:tcPr>
            <w:tcW w:type="dxa" w:w="652"/>
          </w:tcPr>
          <w:p>
            <w:pPr>
              <w:jc w:val="center"/>
            </w:pPr>
            <w:r>
              <w:rPr>
                <w:sz w:val="17"/>
              </w:rPr>
              <w:t>+19.0</w:t>
            </w:r>
          </w:p>
        </w:tc>
        <w:tc>
          <w:tcPr>
            <w:tcW w:type="dxa" w:w="652"/>
          </w:tcPr>
          <w:p>
            <w:pPr>
              <w:jc w:val="center"/>
            </w:pPr>
            <w:r>
              <w:rPr>
                <w:sz w:val="17"/>
              </w:rPr>
              <w:t>+37.8</w:t>
            </w:r>
          </w:p>
        </w:tc>
      </w:tr>
      <w:tr>
        <w:trPr>
          <w:cantSplit/>
        </w:trPr>
        <w:tc>
          <w:tcPr>
            <w:tcW w:type="dxa" w:w="1531"/>
          </w:tcPr>
          <w:p>
            <w:r>
              <w:rPr>
                <w:b/>
                <w:sz w:val="17"/>
              </w:rPr>
              <w:t>DKH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sz w:val="17"/>
              </w:rPr>
              <w:t>−6107.249506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sz w:val="17"/>
              </w:rPr>
              <w:t>−6107.249605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7"/>
              </w:rPr>
              <w:t>2.0041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7"/>
              </w:rPr>
              <w:t>0.9989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17"/>
              </w:rPr>
              <w:t>+21.7</w:t>
            </w:r>
          </w:p>
        </w:tc>
        <w:tc>
          <w:tcPr>
            <w:tcW w:type="dxa" w:w="652"/>
          </w:tcPr>
          <w:p>
            <w:pPr>
              <w:jc w:val="center"/>
            </w:pPr>
            <w:r>
              <w:rPr>
                <w:sz w:val="17"/>
              </w:rPr>
              <w:t>−21.7</w:t>
            </w:r>
          </w:p>
        </w:tc>
        <w:tc>
          <w:tcPr>
            <w:tcW w:type="dxa" w:w="652"/>
          </w:tcPr>
          <w:p>
            <w:pPr>
              <w:jc w:val="center"/>
            </w:pPr>
            <w:r>
              <w:rPr>
                <w:sz w:val="17"/>
              </w:rPr>
              <w:t>−10.9</w:t>
            </w:r>
          </w:p>
        </w:tc>
        <w:tc>
          <w:tcPr>
            <w:tcW w:type="dxa" w:w="652"/>
          </w:tcPr>
          <w:p>
            <w:pPr>
              <w:jc w:val="center"/>
            </w:pPr>
            <w:r>
              <w:rPr>
                <w:sz w:val="17"/>
              </w:rPr>
              <w:t>−21.6</w:t>
            </w:r>
          </w:p>
        </w:tc>
      </w:tr>
      <w:tr>
        <w:trPr>
          <w:cantSplit/>
        </w:trPr>
        <w:tc>
          <w:tcPr>
            <w:tcW w:type="dxa" w:w="1531"/>
          </w:tcPr>
          <w:p>
            <w:r>
              <w:rPr>
                <w:b/>
                <w:sz w:val="17"/>
              </w:rPr>
              <w:t>ZORA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sz w:val="17"/>
              </w:rPr>
              <w:t>−6122.764932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sz w:val="17"/>
              </w:rPr>
              <w:t>−6122.765176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7"/>
              </w:rPr>
              <w:t>2.0038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7"/>
              </w:rPr>
              <w:t>0.9976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17"/>
              </w:rPr>
              <w:t>+53.5</w:t>
            </w:r>
          </w:p>
        </w:tc>
        <w:tc>
          <w:tcPr>
            <w:tcW w:type="dxa" w:w="652"/>
          </w:tcPr>
          <w:p>
            <w:pPr>
              <w:jc w:val="center"/>
            </w:pPr>
            <w:r>
              <w:rPr>
                <w:sz w:val="17"/>
              </w:rPr>
              <w:t>−53.5</w:t>
            </w:r>
          </w:p>
        </w:tc>
        <w:tc>
          <w:tcPr>
            <w:tcW w:type="dxa" w:w="652"/>
          </w:tcPr>
          <w:p>
            <w:pPr>
              <w:jc w:val="center"/>
            </w:pPr>
            <w:r>
              <w:rPr>
                <w:sz w:val="17"/>
              </w:rPr>
              <w:t>−26.8</w:t>
            </w:r>
          </w:p>
        </w:tc>
        <w:tc>
          <w:tcPr>
            <w:tcW w:type="dxa" w:w="652"/>
          </w:tcPr>
          <w:p>
            <w:pPr>
              <w:jc w:val="center"/>
            </w:pPr>
            <w:r>
              <w:rPr>
                <w:sz w:val="17"/>
              </w:rPr>
              <w:t>−53.2</w:t>
            </w:r>
          </w:p>
        </w:tc>
      </w:tr>
      <w:tr>
        <w:trPr>
          <w:cantSplit/>
        </w:trPr>
        <w:tc>
          <w:tcPr>
            <w:tcW w:type="dxa" w:w="1531"/>
          </w:tcPr>
          <w:p>
            <w:r>
              <w:rPr>
                <w:b/>
                <w:sz w:val="17"/>
              </w:rPr>
              <w:t>non-relativistic, tight grid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sz w:val="17"/>
              </w:rPr>
              <w:t>−6076.975278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sz w:val="17"/>
              </w:rPr>
              <w:t>−6076.975105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7"/>
              </w:rPr>
              <w:t>2.0050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7"/>
              </w:rPr>
              <w:t>1.0006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17"/>
              </w:rPr>
              <w:t>−37.9</w:t>
            </w:r>
          </w:p>
        </w:tc>
        <w:tc>
          <w:tcPr>
            <w:tcW w:type="dxa" w:w="652"/>
          </w:tcPr>
          <w:p>
            <w:pPr>
              <w:jc w:val="center"/>
            </w:pPr>
            <w:r>
              <w:rPr>
                <w:sz w:val="17"/>
              </w:rPr>
              <w:t>+37.9</w:t>
            </w:r>
          </w:p>
        </w:tc>
        <w:tc>
          <w:tcPr>
            <w:tcW w:type="dxa" w:w="652"/>
          </w:tcPr>
          <w:p>
            <w:pPr>
              <w:jc w:val="center"/>
            </w:pPr>
            <w:r>
              <w:rPr>
                <w:sz w:val="17"/>
              </w:rPr>
              <w:t>+19.0</w:t>
            </w:r>
          </w:p>
        </w:tc>
        <w:tc>
          <w:tcPr>
            <w:tcW w:type="dxa" w:w="652"/>
          </w:tcPr>
          <w:p>
            <w:pPr>
              <w:jc w:val="center"/>
            </w:pPr>
            <w:r>
              <w:rPr>
                <w:sz w:val="17"/>
              </w:rPr>
              <w:t>+37.8</w:t>
            </w:r>
          </w:p>
        </w:tc>
      </w:tr>
      <w:tr>
        <w:trPr>
          <w:cantSplit/>
        </w:trPr>
        <w:tc>
          <w:tcPr>
            <w:tcW w:type="dxa" w:w="1531"/>
          </w:tcPr>
          <w:p>
            <w:r>
              <w:rPr>
                <w:b/>
                <w:sz w:val="17"/>
              </w:rPr>
              <w:t>DKH, tight grid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sz w:val="17"/>
              </w:rPr>
              <w:t>−6107.249520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sz w:val="17"/>
              </w:rPr>
              <w:t>−6107.249620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7"/>
              </w:rPr>
              <w:t>2.0041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7"/>
              </w:rPr>
              <w:t>0.9989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17"/>
              </w:rPr>
              <w:t>+21.9</w:t>
            </w:r>
          </w:p>
        </w:tc>
        <w:tc>
          <w:tcPr>
            <w:tcW w:type="dxa" w:w="652"/>
          </w:tcPr>
          <w:p>
            <w:pPr>
              <w:jc w:val="center"/>
            </w:pPr>
            <w:r>
              <w:rPr>
                <w:sz w:val="17"/>
              </w:rPr>
              <w:t>−21.9</w:t>
            </w:r>
          </w:p>
        </w:tc>
        <w:tc>
          <w:tcPr>
            <w:tcW w:type="dxa" w:w="652"/>
          </w:tcPr>
          <w:p>
            <w:pPr>
              <w:jc w:val="center"/>
            </w:pPr>
            <w:r>
              <w:rPr>
                <w:sz w:val="17"/>
              </w:rPr>
              <w:t>−10.9</w:t>
            </w:r>
          </w:p>
        </w:tc>
        <w:tc>
          <w:tcPr>
            <w:tcW w:type="dxa" w:w="652"/>
          </w:tcPr>
          <w:p>
            <w:pPr>
              <w:jc w:val="center"/>
            </w:pPr>
            <w:r>
              <w:rPr>
                <w:sz w:val="17"/>
              </w:rPr>
              <w:t>−21.8</w:t>
            </w:r>
          </w:p>
        </w:tc>
      </w:tr>
      <w:tr>
        <w:trPr>
          <w:cantSplit/>
        </w:trPr>
        <w:tc>
          <w:tcPr>
            <w:tcW w:type="dxa" w:w="1531"/>
          </w:tcPr>
          <w:p>
            <w:r>
              <w:rPr>
                <w:b/>
                <w:sz w:val="17"/>
              </w:rPr>
              <w:t>ZORA, tight grid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sz w:val="17"/>
              </w:rPr>
              <w:t>−6122.765126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sz w:val="17"/>
              </w:rPr>
              <w:t>−6122.765371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7"/>
              </w:rPr>
              <w:t>2.0038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sz w:val="17"/>
              </w:rPr>
              <w:t>0.9976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sz w:val="17"/>
              </w:rPr>
              <w:t>+53.7</w:t>
            </w:r>
          </w:p>
        </w:tc>
        <w:tc>
          <w:tcPr>
            <w:tcW w:type="dxa" w:w="652"/>
          </w:tcPr>
          <w:p>
            <w:pPr>
              <w:jc w:val="center"/>
            </w:pPr>
            <w:r>
              <w:rPr>
                <w:sz w:val="17"/>
              </w:rPr>
              <w:t>−53.7</w:t>
            </w:r>
          </w:p>
        </w:tc>
        <w:tc>
          <w:tcPr>
            <w:tcW w:type="dxa" w:w="652"/>
          </w:tcPr>
          <w:p>
            <w:pPr>
              <w:jc w:val="center"/>
            </w:pPr>
            <w:r>
              <w:rPr>
                <w:sz w:val="17"/>
              </w:rPr>
              <w:t>−26.9</w:t>
            </w:r>
          </w:p>
        </w:tc>
        <w:tc>
          <w:tcPr>
            <w:tcW w:type="dxa" w:w="652"/>
          </w:tcPr>
          <w:p>
            <w:pPr>
              <w:jc w:val="center"/>
            </w:pPr>
            <w:r>
              <w:rPr>
                <w:sz w:val="17"/>
              </w:rPr>
              <w:t>−53.4</w:t>
            </w:r>
          </w:p>
        </w:tc>
      </w:tr>
    </w:tbl>
    <w:p>
      <w:pPr>
        <w:spacing w:after="0" w:line="80" w:lineRule="exact"/>
      </w:pPr>
    </w:p>
    <w:p>
      <w:r>
        <w:t>The broken-symmetry states are the intended ones: the Mulliken spin populations on the two Cu atoms are +0.63 and −0.63 (non-relativistic; +0.72 / −0.72 with ZORA), and ⟨S²⟩</w:t>
      </w:r>
      <w:r>
        <w:rPr>
          <w:vertAlign w:val="subscript"/>
        </w:rPr>
        <w:t>BS</w:t>
      </w:r>
      <w:r>
        <w:t xml:space="preserve"> ≈ 1.0 against ⟨S²⟩</w:t>
      </w:r>
      <w:r>
        <w:rPr>
          <w:vertAlign w:val="subscript"/>
        </w:rPr>
        <w:t>HS</w:t>
      </w:r>
      <w:r>
        <w:t xml:space="preserve"> ≈ 2.0, which is what two localised, antiparallel S = 1/2 centres give.</w:t>
      </w:r>
    </w:p>
    <w:p>
      <w:pPr>
        <w:pStyle w:val="Heading1"/>
      </w:pPr>
      <w:r>
        <w:t>What the table shows</w:t>
      </w:r>
    </w:p>
    <w:p>
      <w:r>
        <w:rPr>
          <w:b/>
        </w:rPr>
        <w:t xml:space="preserve">The relativistic correction to the total energy is enormous, and irrelevant for J. </w:t>
      </w:r>
      <w:r>
        <w:t>DKH lowers the total energy by 30.3 E</w:t>
      </w:r>
      <w:r>
        <w:rPr>
          <w:vertAlign w:val="subscript"/>
        </w:rPr>
        <w:t>h</w:t>
      </w:r>
      <w:r>
        <w:t xml:space="preserve"> and ZORA by 45.8 E</w:t>
      </w:r>
      <w:r>
        <w:rPr>
          <w:vertAlign w:val="subscript"/>
        </w:rPr>
        <w:t>h</w:t>
      </w:r>
      <w:r>
        <w:t xml:space="preserve"> (6.6 and 10.0 million cm</w:t>
      </w:r>
      <w:r>
        <w:rPr>
          <w:vertAlign w:val="superscript"/>
        </w:rPr>
        <w:t>−1</w:t>
      </w:r>
      <w:r>
        <w:t>). This is almost entirely the contraction and stabilisation of the Cu 1s–2p core shells, which is the same in both spin states and therefore cancels in E(HS) − E(BS). The two relativistic Hamiltonians are also not on the same absolute scale, so only differences within one Hamiltonian are meaningful.</w:t>
      </w:r>
    </w:p>
    <w:p>
      <w:r>
        <w:rPr>
          <w:b/>
        </w:rPr>
        <w:t xml:space="preserve">J itself comes from a tiny energy difference. </w:t>
      </w:r>
      <w:r>
        <w:t>E(HS) − E(BS) is only 22–54 cm</w:t>
      </w:r>
      <w:r>
        <w:rPr>
          <w:vertAlign w:val="superscript"/>
        </w:rPr>
        <w:t>−1</w:t>
      </w:r>
      <w:r>
        <w:t>, i.e. about 244×10</w:t>
      </w:r>
      <w:r>
        <w:rPr>
          <w:vertAlign w:val="superscript"/>
        </w:rPr>
        <w:t>−6</w:t>
      </w:r>
      <w:r>
        <w:t xml:space="preserve"> E</w:t>
      </w:r>
      <w:r>
        <w:rPr>
          <w:vertAlign w:val="subscript"/>
        </w:rPr>
        <w:t>h</w:t>
      </w:r>
      <w:r>
        <w:t>: 7 orders of magnitude smaller than the total energy and 5 orders smaller than the relativistic correction.</w:t>
      </w:r>
    </w:p>
    <w:p>
      <w:r>
        <w:rPr>
          <w:b/>
        </w:rPr>
        <w:t xml:space="preserve">The three formulas differ by factors, not by physics. </w:t>
      </w:r>
      <w:r>
        <w:t>J(1) and J(3) agree closely because ⟨S²⟩</w:t>
      </w:r>
      <w:r>
        <w:rPr>
          <w:vertAlign w:val="subscript"/>
        </w:rPr>
        <w:t>HS</w:t>
      </w:r>
      <w:r>
        <w:t xml:space="preserve"> − ⟨S²⟩</w:t>
      </w:r>
      <w:r>
        <w:rPr>
          <w:vertAlign w:val="subscript"/>
        </w:rPr>
        <w:t>BS</w:t>
      </w:r>
      <w:r>
        <w:t xml:space="preserve"> ≈ 1 here, which is the weak-coupling limit that the Yamaguchi expression interpolates to; J(2) is smaller by a factor S</w:t>
      </w:r>
      <w:r>
        <w:rPr>
          <w:vertAlign w:val="subscript"/>
        </w:rPr>
        <w:t>max</w:t>
      </w:r>
      <w:r>
        <w:t>(S</w:t>
      </w:r>
      <w:r>
        <w:rPr>
          <w:vertAlign w:val="subscript"/>
        </w:rPr>
        <w:t>max</w:t>
      </w:r>
      <w:r>
        <w:t>+1)/S</w:t>
      </w:r>
      <w:r>
        <w:rPr>
          <w:vertAlign w:val="subscript"/>
        </w:rPr>
        <w:t>max</w:t>
      </w:r>
      <w:r>
        <w:t>² = 2 by construction. Which one is quoted matters as much as the relativistic treatment, so the convention has to be stated.</w:t>
      </w:r>
    </w:p>
    <w:p>
      <w:r>
        <w:rPr>
          <w:b/>
        </w:rPr>
        <w:t xml:space="preserve">Relativistic effects on J with the prescribed SVP basis. </w:t>
      </w:r>
      <w:r>
        <w:t>J(3) goes from +37.8 cm</w:t>
      </w:r>
      <w:r>
        <w:rPr>
          <w:vertAlign w:val="superscript"/>
        </w:rPr>
        <w:t>−1</w:t>
      </w:r>
      <w:r>
        <w:t xml:space="preserve"> (non-relativistic) to −21.6 cm</w:t>
      </w:r>
      <w:r>
        <w:rPr>
          <w:vertAlign w:val="superscript"/>
        </w:rPr>
        <w:t>−1</w:t>
      </w:r>
      <w:r>
        <w:t xml:space="preserve"> (DKH) and −53.2 cm</w:t>
      </w:r>
      <w:r>
        <w:rPr>
          <w:vertAlign w:val="superscript"/>
        </w:rPr>
        <w:t>−1</w:t>
      </w:r>
      <w:r>
        <w:t xml:space="preserve"> (ZORA). The changes, −59 and −91 cm</w:t>
      </w:r>
      <w:r>
        <w:rPr>
          <w:vertAlign w:val="superscript"/>
        </w:rPr>
        <w:t>−1</w:t>
      </w:r>
      <w:r>
        <w:t>, are tiny compared with the change of the total energy, but as large as J itself, and at this level they even change its sign (weakly ferromagnetic without, weakly antiferromagnetic with relativity). The two relativistic Hamiltonians also disagree with each other by 32 cm</w:t>
      </w:r>
      <w:r>
        <w:rPr>
          <w:vertAlign w:val="superscript"/>
        </w:rPr>
        <w:t>−1</w:t>
      </w:r>
      <w:r>
        <w:t>. Because such small energy differences are easily distorted, the SVP results were checked for numerical and basis-set convergence below.</w:t>
      </w:r>
    </w:p>
    <w:p>
      <w:r>
        <w:rPr>
          <w:b/>
        </w:rPr>
        <w:t xml:space="preserve">Numerical check. </w:t>
      </w:r>
      <w:r>
        <w:t>E(HS) − E(BS) is of the same order as the error of the chain-of-spheres approximation for the exchange integrals, so all three calculations were repeated with a finer integration grid (DefGrid3) and VeryTightSCF (last three rows of Table 1). J(3) changes by only −0.07, −0.13, −0.15 cm</w:t>
      </w:r>
      <w:r>
        <w:rPr>
          <w:vertAlign w:val="superscript"/>
        </w:rPr>
        <w:t>−1</w:t>
      </w:r>
      <w:r>
        <w:t>, less than 0.1 cm</w:t>
      </w:r>
      <w:r>
        <w:rPr>
          <w:vertAlign w:val="superscript"/>
        </w:rPr>
        <w:t>−1</w:t>
      </w:r>
      <w:r>
        <w:t>: the numbers are converged with respect to the numerical integration.</w:t>
      </w:r>
    </w:p>
    <w:p>
      <w:pPr>
        <w:pStyle w:val="Heading1"/>
      </w:pPr>
      <w:r>
        <w:t>Are the SVP results converged? Basis set and functional</w:t>
      </w:r>
    </w:p>
    <w:p>
      <w:pPr>
        <w:keepNext/>
        <w:jc w:val="center"/>
      </w:pPr>
      <w:r>
        <w:rPr>
          <w:i/>
          <w:sz w:val="18"/>
        </w:rPr>
        <w:t>Table 2. Additional B3LYP calculations with the larger TZVP-level basis sets (upper block, compared with the SVP results of Table 1) and non-relativistic SVP calculations with functionals containing 10%, 20% and 25% exact exchange (lower block). Same geometry, charge and BrokenSym setup throughout.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2"/>
        <w:gridCol w:w="1814"/>
        <w:gridCol w:w="1247"/>
        <w:gridCol w:w="1701"/>
      </w:tblGrid>
      <w:tr>
        <w:trPr>
          <w:cantSplit/>
        </w:trPr>
        <w:tc>
          <w:tcPr>
            <w:tcW w:type="dxa" w:w="3742"/>
          </w:tcPr>
          <w:p>
            <w:pPr>
              <w:jc w:val="center"/>
            </w:pPr>
            <w:r>
              <w:rPr>
                <w:b/>
                <w:sz w:val="17"/>
              </w:rPr>
              <w:t>Run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/>
                <w:sz w:val="17"/>
              </w:rPr>
              <w:t>E(HS)−E(BS) / cm</w:t>
            </w:r>
            <w:r>
              <w:rPr>
                <w:b/>
                <w:sz w:val="17"/>
                <w:vertAlign w:val="superscript"/>
              </w:rPr>
              <w:t>−1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/>
                <w:sz w:val="17"/>
              </w:rPr>
              <w:t>J(3) / cm</w:t>
            </w:r>
            <w:r>
              <w:rPr>
                <w:b/>
                <w:sz w:val="17"/>
                <w:vertAlign w:val="superscript"/>
              </w:rPr>
              <w:t>−1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7"/>
              </w:rPr>
              <w:t>Coupling</w:t>
            </w:r>
          </w:p>
        </w:tc>
      </w:tr>
      <w:tr>
        <w:trPr>
          <w:cantSplit/>
        </w:trPr>
        <w:tc>
          <w:tcPr>
            <w:tcW w:type="dxa" w:w="3742"/>
          </w:tcPr>
          <w:p>
            <w:r>
              <w:rPr>
                <w:b/>
                <w:sz w:val="17"/>
              </w:rPr>
              <w:t>B3LYP/def2-SVP, non-relativistic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7"/>
              </w:rPr>
              <w:t>−38.0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7"/>
              </w:rPr>
              <w:t>+37.8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7"/>
              </w:rPr>
              <w:t>ferromagnetic</w:t>
            </w:r>
          </w:p>
        </w:tc>
      </w:tr>
      <w:tr>
        <w:trPr>
          <w:cantSplit/>
        </w:trPr>
        <w:tc>
          <w:tcPr>
            <w:tcW w:type="dxa" w:w="3742"/>
          </w:tcPr>
          <w:p>
            <w:r>
              <w:rPr>
                <w:b/>
                <w:sz w:val="17"/>
              </w:rPr>
              <w:t>B3LYP/DKH-def2-SVP, DKH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7"/>
              </w:rPr>
              <w:t>+21.7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7"/>
              </w:rPr>
              <w:t>−21.6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7"/>
              </w:rPr>
              <w:t>antiferromagnetic</w:t>
            </w:r>
          </w:p>
        </w:tc>
      </w:tr>
      <w:tr>
        <w:trPr>
          <w:cantSplit/>
        </w:trPr>
        <w:tc>
          <w:tcPr>
            <w:tcW w:type="dxa" w:w="3742"/>
          </w:tcPr>
          <w:p>
            <w:r>
              <w:rPr>
                <w:b/>
                <w:sz w:val="17"/>
              </w:rPr>
              <w:t>B3LYP/ZORA-def2-SVP, ZORA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7"/>
              </w:rPr>
              <w:t>+53.5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7"/>
              </w:rPr>
              <w:t>−53.2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7"/>
              </w:rPr>
              <w:t>antiferromagnetic</w:t>
            </w:r>
          </w:p>
        </w:tc>
      </w:tr>
      <w:tr>
        <w:trPr>
          <w:cantSplit/>
        </w:trPr>
        <w:tc>
          <w:tcPr>
            <w:tcW w:type="dxa" w:w="3742"/>
          </w:tcPr>
          <w:p>
            <w:r>
              <w:rPr>
                <w:b/>
                <w:sz w:val="17"/>
              </w:rPr>
              <w:t>B3LYP/def2-TZVP, non-rel.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7"/>
              </w:rPr>
              <w:t>+78.7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7"/>
              </w:rPr>
              <w:t>−78.1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7"/>
              </w:rPr>
              <w:t>antiferromagnetic</w:t>
            </w:r>
          </w:p>
        </w:tc>
      </w:tr>
      <w:tr>
        <w:trPr>
          <w:cantSplit/>
        </w:trPr>
        <w:tc>
          <w:tcPr>
            <w:tcW w:type="dxa" w:w="3742"/>
          </w:tcPr>
          <w:p>
            <w:r>
              <w:rPr>
                <w:b/>
                <w:sz w:val="17"/>
              </w:rPr>
              <w:t>B3LYP/DKH-def2-TZVP, DKH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7"/>
              </w:rPr>
              <w:t>+127.84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7"/>
              </w:rPr>
              <w:t>−126.87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7"/>
              </w:rPr>
              <w:t>antiferromagnetic</w:t>
            </w:r>
          </w:p>
        </w:tc>
      </w:tr>
      <w:tr>
        <w:trPr>
          <w:cantSplit/>
        </w:trPr>
        <w:tc>
          <w:tcPr>
            <w:tcW w:type="dxa" w:w="3742"/>
          </w:tcPr>
          <w:p>
            <w:r>
              <w:rPr>
                <w:b/>
                <w:sz w:val="17"/>
              </w:rPr>
              <w:t>B3LYP/ZORA-def2-TZVP, ZORA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7"/>
              </w:rPr>
              <w:t>+127.84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7"/>
              </w:rPr>
              <w:t>−126.87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7"/>
              </w:rPr>
              <w:t>antiferromagnetic</w:t>
            </w:r>
          </w:p>
        </w:tc>
      </w:tr>
      <w:tr>
        <w:trPr>
          <w:cantSplit/>
        </w:trPr>
        <w:tc>
          <w:tcPr>
            <w:tcW w:type="dxa" w:w="3742"/>
          </w:tcPr>
          <w:p>
            <w:r>
              <w:rPr>
                <w:b/>
                <w:sz w:val="17"/>
              </w:rPr>
              <w:t>TPSSh/def2-SVP, non-rel. (10% HF exchange)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7"/>
              </w:rPr>
              <w:t>−174.9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7"/>
              </w:rPr>
              <w:t>+173.4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7"/>
              </w:rPr>
              <w:t>ferromagnetic</w:t>
            </w:r>
          </w:p>
        </w:tc>
      </w:tr>
      <w:tr>
        <w:trPr>
          <w:cantSplit/>
        </w:trPr>
        <w:tc>
          <w:tcPr>
            <w:tcW w:type="dxa" w:w="3742"/>
          </w:tcPr>
          <w:p>
            <w:r>
              <w:rPr>
                <w:b/>
                <w:sz w:val="17"/>
              </w:rPr>
              <w:t>B3LYP/def2-SVP, non-rel. (20% HF exchange)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7"/>
              </w:rPr>
              <w:t>−38.0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7"/>
              </w:rPr>
              <w:t>+37.8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7"/>
              </w:rPr>
              <w:t>ferromagnetic</w:t>
            </w:r>
          </w:p>
        </w:tc>
      </w:tr>
      <w:tr>
        <w:trPr>
          <w:cantSplit/>
        </w:trPr>
        <w:tc>
          <w:tcPr>
            <w:tcW w:type="dxa" w:w="3742"/>
          </w:tcPr>
          <w:p>
            <w:r>
              <w:rPr>
                <w:b/>
                <w:sz w:val="17"/>
              </w:rPr>
              <w:t>PBE0/def2-SVP, non-rel. (25% HF exchange)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sz w:val="17"/>
              </w:rPr>
              <w:t>+30.9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7"/>
              </w:rPr>
              <w:t>−30.8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7"/>
              </w:rPr>
              <w:t>antiferromagnetic</w:t>
            </w:r>
          </w:p>
        </w:tc>
      </w:tr>
    </w:tbl>
    <w:p>
      <w:pPr>
        <w:spacing w:after="0" w:line="80" w:lineRule="exact"/>
      </w:pPr>
    </w:p>
    <w:p>
      <w:r>
        <w:rPr>
          <w:b/>
        </w:rPr>
        <w:t xml:space="preserve">Basis set: the sign change is an SVP artefact. </w:t>
      </w:r>
      <w:r>
        <w:t>With TZVP-level basis sets all three calculations give antiferromagnetic coupling: J(3) = −78.1 cm</w:t>
      </w:r>
      <w:r>
        <w:rPr>
          <w:vertAlign w:val="superscript"/>
        </w:rPr>
        <w:t>−1</w:t>
      </w:r>
      <w:r>
        <w:t xml:space="preserve"> non-relativistic, −126.87 cm</w:t>
      </w:r>
      <w:r>
        <w:rPr>
          <w:vertAlign w:val="superscript"/>
        </w:rPr>
        <w:t>−1</w:t>
      </w:r>
      <w:r>
        <w:t xml:space="preserve"> with DKH and −126.87 cm</w:t>
      </w:r>
      <w:r>
        <w:rPr>
          <w:vertAlign w:val="superscript"/>
        </w:rPr>
        <w:t>−1</w:t>
      </w:r>
      <w:r>
        <w:t xml:space="preserve"> with ZORA. DKH and ZORA now agree to 0.003 cm</w:t>
      </w:r>
      <w:r>
        <w:rPr>
          <w:vertAlign w:val="superscript"/>
        </w:rPr>
        <w:t>−1</w:t>
      </w:r>
      <w:r>
        <w:t xml:space="preserve"> in E(HS) − E(BS) (they differed by 32 cm</w:t>
      </w:r>
      <w:r>
        <w:rPr>
          <w:vertAlign w:val="superscript"/>
        </w:rPr>
        <w:t>−1</w:t>
      </w:r>
      <w:r>
        <w:t xml:space="preserve"> with SVP), and the non-relativistic value changes sign on its own when the basis is enlarged. The ferromagnetic SVP result and the DKH/ZORA disagreement therefore come from the small SVP basis, not from relativity. With the larger basis the relativistic correction is clean: scalar relativity shifts J by −49 cm</w:t>
      </w:r>
      <w:r>
        <w:rPr>
          <w:vertAlign w:val="superscript"/>
        </w:rPr>
        <w:t>−1</w:t>
      </w:r>
      <w:r>
        <w:t>, i.e. it strengthens the antiferromagnetic coupling by about 62 %.</w:t>
      </w:r>
    </w:p>
    <w:p>
      <w:r>
        <w:rPr>
          <w:b/>
        </w:rPr>
        <w:t xml:space="preserve">Functional: the largest uncertainty. </w:t>
      </w:r>
      <w:r>
        <w:t>With the same SVP basis J(3) is +173 cm</w:t>
      </w:r>
      <w:r>
        <w:rPr>
          <w:vertAlign w:val="superscript"/>
        </w:rPr>
        <w:t>−1</w:t>
      </w:r>
      <w:r>
        <w:t xml:space="preserve"> for TPSSh (10% exact exchange), +38 cm</w:t>
      </w:r>
      <w:r>
        <w:rPr>
          <w:vertAlign w:val="superscript"/>
        </w:rPr>
        <w:t>−1</w:t>
      </w:r>
      <w:r>
        <w:t xml:space="preserve"> for B3LYP (20%) and −31 cm</w:t>
      </w:r>
      <w:r>
        <w:rPr>
          <w:vertAlign w:val="superscript"/>
        </w:rPr>
        <w:t>−1</w:t>
      </w:r>
      <w:r>
        <w:t xml:space="preserve"> for PBE0 (25%), a monotonic trend with the amount of exact exchange spanning 204 cm</w:t>
      </w:r>
      <w:r>
        <w:rPr>
          <w:vertAlign w:val="superscript"/>
        </w:rPr>
        <w:t>−1</w:t>
      </w:r>
      <w:r>
        <w:t>. This is the well-known functional dependence of broken-symmetry DFT and is larger than any of the relativistic shifts.</w:t>
      </w:r>
    </w:p>
    <w:p>
      <w:pPr>
        <w:pStyle w:val="Heading1"/>
      </w:pPr>
      <w:r>
        <w:t>How important are the relativistic effects on J?</w:t>
      </w:r>
    </w:p>
    <w:p>
      <w:r>
        <w:t>The relativistic Hamiltonian changes the total energy by tens of hartree, but almost all of that is the core-electron stabilisation, which is the same in the high-spin and the broken-symmetry state and cancels in J. What remains for J is a correction of about 49 cm</w:t>
      </w:r>
      <w:r>
        <w:rPr>
          <w:vertAlign w:val="superscript"/>
        </w:rPr>
        <w:t>−1</w:t>
      </w:r>
      <w:r>
        <w:t xml:space="preserve"> (≈62 % of |J|): for a 3d metal like Cu this is small in absolute terms but not negligible, because the exchange coupling itself is a small energy. DKH and ZORA give the same answer once the basis set is adequate, so for J the choice between the two scalar-relativistic Hamiltonians does not matter. The comparison also shows that such small energy differences need a converged basis set before a relativistic effect can be read from them — the SVP basis prescribed for the exercise is too small for that — and that the exchange-correlation functional, not relativity, is the main source of uncertainty in the computed J.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