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Exercise 5 - Magnetic exchange coupling in a Cu(II) dimer from broken-symmetry DFT</w:t>
      </w:r>
    </w:p>
    <w:p>
      <w:r>
        <w:t>The compound is a paddle-wheel dimer with four trifluoroacetate bridges between the two Cu(II) ions (Cu–Cu 2.73 Å) and an alkoxide-type O donor in each axial position; the total charge is −2 as given. Each Cu(II) is d</w:t>
      </w:r>
      <w:r>
        <w:rPr>
          <w:vertAlign w:val="superscript"/>
        </w:rPr>
        <w:t>9</w:t>
      </w:r>
      <w:r>
        <w:t xml:space="preserve"> with S = 1/2. Keywords: ! UKS B3LYP &lt;basis&gt; &lt;auxiliary basis&gt; RIJCOSX TightSCF SlowConv, with %scf BrokenSym 1,1 end and the coordinate line * xyzfile −2 3 (high-spin triplet). ORCA first converges the high-spin state (HS, both spins parallel), then flips the spin on one Cu and converges the broken-symmetry state (BS). The three runs differ only in the relativistic treatment: non-relativistic (def2-SVP, def2/J), DKH (DKH-def2-SVP, SARC/J) and ZORA (ZORA-def2-SVP, SARC/J). The assignment does not specify the non-relativistic level, so B3LYP/def2-SVP was used to keep the functional and basis-set size the same in all three.</w:t>
      </w:r>
    </w:p>
    <w:p>
      <w:pPr>
        <w:pStyle w:val="Heading1"/>
      </w:pPr>
      <w:r>
        <w:t>Results</w:t>
      </w:r>
    </w:p>
    <w:p>
      <w:pPr>
        <w:keepNext/>
        <w:jc w:val="center"/>
      </w:pPr>
      <w:r>
        <w:rPr>
          <w:i/>
          <w:sz w:val="18"/>
        </w:rPr>
        <w:t>Table 1. Total energies of the high-spin and broken-symmetry states, ⟨S²⟩ values and exchange coupling constants J in cm</w:t>
      </w:r>
      <w:r>
        <w:rPr>
          <w:i/>
          <w:sz w:val="18"/>
          <w:vertAlign w:val="superscript"/>
        </w:rPr>
        <w:t>−1</w:t>
      </w:r>
      <w:r>
        <w:rPr>
          <w:i/>
          <w:sz w:val="18"/>
        </w:rPr>
        <w:t>. ORCA uses H = −2J S</w:t>
      </w:r>
      <w:r>
        <w:rPr>
          <w:i/>
          <w:sz w:val="18"/>
          <w:vertAlign w:val="subscript"/>
        </w:rPr>
        <w:t>A</w:t>
      </w:r>
      <w:r>
        <w:rPr>
          <w:i/>
          <w:sz w:val="18"/>
        </w:rPr>
        <w:t>·S</w:t>
      </w:r>
      <w:r>
        <w:rPr>
          <w:i/>
          <w:sz w:val="18"/>
          <w:vertAlign w:val="subscript"/>
        </w:rPr>
        <w:t>B</w:t>
      </w:r>
      <w:r>
        <w:rPr>
          <w:i/>
          <w:sz w:val="18"/>
        </w:rPr>
        <w:t>, so J &lt; 0 means antiferromagnetic coupling. J(1): Ginsberg–Noodleman, J(2): Bencini–Gatteschi, J(3): Yamaguchi, J = (E</w:t>
      </w:r>
      <w:r>
        <w:rPr>
          <w:i/>
          <w:sz w:val="18"/>
          <w:vertAlign w:val="subscript"/>
        </w:rPr>
        <w:t>BS</w:t>
      </w:r>
      <w:r>
        <w:rPr>
          <w:i/>
          <w:sz w:val="18"/>
        </w:rPr>
        <w:t xml:space="preserve"> − E</w:t>
      </w:r>
      <w:r>
        <w:rPr>
          <w:i/>
          <w:sz w:val="18"/>
          <w:vertAlign w:val="subscript"/>
        </w:rPr>
        <w:t>HS</w:t>
      </w:r>
      <w:r>
        <w:rPr>
          <w:i/>
          <w:sz w:val="18"/>
        </w:rPr>
        <w:t>)/(⟨S²⟩</w:t>
      </w:r>
      <w:r>
        <w:rPr>
          <w:i/>
          <w:sz w:val="18"/>
          <w:vertAlign w:val="subscript"/>
        </w:rPr>
        <w:t>HS</w:t>
      </w:r>
      <w:r>
        <w:rPr>
          <w:i/>
          <w:sz w:val="18"/>
        </w:rPr>
        <w:t xml:space="preserve"> − ⟨S²⟩</w:t>
      </w:r>
      <w:r>
        <w:rPr>
          <w:i/>
          <w:sz w:val="18"/>
          <w:vertAlign w:val="subscript"/>
        </w:rPr>
        <w:t>BS</w:t>
      </w:r>
      <w:r>
        <w:rPr>
          <w:i/>
          <w:sz w:val="18"/>
        </w:rPr>
        <w:t>).</w:t>
      </w:r>
    </w:p>
    <w:tbl>
      <w:tblPr>
        <w:tblStyle w:val="TableGrid"/>
        <w:tblW w:type="auto" w:w="0"/>
        <w:jc w:val="center"/>
        <w:tblLayout w:type="fixed"/>
        <w:tblLook w:firstColumn="1" w:firstRow="1" w:lastColumn="0" w:lastRow="0" w:noHBand="0" w:noVBand="1" w:val="04A0"/>
      </w:tblPr>
      <w:tblGrid>
        <w:gridCol w:w="1531"/>
        <w:gridCol w:w="1304"/>
        <w:gridCol w:w="1304"/>
        <w:gridCol w:w="794"/>
        <w:gridCol w:w="794"/>
        <w:gridCol w:w="1077"/>
        <w:gridCol w:w="652"/>
        <w:gridCol w:w="652"/>
        <w:gridCol w:w="652"/>
      </w:tblGrid>
      <w:tr>
        <w:trPr>
          <w:cantSplit/>
        </w:trPr>
        <w:tc>
          <w:tcPr>
            <w:tcW w:type="dxa" w:w="1531"/>
          </w:tcPr>
          <w:p>
            <w:pPr>
              <w:jc w:val="center"/>
            </w:pPr>
            <w:r>
              <w:rPr>
                <w:b/>
                <w:sz w:val="17"/>
              </w:rPr>
              <w:t>Run</w:t>
            </w:r>
          </w:p>
        </w:tc>
        <w:tc>
          <w:tcPr>
            <w:tcW w:type="dxa" w:w="1304"/>
          </w:tcPr>
          <w:p>
            <w:pPr>
              <w:jc w:val="center"/>
            </w:pPr>
            <w:r>
              <w:rPr>
                <w:b/>
                <w:sz w:val="17"/>
              </w:rPr>
              <w:t>E(HS) / E</w:t>
            </w:r>
            <w:r>
              <w:rPr>
                <w:b/>
                <w:sz w:val="17"/>
                <w:vertAlign w:val="subscript"/>
              </w:rPr>
              <w:t>h</w:t>
            </w:r>
          </w:p>
        </w:tc>
        <w:tc>
          <w:tcPr>
            <w:tcW w:type="dxa" w:w="1304"/>
          </w:tcPr>
          <w:p>
            <w:pPr>
              <w:jc w:val="center"/>
            </w:pPr>
            <w:r>
              <w:rPr>
                <w:b/>
                <w:sz w:val="17"/>
              </w:rPr>
              <w:t>E(BS) / E</w:t>
            </w:r>
            <w:r>
              <w:rPr>
                <w:b/>
                <w:sz w:val="17"/>
                <w:vertAlign w:val="subscript"/>
              </w:rPr>
              <w:t>h</w:t>
            </w:r>
          </w:p>
        </w:tc>
        <w:tc>
          <w:tcPr>
            <w:tcW w:type="dxa" w:w="794"/>
          </w:tcPr>
          <w:p>
            <w:pPr>
              <w:jc w:val="center"/>
            </w:pPr>
            <w:r>
              <w:rPr>
                <w:b/>
                <w:sz w:val="17"/>
              </w:rPr>
              <w:t>⟨S²⟩</w:t>
            </w:r>
            <w:r>
              <w:rPr>
                <w:b/>
                <w:sz w:val="17"/>
                <w:vertAlign w:val="subscript"/>
              </w:rPr>
              <w:t>HS</w:t>
            </w:r>
          </w:p>
        </w:tc>
        <w:tc>
          <w:tcPr>
            <w:tcW w:type="dxa" w:w="794"/>
          </w:tcPr>
          <w:p>
            <w:pPr>
              <w:jc w:val="center"/>
            </w:pPr>
            <w:r>
              <w:rPr>
                <w:b/>
                <w:sz w:val="17"/>
              </w:rPr>
              <w:t>⟨S²⟩</w:t>
            </w:r>
            <w:r>
              <w:rPr>
                <w:b/>
                <w:sz w:val="17"/>
                <w:vertAlign w:val="subscript"/>
              </w:rPr>
              <w:t>BS</w:t>
            </w:r>
          </w:p>
        </w:tc>
        <w:tc>
          <w:tcPr>
            <w:tcW w:type="dxa" w:w="1077"/>
          </w:tcPr>
          <w:p>
            <w:pPr>
              <w:jc w:val="center"/>
            </w:pPr>
            <w:r>
              <w:rPr>
                <w:b/>
                <w:sz w:val="17"/>
              </w:rPr>
              <w:t>E(HS)−E(BS) / cm</w:t>
            </w:r>
            <w:r>
              <w:rPr>
                <w:b/>
                <w:sz w:val="17"/>
                <w:vertAlign w:val="superscript"/>
              </w:rPr>
              <w:t>−1</w:t>
            </w:r>
          </w:p>
        </w:tc>
        <w:tc>
          <w:tcPr>
            <w:tcW w:type="dxa" w:w="652"/>
          </w:tcPr>
          <w:p>
            <w:pPr>
              <w:jc w:val="center"/>
            </w:pPr>
            <w:r>
              <w:rPr>
                <w:b/>
                <w:sz w:val="17"/>
              </w:rPr>
              <w:t>J(1)</w:t>
            </w:r>
          </w:p>
        </w:tc>
        <w:tc>
          <w:tcPr>
            <w:tcW w:type="dxa" w:w="652"/>
          </w:tcPr>
          <w:p>
            <w:pPr>
              <w:jc w:val="center"/>
            </w:pPr>
            <w:r>
              <w:rPr>
                <w:b/>
                <w:sz w:val="17"/>
              </w:rPr>
              <w:t>J(2)</w:t>
            </w:r>
          </w:p>
        </w:tc>
        <w:tc>
          <w:tcPr>
            <w:tcW w:type="dxa" w:w="652"/>
          </w:tcPr>
          <w:p>
            <w:pPr>
              <w:jc w:val="center"/>
            </w:pPr>
            <w:r>
              <w:rPr>
                <w:b/>
                <w:sz w:val="17"/>
              </w:rPr>
              <w:t>J(3)</w:t>
            </w:r>
          </w:p>
        </w:tc>
      </w:tr>
      <w:tr>
        <w:trPr>
          <w:cantSplit/>
        </w:trPr>
        <w:tc>
          <w:tcPr>
            <w:tcW w:type="dxa" w:w="1531"/>
          </w:tcPr>
          <w:p>
            <w:r>
              <w:rPr>
                <w:b/>
                <w:sz w:val="17"/>
              </w:rPr>
              <w:t>non-relativistic</w:t>
            </w:r>
          </w:p>
        </w:tc>
        <w:tc>
          <w:tcPr>
            <w:tcW w:type="dxa" w:w="1304"/>
          </w:tcPr>
          <w:p>
            <w:pPr>
              <w:jc w:val="center"/>
            </w:pPr>
            <w:r>
              <w:rPr>
                <w:sz w:val="17"/>
              </w:rPr>
              <w:t>−6076.975267</w:t>
            </w:r>
          </w:p>
        </w:tc>
        <w:tc>
          <w:tcPr>
            <w:tcW w:type="dxa" w:w="1304"/>
          </w:tcPr>
          <w:p>
            <w:pPr>
              <w:jc w:val="center"/>
            </w:pPr>
            <w:r>
              <w:rPr>
                <w:sz w:val="17"/>
              </w:rPr>
              <w:t>−6076.975094</w:t>
            </w:r>
          </w:p>
        </w:tc>
        <w:tc>
          <w:tcPr>
            <w:tcW w:type="dxa" w:w="794"/>
          </w:tcPr>
          <w:p>
            <w:pPr>
              <w:jc w:val="center"/>
            </w:pPr>
            <w:r>
              <w:rPr>
                <w:sz w:val="17"/>
              </w:rPr>
              <w:t>2.0050</w:t>
            </w:r>
          </w:p>
        </w:tc>
        <w:tc>
          <w:tcPr>
            <w:tcW w:type="dxa" w:w="794"/>
          </w:tcPr>
          <w:p>
            <w:pPr>
              <w:jc w:val="center"/>
            </w:pPr>
            <w:r>
              <w:rPr>
                <w:sz w:val="17"/>
              </w:rPr>
              <w:t>1.0006</w:t>
            </w:r>
          </w:p>
        </w:tc>
        <w:tc>
          <w:tcPr>
            <w:tcW w:type="dxa" w:w="1077"/>
          </w:tcPr>
          <w:p>
            <w:pPr>
              <w:jc w:val="center"/>
            </w:pPr>
            <w:r>
              <w:rPr>
                <w:sz w:val="17"/>
              </w:rPr>
              <w:t>−38.0</w:t>
            </w:r>
          </w:p>
        </w:tc>
        <w:tc>
          <w:tcPr>
            <w:tcW w:type="dxa" w:w="652"/>
          </w:tcPr>
          <w:p>
            <w:pPr>
              <w:jc w:val="center"/>
            </w:pPr>
            <w:r>
              <w:rPr>
                <w:sz w:val="17"/>
              </w:rPr>
              <w:t>+38.0</w:t>
            </w:r>
          </w:p>
        </w:tc>
        <w:tc>
          <w:tcPr>
            <w:tcW w:type="dxa" w:w="652"/>
          </w:tcPr>
          <w:p>
            <w:pPr>
              <w:jc w:val="center"/>
            </w:pPr>
            <w:r>
              <w:rPr>
                <w:sz w:val="17"/>
              </w:rPr>
              <w:t>+19.0</w:t>
            </w:r>
          </w:p>
        </w:tc>
        <w:tc>
          <w:tcPr>
            <w:tcW w:type="dxa" w:w="652"/>
          </w:tcPr>
          <w:p>
            <w:pPr>
              <w:jc w:val="center"/>
            </w:pPr>
            <w:r>
              <w:rPr>
                <w:sz w:val="17"/>
              </w:rPr>
              <w:t>+37.8</w:t>
            </w:r>
          </w:p>
        </w:tc>
      </w:tr>
      <w:tr>
        <w:trPr>
          <w:cantSplit/>
        </w:trPr>
        <w:tc>
          <w:tcPr>
            <w:tcW w:type="dxa" w:w="1531"/>
          </w:tcPr>
          <w:p>
            <w:r>
              <w:rPr>
                <w:b/>
                <w:sz w:val="17"/>
              </w:rPr>
              <w:t>DKH</w:t>
            </w:r>
          </w:p>
        </w:tc>
        <w:tc>
          <w:tcPr>
            <w:tcW w:type="dxa" w:w="1304"/>
          </w:tcPr>
          <w:p>
            <w:pPr>
              <w:jc w:val="center"/>
            </w:pPr>
            <w:r>
              <w:rPr>
                <w:sz w:val="17"/>
              </w:rPr>
              <w:t>−6107.249506</w:t>
            </w:r>
          </w:p>
        </w:tc>
        <w:tc>
          <w:tcPr>
            <w:tcW w:type="dxa" w:w="1304"/>
          </w:tcPr>
          <w:p>
            <w:pPr>
              <w:jc w:val="center"/>
            </w:pPr>
            <w:r>
              <w:rPr>
                <w:sz w:val="17"/>
              </w:rPr>
              <w:t>−6107.249605</w:t>
            </w:r>
          </w:p>
        </w:tc>
        <w:tc>
          <w:tcPr>
            <w:tcW w:type="dxa" w:w="794"/>
          </w:tcPr>
          <w:p>
            <w:pPr>
              <w:jc w:val="center"/>
            </w:pPr>
            <w:r>
              <w:rPr>
                <w:sz w:val="17"/>
              </w:rPr>
              <w:t>2.0041</w:t>
            </w:r>
          </w:p>
        </w:tc>
        <w:tc>
          <w:tcPr>
            <w:tcW w:type="dxa" w:w="794"/>
          </w:tcPr>
          <w:p>
            <w:pPr>
              <w:jc w:val="center"/>
            </w:pPr>
            <w:r>
              <w:rPr>
                <w:sz w:val="17"/>
              </w:rPr>
              <w:t>0.9989</w:t>
            </w:r>
          </w:p>
        </w:tc>
        <w:tc>
          <w:tcPr>
            <w:tcW w:type="dxa" w:w="1077"/>
          </w:tcPr>
          <w:p>
            <w:pPr>
              <w:jc w:val="center"/>
            </w:pPr>
            <w:r>
              <w:rPr>
                <w:sz w:val="17"/>
              </w:rPr>
              <w:t>+21.7</w:t>
            </w:r>
          </w:p>
        </w:tc>
        <w:tc>
          <w:tcPr>
            <w:tcW w:type="dxa" w:w="652"/>
          </w:tcPr>
          <w:p>
            <w:pPr>
              <w:jc w:val="center"/>
            </w:pPr>
            <w:r>
              <w:rPr>
                <w:sz w:val="17"/>
              </w:rPr>
              <w:t>−21.7</w:t>
            </w:r>
          </w:p>
        </w:tc>
        <w:tc>
          <w:tcPr>
            <w:tcW w:type="dxa" w:w="652"/>
          </w:tcPr>
          <w:p>
            <w:pPr>
              <w:jc w:val="center"/>
            </w:pPr>
            <w:r>
              <w:rPr>
                <w:sz w:val="17"/>
              </w:rPr>
              <w:t>−10.9</w:t>
            </w:r>
          </w:p>
        </w:tc>
        <w:tc>
          <w:tcPr>
            <w:tcW w:type="dxa" w:w="652"/>
          </w:tcPr>
          <w:p>
            <w:pPr>
              <w:jc w:val="center"/>
            </w:pPr>
            <w:r>
              <w:rPr>
                <w:sz w:val="17"/>
              </w:rPr>
              <w:t>−21.6</w:t>
            </w:r>
          </w:p>
        </w:tc>
      </w:tr>
      <w:tr>
        <w:trPr>
          <w:cantSplit/>
        </w:trPr>
        <w:tc>
          <w:tcPr>
            <w:tcW w:type="dxa" w:w="1531"/>
          </w:tcPr>
          <w:p>
            <w:r>
              <w:rPr>
                <w:b/>
                <w:sz w:val="17"/>
              </w:rPr>
              <w:t>ZORA</w:t>
            </w:r>
          </w:p>
        </w:tc>
        <w:tc>
          <w:tcPr>
            <w:tcW w:type="dxa" w:w="1304"/>
          </w:tcPr>
          <w:p>
            <w:pPr>
              <w:jc w:val="center"/>
            </w:pPr>
            <w:r>
              <w:rPr>
                <w:sz w:val="17"/>
              </w:rPr>
              <w:t>−6122.764932</w:t>
            </w:r>
          </w:p>
        </w:tc>
        <w:tc>
          <w:tcPr>
            <w:tcW w:type="dxa" w:w="1304"/>
          </w:tcPr>
          <w:p>
            <w:pPr>
              <w:jc w:val="center"/>
            </w:pPr>
            <w:r>
              <w:rPr>
                <w:sz w:val="17"/>
              </w:rPr>
              <w:t>−6122.765176</w:t>
            </w:r>
          </w:p>
        </w:tc>
        <w:tc>
          <w:tcPr>
            <w:tcW w:type="dxa" w:w="794"/>
          </w:tcPr>
          <w:p>
            <w:pPr>
              <w:jc w:val="center"/>
            </w:pPr>
            <w:r>
              <w:rPr>
                <w:sz w:val="17"/>
              </w:rPr>
              <w:t>2.0038</w:t>
            </w:r>
          </w:p>
        </w:tc>
        <w:tc>
          <w:tcPr>
            <w:tcW w:type="dxa" w:w="794"/>
          </w:tcPr>
          <w:p>
            <w:pPr>
              <w:jc w:val="center"/>
            </w:pPr>
            <w:r>
              <w:rPr>
                <w:sz w:val="17"/>
              </w:rPr>
              <w:t>0.9976</w:t>
            </w:r>
          </w:p>
        </w:tc>
        <w:tc>
          <w:tcPr>
            <w:tcW w:type="dxa" w:w="1077"/>
          </w:tcPr>
          <w:p>
            <w:pPr>
              <w:jc w:val="center"/>
            </w:pPr>
            <w:r>
              <w:rPr>
                <w:sz w:val="17"/>
              </w:rPr>
              <w:t>+53.5</w:t>
            </w:r>
          </w:p>
        </w:tc>
        <w:tc>
          <w:tcPr>
            <w:tcW w:type="dxa" w:w="652"/>
          </w:tcPr>
          <w:p>
            <w:pPr>
              <w:jc w:val="center"/>
            </w:pPr>
            <w:r>
              <w:rPr>
                <w:sz w:val="17"/>
              </w:rPr>
              <w:t>−53.5</w:t>
            </w:r>
          </w:p>
        </w:tc>
        <w:tc>
          <w:tcPr>
            <w:tcW w:type="dxa" w:w="652"/>
          </w:tcPr>
          <w:p>
            <w:pPr>
              <w:jc w:val="center"/>
            </w:pPr>
            <w:r>
              <w:rPr>
                <w:sz w:val="17"/>
              </w:rPr>
              <w:t>−26.8</w:t>
            </w:r>
          </w:p>
        </w:tc>
        <w:tc>
          <w:tcPr>
            <w:tcW w:type="dxa" w:w="652"/>
          </w:tcPr>
          <w:p>
            <w:pPr>
              <w:jc w:val="center"/>
            </w:pPr>
            <w:r>
              <w:rPr>
                <w:sz w:val="17"/>
              </w:rPr>
              <w:t>−53.2</w:t>
            </w:r>
          </w:p>
        </w:tc>
      </w:tr>
    </w:tbl>
    <w:p>
      <w:pPr>
        <w:spacing w:after="0" w:line="80" w:lineRule="exact"/>
      </w:pPr>
    </w:p>
    <w:p>
      <w:r>
        <w:t>The broken-symmetry states are the intended ones. The Mulliken spin populations on the two Cu atoms are +0.63 and −0.63 (non-relativistic; +0.72 / −0.72 with ZORA), and ⟨S²⟩</w:t>
      </w:r>
      <w:r>
        <w:rPr>
          <w:vertAlign w:val="subscript"/>
        </w:rPr>
        <w:t>BS</w:t>
      </w:r>
      <w:r>
        <w:t xml:space="preserve"> ≈ 1.0 compared with ⟨S²⟩</w:t>
      </w:r>
      <w:r>
        <w:rPr>
          <w:vertAlign w:val="subscript"/>
        </w:rPr>
        <w:t>HS</w:t>
      </w:r>
      <w:r>
        <w:t xml:space="preserve"> ≈ 2.0, as expected for two localised S = 1/2 centres with opposite spins.</w:t>
      </w:r>
    </w:p>
    <w:p>
      <w:pPr>
        <w:pStyle w:val="Heading1"/>
      </w:pPr>
      <w:r>
        <w:t>What the table shows</w:t>
      </w:r>
    </w:p>
    <w:p>
      <w:r>
        <w:t>The relativistic treatment lowers the total energy by 30.3 E</w:t>
      </w:r>
      <w:r>
        <w:rPr>
          <w:vertAlign w:val="subscript"/>
        </w:rPr>
        <w:t>h</w:t>
      </w:r>
      <w:r>
        <w:t xml:space="preserve"> (DKH) and 45.8 E</w:t>
      </w:r>
      <w:r>
        <w:rPr>
          <w:vertAlign w:val="subscript"/>
        </w:rPr>
        <w:t>h</w:t>
      </w:r>
      <w:r>
        <w:t xml:space="preserve"> (ZORA). Almost all of this comes from the contraction of the Cu 1s–2p core shells, which is the same in both spin states and cancels in E(HS) − E(BS). The absolute energies of different relativistic Hamiltonians cannot be compared with each other; only energy differences within one Hamiltonian are meaningful.</w:t>
      </w:r>
    </w:p>
    <w:p>
      <w:r>
        <w:t>J comes from a very small energy difference: E(HS) − E(BS) is only 22–54 cm</w:t>
      </w:r>
      <w:r>
        <w:rPr>
          <w:vertAlign w:val="superscript"/>
        </w:rPr>
        <w:t>−1</w:t>
      </w:r>
      <w:r>
        <w:t>, about 244×10</w:t>
      </w:r>
      <w:r>
        <w:rPr>
          <w:vertAlign w:val="superscript"/>
        </w:rPr>
        <w:t>−6</w:t>
      </w:r>
      <w:r>
        <w:t xml:space="preserve"> E</w:t>
      </w:r>
      <w:r>
        <w:rPr>
          <w:vertAlign w:val="subscript"/>
        </w:rPr>
        <w:t>h</w:t>
      </w:r>
      <w:r>
        <w:t>, which is 7 orders of magnitude smaller than the total energy and 5 orders smaller than the relativistic energy shift. J(1) and J(3) are nearly equal because ⟨S²⟩</w:t>
      </w:r>
      <w:r>
        <w:rPr>
          <w:vertAlign w:val="subscript"/>
        </w:rPr>
        <w:t>HS</w:t>
      </w:r>
      <w:r>
        <w:t xml:space="preserve"> − ⟨S²⟩</w:t>
      </w:r>
      <w:r>
        <w:rPr>
          <w:vertAlign w:val="subscript"/>
        </w:rPr>
        <w:t>BS</w:t>
      </w:r>
      <w:r>
        <w:t xml:space="preserve"> ≈ 1 here (weak coupling), and J(2) is half of J(1) by definition, so the formula used must always be stated.</w:t>
      </w:r>
    </w:p>
    <w:p>
      <w:r>
        <w:t>With the SVP basis sets, J(3) changes from +37.8 cm</w:t>
      </w:r>
      <w:r>
        <w:rPr>
          <w:vertAlign w:val="superscript"/>
        </w:rPr>
        <w:t>−1</w:t>
      </w:r>
      <w:r>
        <w:t xml:space="preserve"> (non-relativistic) to −21.6 cm</w:t>
      </w:r>
      <w:r>
        <w:rPr>
          <w:vertAlign w:val="superscript"/>
        </w:rPr>
        <w:t>−1</w:t>
      </w:r>
      <w:r>
        <w:t xml:space="preserve"> (DKH) and −53.2 cm</w:t>
      </w:r>
      <w:r>
        <w:rPr>
          <w:vertAlign w:val="superscript"/>
        </w:rPr>
        <w:t>−1</w:t>
      </w:r>
      <w:r>
        <w:t xml:space="preserve"> (ZORA). These changes are negligible compared with the change in total energy, but they are as large as J itself and even change its sign, from weakly ferromagnetic to weakly antiferromagnetic. DKH and ZORA also differ from each other by 32 cm</w:t>
      </w:r>
      <w:r>
        <w:rPr>
          <w:vertAlign w:val="superscript"/>
        </w:rPr>
        <w:t>−1</w:t>
      </w:r>
      <w:r>
        <w:t>. Repeating the three runs with a finer grid (DefGrid3, VeryTightSCF) changed J(3) by less than 0.1 cm</w:t>
      </w:r>
      <w:r>
        <w:rPr>
          <w:vertAlign w:val="superscript"/>
        </w:rPr>
        <w:t>−1</w:t>
      </w:r>
      <w:r>
        <w:t>, so these numbers are not grid noise. To see whether they are converged with respect to the basis set, the calculations were repeated with TZVP basis sets.</w:t>
      </w:r>
    </w:p>
    <w:p>
      <w:pPr>
        <w:keepNext/>
        <w:jc w:val="center"/>
      </w:pPr>
      <w:r>
        <w:rPr>
          <w:i/>
          <w:sz w:val="18"/>
        </w:rPr>
        <w:t>Table 2. B3LYP results with SVP-level (def2-SVP, DKH-def2-SVP, ZORA-def2-SVP) and TZVP-level (def2-TZVP, DKH-def2-TZVP, ZORA-def2-TZVP) basis sets, same geometry and BrokenSym setup.</w:t>
      </w:r>
    </w:p>
    <w:tbl>
      <w:tblPr>
        <w:tblStyle w:val="TableGrid"/>
        <w:tblW w:type="auto" w:w="0"/>
        <w:jc w:val="center"/>
        <w:tblLayout w:type="fixed"/>
        <w:tblLook w:firstColumn="1" w:firstRow="1" w:lastColumn="0" w:lastRow="0" w:noHBand="0" w:noVBand="1" w:val="04A0"/>
      </w:tblPr>
      <w:tblGrid>
        <w:gridCol w:w="1928"/>
        <w:gridCol w:w="1587"/>
        <w:gridCol w:w="1587"/>
        <w:gridCol w:w="1361"/>
        <w:gridCol w:w="1361"/>
      </w:tblGrid>
      <w:tr>
        <w:trPr>
          <w:cantSplit/>
        </w:trPr>
        <w:tc>
          <w:tcPr>
            <w:tcW w:type="dxa" w:w="1928"/>
          </w:tcPr>
          <w:p>
            <w:pPr>
              <w:jc w:val="center"/>
            </w:pPr>
          </w:p>
        </w:tc>
        <w:tc>
          <w:tcPr>
            <w:tcW w:type="dxa" w:w="1587"/>
            <w:gridSpan w:val="2"/>
          </w:tcPr>
          <w:p>
            <w:pPr>
              <w:jc w:val="center"/>
            </w:pPr>
            <w:r>
              <w:rPr>
                <w:b/>
                <w:sz w:val="17"/>
              </w:rPr>
              <w:t>E(HS)−E(BS) / cm</w:t>
            </w:r>
            <w:r>
              <w:rPr>
                <w:b/>
                <w:sz w:val="17"/>
                <w:vertAlign w:val="superscript"/>
              </w:rPr>
              <w:t>−1</w:t>
            </w:r>
          </w:p>
        </w:tc>
        <w:tc>
          <w:tcPr>
            <w:tcW w:type="dxa" w:w="1361"/>
            <w:gridSpan w:val="2"/>
          </w:tcPr>
          <w:p>
            <w:pPr>
              <w:jc w:val="center"/>
            </w:pPr>
            <w:r>
              <w:rPr>
                <w:b/>
                <w:sz w:val="17"/>
              </w:rPr>
              <w:t>J(3) / cm</w:t>
            </w:r>
            <w:r>
              <w:rPr>
                <w:b/>
                <w:sz w:val="17"/>
                <w:vertAlign w:val="superscript"/>
              </w:rPr>
              <w:t>−1</w:t>
            </w:r>
          </w:p>
        </w:tc>
      </w:tr>
      <w:tr>
        <w:trPr>
          <w:cantSplit/>
        </w:trPr>
        <w:tc>
          <w:tcPr>
            <w:tcW w:type="dxa" w:w="1928"/>
          </w:tcPr>
          <w:p>
            <w:pPr>
              <w:jc w:val="center"/>
            </w:pPr>
            <w:r>
              <w:rPr>
                <w:b/>
                <w:sz w:val="17"/>
              </w:rPr>
              <w:t>Treatment</w:t>
            </w:r>
          </w:p>
        </w:tc>
        <w:tc>
          <w:tcPr>
            <w:tcW w:type="dxa" w:w="1587"/>
          </w:tcPr>
          <w:p>
            <w:pPr>
              <w:jc w:val="center"/>
            </w:pPr>
            <w:r>
              <w:rPr>
                <w:b/>
                <w:sz w:val="17"/>
              </w:rPr>
              <w:t>SVP</w:t>
            </w:r>
          </w:p>
        </w:tc>
        <w:tc>
          <w:tcPr>
            <w:tcW w:type="dxa" w:w="1587"/>
          </w:tcPr>
          <w:p>
            <w:pPr>
              <w:jc w:val="center"/>
            </w:pPr>
            <w:r>
              <w:rPr>
                <w:b/>
                <w:sz w:val="17"/>
              </w:rPr>
              <w:t>TZVP</w:t>
            </w:r>
          </w:p>
        </w:tc>
        <w:tc>
          <w:tcPr>
            <w:tcW w:type="dxa" w:w="1361"/>
          </w:tcPr>
          <w:p>
            <w:pPr>
              <w:jc w:val="center"/>
            </w:pPr>
            <w:r>
              <w:rPr>
                <w:b/>
                <w:sz w:val="17"/>
              </w:rPr>
              <w:t>SVP</w:t>
            </w:r>
          </w:p>
        </w:tc>
        <w:tc>
          <w:tcPr>
            <w:tcW w:type="dxa" w:w="1361"/>
          </w:tcPr>
          <w:p>
            <w:pPr>
              <w:jc w:val="center"/>
            </w:pPr>
            <w:r>
              <w:rPr>
                <w:b/>
                <w:sz w:val="17"/>
              </w:rPr>
              <w:t>TZVP</w:t>
            </w:r>
          </w:p>
        </w:tc>
      </w:tr>
      <w:tr>
        <w:trPr>
          <w:cantSplit/>
        </w:trPr>
        <w:tc>
          <w:tcPr>
            <w:tcW w:type="dxa" w:w="1928"/>
          </w:tcPr>
          <w:p>
            <w:r>
              <w:rPr>
                <w:b/>
                <w:sz w:val="17"/>
              </w:rPr>
              <w:t>Non-relativistic</w:t>
            </w:r>
          </w:p>
        </w:tc>
        <w:tc>
          <w:tcPr>
            <w:tcW w:type="dxa" w:w="1587"/>
          </w:tcPr>
          <w:p>
            <w:pPr>
              <w:jc w:val="center"/>
            </w:pPr>
            <w:r>
              <w:rPr>
                <w:sz w:val="17"/>
              </w:rPr>
              <w:t>−38.0</w:t>
            </w:r>
          </w:p>
        </w:tc>
        <w:tc>
          <w:tcPr>
            <w:tcW w:type="dxa" w:w="1587"/>
          </w:tcPr>
          <w:p>
            <w:pPr>
              <w:jc w:val="center"/>
            </w:pPr>
            <w:r>
              <w:rPr>
                <w:sz w:val="17"/>
              </w:rPr>
              <w:t>+78.69</w:t>
            </w:r>
          </w:p>
        </w:tc>
        <w:tc>
          <w:tcPr>
            <w:tcW w:type="dxa" w:w="1361"/>
          </w:tcPr>
          <w:p>
            <w:pPr>
              <w:jc w:val="center"/>
            </w:pPr>
            <w:r>
              <w:rPr>
                <w:sz w:val="17"/>
              </w:rPr>
              <w:t>+37.8</w:t>
            </w:r>
          </w:p>
        </w:tc>
        <w:tc>
          <w:tcPr>
            <w:tcW w:type="dxa" w:w="1361"/>
          </w:tcPr>
          <w:p>
            <w:pPr>
              <w:jc w:val="center"/>
            </w:pPr>
            <w:r>
              <w:rPr>
                <w:sz w:val="17"/>
              </w:rPr>
              <w:t>−78.11</w:t>
            </w:r>
          </w:p>
        </w:tc>
      </w:tr>
      <w:tr>
        <w:trPr>
          <w:cantSplit/>
        </w:trPr>
        <w:tc>
          <w:tcPr>
            <w:tcW w:type="dxa" w:w="1928"/>
          </w:tcPr>
          <w:p>
            <w:r>
              <w:rPr>
                <w:b/>
                <w:sz w:val="17"/>
              </w:rPr>
              <w:t>DKH</w:t>
            </w:r>
          </w:p>
        </w:tc>
        <w:tc>
          <w:tcPr>
            <w:tcW w:type="dxa" w:w="1587"/>
          </w:tcPr>
          <w:p>
            <w:pPr>
              <w:jc w:val="center"/>
            </w:pPr>
            <w:r>
              <w:rPr>
                <w:sz w:val="17"/>
              </w:rPr>
              <w:t>+21.7</w:t>
            </w:r>
          </w:p>
        </w:tc>
        <w:tc>
          <w:tcPr>
            <w:tcW w:type="dxa" w:w="1587"/>
          </w:tcPr>
          <w:p>
            <w:pPr>
              <w:jc w:val="center"/>
            </w:pPr>
            <w:r>
              <w:rPr>
                <w:sz w:val="17"/>
              </w:rPr>
              <w:t>+127.84</w:t>
            </w:r>
          </w:p>
        </w:tc>
        <w:tc>
          <w:tcPr>
            <w:tcW w:type="dxa" w:w="1361"/>
          </w:tcPr>
          <w:p>
            <w:pPr>
              <w:jc w:val="center"/>
            </w:pPr>
            <w:r>
              <w:rPr>
                <w:sz w:val="17"/>
              </w:rPr>
              <w:t>−21.6</w:t>
            </w:r>
          </w:p>
        </w:tc>
        <w:tc>
          <w:tcPr>
            <w:tcW w:type="dxa" w:w="1361"/>
          </w:tcPr>
          <w:p>
            <w:pPr>
              <w:jc w:val="center"/>
            </w:pPr>
            <w:r>
              <w:rPr>
                <w:sz w:val="17"/>
              </w:rPr>
              <w:t>−126.87</w:t>
            </w:r>
          </w:p>
        </w:tc>
      </w:tr>
      <w:tr>
        <w:trPr>
          <w:cantSplit/>
        </w:trPr>
        <w:tc>
          <w:tcPr>
            <w:tcW w:type="dxa" w:w="1928"/>
          </w:tcPr>
          <w:p>
            <w:r>
              <w:rPr>
                <w:b/>
                <w:sz w:val="17"/>
              </w:rPr>
              <w:t>ZORA</w:t>
            </w:r>
          </w:p>
        </w:tc>
        <w:tc>
          <w:tcPr>
            <w:tcW w:type="dxa" w:w="1587"/>
          </w:tcPr>
          <w:p>
            <w:pPr>
              <w:jc w:val="center"/>
            </w:pPr>
            <w:r>
              <w:rPr>
                <w:sz w:val="17"/>
              </w:rPr>
              <w:t>+53.5</w:t>
            </w:r>
          </w:p>
        </w:tc>
        <w:tc>
          <w:tcPr>
            <w:tcW w:type="dxa" w:w="1587"/>
          </w:tcPr>
          <w:p>
            <w:pPr>
              <w:jc w:val="center"/>
            </w:pPr>
            <w:r>
              <w:rPr>
                <w:sz w:val="17"/>
              </w:rPr>
              <w:t>+127.84</w:t>
            </w:r>
          </w:p>
        </w:tc>
        <w:tc>
          <w:tcPr>
            <w:tcW w:type="dxa" w:w="1361"/>
          </w:tcPr>
          <w:p>
            <w:pPr>
              <w:jc w:val="center"/>
            </w:pPr>
            <w:r>
              <w:rPr>
                <w:sz w:val="17"/>
              </w:rPr>
              <w:t>−53.2</w:t>
            </w:r>
          </w:p>
        </w:tc>
        <w:tc>
          <w:tcPr>
            <w:tcW w:type="dxa" w:w="1361"/>
          </w:tcPr>
          <w:p>
            <w:pPr>
              <w:jc w:val="center"/>
            </w:pPr>
            <w:r>
              <w:rPr>
                <w:sz w:val="17"/>
              </w:rPr>
              <w:t>−126.87</w:t>
            </w:r>
          </w:p>
        </w:tc>
      </w:tr>
    </w:tbl>
    <w:p>
      <w:pPr>
        <w:spacing w:after="0" w:line="80" w:lineRule="exact"/>
      </w:pPr>
    </w:p>
    <w:p>
      <w:r>
        <w:t>With the larger basis all three calculations give antiferromagnetic coupling, J(3) = −78.1 cm</w:t>
      </w:r>
      <w:r>
        <w:rPr>
          <w:vertAlign w:val="superscript"/>
        </w:rPr>
        <w:t>−1</w:t>
      </w:r>
      <w:r>
        <w:t xml:space="preserve"> (non-relativistic), −126.87 cm</w:t>
      </w:r>
      <w:r>
        <w:rPr>
          <w:vertAlign w:val="superscript"/>
        </w:rPr>
        <w:t>−1</w:t>
      </w:r>
      <w:r>
        <w:t xml:space="preserve"> (DKH) and −126.87 cm</w:t>
      </w:r>
      <w:r>
        <w:rPr>
          <w:vertAlign w:val="superscript"/>
        </w:rPr>
        <w:t>−1</w:t>
      </w:r>
      <w:r>
        <w:t xml:space="preserve"> (ZORA). DKH and ZORA now agree to 0.003 cm</w:t>
      </w:r>
      <w:r>
        <w:rPr>
          <w:vertAlign w:val="superscript"/>
        </w:rPr>
        <w:t>−1</w:t>
      </w:r>
      <w:r>
        <w:t>, and the non-relativistic value is already negative without relativity. The sign change and the DKH/ZORA difference seen with SVP therefore come from the small basis set, not from relativity. With TZVP, scalar relativistic effects shift J by −49 cm</w:t>
      </w:r>
      <w:r>
        <w:rPr>
          <w:vertAlign w:val="superscript"/>
        </w:rPr>
        <w:t>−1</w:t>
      </w:r>
      <w:r>
        <w:t xml:space="preserve"> and make the antiferromagnetic coupling about 62 % stronger.</w:t>
      </w:r>
    </w:p>
    <w:p>
      <w:r>
        <w:t>For comparison, changing the functional at the non-relativistic SVP level changes J(3) much more: +173 cm</w:t>
      </w:r>
      <w:r>
        <w:rPr>
          <w:vertAlign w:val="superscript"/>
        </w:rPr>
        <w:t>−1</w:t>
      </w:r>
      <w:r>
        <w:t xml:space="preserve"> with TPSSh (10% exact exchange), +38 cm</w:t>
      </w:r>
      <w:r>
        <w:rPr>
          <w:vertAlign w:val="superscript"/>
        </w:rPr>
        <w:t>−1</w:t>
      </w:r>
      <w:r>
        <w:t xml:space="preserve"> with B3LYP (20%) and −31 cm</w:t>
      </w:r>
      <w:r>
        <w:rPr>
          <w:vertAlign w:val="superscript"/>
        </w:rPr>
        <w:t>−1</w:t>
      </w:r>
      <w:r>
        <w:t xml:space="preserve"> with PBE0 (25%).</w:t>
      </w:r>
    </w:p>
    <w:p>
      <w:pPr>
        <w:pStyle w:val="Heading1"/>
      </w:pPr>
      <w:r>
        <w:t>How important are the relativistic effects on J?</w:t>
      </w:r>
    </w:p>
    <w:p>
      <w:r>
        <w:t>Relativity changes the total energy by tens of hartree, but this is core-electron stabilisation that is the same in the high-spin and broken-symmetry states and cancels in J. The effect that remains on J is about 49 cm</w:t>
      </w:r>
      <w:r>
        <w:rPr>
          <w:vertAlign w:val="superscript"/>
        </w:rPr>
        <w:t>−1</w:t>
      </w:r>
      <w:r>
        <w:t>, or 62 % of |J|. For a 3d metal such as Cu this is small in absolute terms, but it is not negligible because J itself is a small energy. DKH and ZORA give the same J once the basis set is large enough, so the choice between them does not matter here. The table also shows that the SVP basis is too small to resolve the relativistic effect on such a small energy difference, and that the choice of functional affects J more than relativity does.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