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 2026-08-29 的改写重做了一遍：句子改短，不用破折号， §3 改成先讲性质和用途、再讲结构原因。图仍为 8 张多面板合集图，图内文字是英文；参考文献著录格式保留英文。英文稿里的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待办标记，翻译时原样保留。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把每个家族的作用力、结果和局限放在一行上。图 2 汇总了所有重复单元，图 3 汇总了所有高阶结构。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801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01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1．从结构到性质的链条，每个家族一行。每行从左到右读：主导分子间作用力，到关键结果，再到关键局限。表 1 的五类主链在这里显示为七行，因为多糖和聚酯各拆成行为不同的两个成员。颜色按主链化学类别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2a）形成伸展的扁平带状结构。氢键把这些带状链锁进堆叠的 Iα 和 Iβ 片层（图 3a）。把片层结合在一起的总能量大于主链键的强度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3b）。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3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763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7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(m)：顺-1,4-聚异戊二烯。海藻酸 G 只核对了"是 M 的 C5 差向异构体"，提交前需再核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2f）。它用于硬质包装、涂层和可堆肥物品。它的加工窗口是本文中最窄的，约 25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3d）。PBS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2h）同时既强又韧，这对任何聚合物都很少见。所以它用作高级缝合线和组织支架材料，也用作韧性纤维的研究模型。这份韧性来自 2 到 4 nm 大小的 β-折叠纳米晶体，它们分散在柔顺的无定形基体中（图 3e）[8]。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3f），由羟脯氨酸的立体电子效应稳定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661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6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2j-l）的自由基偶联搭出一个不规则的交联网络，没有重复的链。β-O-4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PROVISIONAL。它们是教学级估计范围，用来让图 5 和本表内部自洽。提交前每一条都必须替换为有文献支撑的数值，并注明测试条件（试样形态、含水量、热历史）。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4）。蛋白质和核酸按模板合成，每条链长度一样，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262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2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4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5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25 °C，PHBV 约 55 °C，PLLA 稍宽一些 [44]。图 5a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5b）。高结晶度和密集氢键把模量抬上去，但也留不下几段柔性链段，所以生物聚合物不能像聚乙烯、聚丙烯那样在断裂前拉长。大多数生物聚合物因此落在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5b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189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或淀粉薄膜的阻隔等级必须连同一个储存湿度一起给出，而不能是一个单一数字。⚙️ 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6）。聚酯通过一种会自我催化的酯水解降解。每次断链留下的酸性端基会加速下一次断链，所以制品薄到临界厚度以下之后，它的内部比表面侵蚀得更快。这就是本体侵蚀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[50]。因此结晶度是本文的核心权衡。设定模量（§5.2）、把水挡在外面（§5.3）的同一个特征，也把会降解材料的攻击挡在外面。⚙️ 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1824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8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7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926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9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0.5%，预计到 2030 年翻倍到约 469 万吨 [16]。扩大规模本身解决不了加工窗口、湿度敏感性和批次变异性。较近的应对路线是酶促解聚回单体（近期从消费后 PLA 在 72 小时内回收了约 60% 的乳酸 [17]），以及 ⚙️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